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E6E69D" w14:textId="77777777" w:rsidR="00775273" w:rsidRPr="0047540A" w:rsidRDefault="00775273" w:rsidP="00775273">
          <w:pPr>
            <w:spacing w:after="120" w:line="20" w:lineRule="atLeast"/>
            <w:contextualSpacing/>
            <w:jc w:val="center"/>
            <w:rPr>
              <w:rFonts w:cstheme="minorHAnsi"/>
              <w:b/>
              <w:bCs/>
              <w:sz w:val="20"/>
            </w:rPr>
          </w:pPr>
          <w:r w:rsidRPr="0047540A">
            <w:rPr>
              <w:rFonts w:cstheme="minorHAnsi"/>
              <w:b/>
              <w:bCs/>
              <w:sz w:val="20"/>
            </w:rPr>
            <w:t>VŠĮ „Inovacijų agentūra“</w:t>
          </w:r>
        </w:p>
        <w:p w14:paraId="6029D0AD" w14:textId="77777777" w:rsidR="00775273" w:rsidRPr="0047540A" w:rsidRDefault="00775273" w:rsidP="00775273">
          <w:pPr>
            <w:spacing w:after="120" w:line="20" w:lineRule="atLeast"/>
            <w:contextualSpacing/>
            <w:jc w:val="center"/>
            <w:rPr>
              <w:rFonts w:cstheme="minorHAnsi"/>
              <w:sz w:val="20"/>
            </w:rPr>
          </w:pPr>
          <w:r w:rsidRPr="0047540A">
            <w:rPr>
              <w:rFonts w:cstheme="minorHAnsi"/>
              <w:sz w:val="20"/>
            </w:rPr>
            <w:t xml:space="preserve">Tel. 8 620 75756, El. paštas: </w:t>
          </w:r>
          <w:hyperlink r:id="rId11" w:history="1">
            <w:r w:rsidRPr="0047540A">
              <w:rPr>
                <w:rStyle w:val="Hyperlink"/>
                <w:rFonts w:cstheme="minorHAnsi"/>
                <w:sz w:val="20"/>
              </w:rPr>
              <w:t>info@inovacijuagentura.lt</w:t>
            </w:r>
          </w:hyperlink>
          <w:r w:rsidRPr="0047540A">
            <w:rPr>
              <w:rFonts w:cstheme="minorHAnsi"/>
              <w:sz w:val="20"/>
            </w:rPr>
            <w:t xml:space="preserve">, </w:t>
          </w:r>
          <w:bookmarkStart w:id="0" w:name="_Hlk55910079"/>
        </w:p>
        <w:p w14:paraId="3F376D2A" w14:textId="77777777" w:rsidR="00775273" w:rsidRPr="0047540A" w:rsidRDefault="00775273" w:rsidP="00775273">
          <w:pPr>
            <w:spacing w:after="120" w:line="20" w:lineRule="atLeast"/>
            <w:contextualSpacing/>
            <w:jc w:val="center"/>
            <w:rPr>
              <w:rFonts w:cstheme="minorHAnsi"/>
              <w:sz w:val="20"/>
            </w:rPr>
          </w:pPr>
          <w:r w:rsidRPr="0047540A">
            <w:rPr>
              <w:rFonts w:cstheme="minorHAnsi"/>
              <w:sz w:val="20"/>
            </w:rPr>
            <w:t>J. Balčikonio g. 3, LT-08247 Vilnius, Lietuva</w:t>
          </w:r>
          <w:bookmarkEnd w:id="0"/>
          <w:r w:rsidRPr="0047540A">
            <w:rPr>
              <w:rFonts w:cstheme="minorHAnsi"/>
              <w:sz w:val="20"/>
            </w:rPr>
            <w:t>, Įmonės kodas: 125447177</w:t>
          </w:r>
        </w:p>
        <w:p w14:paraId="4C63C8D0" w14:textId="77777777" w:rsidR="00775273" w:rsidRPr="0047540A" w:rsidRDefault="00775273" w:rsidP="00775273">
          <w:pPr>
            <w:spacing w:after="120" w:line="20" w:lineRule="atLeast"/>
            <w:contextualSpacing/>
            <w:rPr>
              <w:rFonts w:cstheme="minorHAnsi"/>
              <w:sz w:val="20"/>
            </w:rPr>
          </w:pPr>
        </w:p>
        <w:p w14:paraId="2B1BA443" w14:textId="77777777" w:rsidR="00775273" w:rsidRPr="0047540A" w:rsidRDefault="00775273" w:rsidP="00775273">
          <w:pPr>
            <w:spacing w:after="120" w:line="20" w:lineRule="atLeast"/>
            <w:ind w:left="5245" w:hanging="25"/>
            <w:contextualSpacing/>
            <w:jc w:val="right"/>
            <w:rPr>
              <w:rFonts w:cstheme="minorHAnsi"/>
              <w:sz w:val="20"/>
            </w:rPr>
          </w:pPr>
          <w:r w:rsidRPr="0047540A">
            <w:rPr>
              <w:rFonts w:cstheme="minorHAnsi"/>
              <w:sz w:val="20"/>
            </w:rPr>
            <w:t xml:space="preserve">PATVIRTINTA </w:t>
          </w:r>
        </w:p>
        <w:p w14:paraId="5E7969DE" w14:textId="77777777" w:rsidR="00775273" w:rsidRPr="0047540A" w:rsidRDefault="00775273" w:rsidP="00775273">
          <w:pPr>
            <w:spacing w:after="120" w:line="20" w:lineRule="atLeast"/>
            <w:contextualSpacing/>
            <w:jc w:val="right"/>
            <w:rPr>
              <w:rFonts w:cstheme="minorHAnsi"/>
              <w:color w:val="00B050"/>
              <w:sz w:val="24"/>
              <w:szCs w:val="24"/>
            </w:rPr>
          </w:pPr>
          <w:r w:rsidRPr="0047540A">
            <w:rPr>
              <w:rFonts w:cstheme="minorHAnsi"/>
              <w:sz w:val="20"/>
            </w:rPr>
            <w:t>Perkančiosios organizacijos Viešųjų pirkimų komisijos</w:t>
          </w:r>
        </w:p>
        <w:p w14:paraId="72DF4715" w14:textId="77777777" w:rsidR="00775273" w:rsidRPr="00F0499F" w:rsidRDefault="00775273" w:rsidP="00775273">
          <w:pPr>
            <w:spacing w:after="120" w:line="20" w:lineRule="atLeast"/>
            <w:ind w:left="5245"/>
            <w:contextualSpacing/>
            <w:rPr>
              <w:rFonts w:cstheme="minorHAnsi"/>
              <w:i/>
              <w:iCs/>
              <w:color w:val="0070C0"/>
              <w:sz w:val="24"/>
              <w:szCs w:val="24"/>
            </w:rPr>
          </w:pPr>
        </w:p>
        <w:p w14:paraId="7AB6DDDF" w14:textId="77777777" w:rsidR="00775273" w:rsidRPr="00F0499F" w:rsidRDefault="00775273" w:rsidP="00775273">
          <w:pPr>
            <w:spacing w:after="120" w:line="20" w:lineRule="atLeast"/>
            <w:contextualSpacing/>
            <w:jc w:val="center"/>
            <w:rPr>
              <w:rFonts w:cstheme="minorHAnsi"/>
              <w:sz w:val="24"/>
              <w:szCs w:val="24"/>
            </w:rPr>
          </w:pPr>
        </w:p>
        <w:p w14:paraId="546AADEB" w14:textId="77777777" w:rsidR="00775273" w:rsidRPr="00F0499F" w:rsidRDefault="00775273" w:rsidP="00775273">
          <w:pPr>
            <w:spacing w:after="120" w:line="20" w:lineRule="atLeast"/>
            <w:contextualSpacing/>
            <w:jc w:val="center"/>
            <w:rPr>
              <w:rFonts w:cstheme="minorHAnsi"/>
              <w:sz w:val="24"/>
              <w:szCs w:val="24"/>
            </w:rPr>
          </w:pPr>
        </w:p>
        <w:p w14:paraId="1B9EFE98" w14:textId="77777777" w:rsidR="00775273" w:rsidRDefault="00775273" w:rsidP="00775273">
          <w:pPr>
            <w:spacing w:after="120" w:line="20" w:lineRule="atLeast"/>
            <w:contextualSpacing/>
            <w:jc w:val="center"/>
            <w:rPr>
              <w:rFonts w:cstheme="minorHAnsi"/>
              <w:b/>
              <w:bCs/>
              <w:sz w:val="28"/>
              <w:szCs w:val="28"/>
            </w:rPr>
          </w:pPr>
          <w:r w:rsidRPr="00F0499F">
            <w:rPr>
              <w:rFonts w:cstheme="minorHAnsi"/>
              <w:b/>
              <w:bCs/>
              <w:sz w:val="28"/>
              <w:szCs w:val="28"/>
            </w:rPr>
            <w:t xml:space="preserve"> </w:t>
          </w:r>
        </w:p>
        <w:p w14:paraId="3D99C81D" w14:textId="0F85E457" w:rsidR="00775273" w:rsidRPr="00F0499F" w:rsidRDefault="00775273" w:rsidP="00775273">
          <w:pPr>
            <w:spacing w:after="120" w:line="20" w:lineRule="atLeast"/>
            <w:contextualSpacing/>
            <w:jc w:val="center"/>
            <w:rPr>
              <w:rFonts w:cstheme="minorHAnsi"/>
              <w:b/>
              <w:bCs/>
              <w:sz w:val="28"/>
              <w:szCs w:val="28"/>
            </w:rPr>
          </w:pPr>
          <w:r w:rsidRPr="00F0499F">
            <w:rPr>
              <w:rFonts w:cstheme="minorHAnsi"/>
              <w:b/>
              <w:bCs/>
              <w:sz w:val="28"/>
              <w:szCs w:val="28"/>
            </w:rPr>
            <w:t>„</w:t>
          </w:r>
          <w:r w:rsidR="00BE4EF6" w:rsidRPr="00BE4EF6">
            <w:rPr>
              <w:rFonts w:cstheme="minorHAnsi"/>
              <w:b/>
              <w:bCs/>
              <w:sz w:val="28"/>
              <w:szCs w:val="28"/>
            </w:rPr>
            <w:t>Integruotos komunikacijos paslaugų pirkimas 1147</w:t>
          </w:r>
          <w:r w:rsidRPr="00F0499F">
            <w:rPr>
              <w:rFonts w:cstheme="minorHAnsi"/>
              <w:b/>
              <w:bCs/>
              <w:sz w:val="28"/>
              <w:szCs w:val="28"/>
            </w:rPr>
            <w:t>“</w:t>
          </w:r>
        </w:p>
        <w:p w14:paraId="0FC90D8B" w14:textId="4F9ED188" w:rsidR="00D526C8" w:rsidRPr="00F0499F" w:rsidRDefault="00775273" w:rsidP="00775273">
          <w:pPr>
            <w:spacing w:after="120" w:line="20" w:lineRule="atLeast"/>
            <w:contextualSpacing/>
            <w:jc w:val="center"/>
            <w:rPr>
              <w:rFonts w:cstheme="minorHAnsi"/>
              <w:sz w:val="28"/>
              <w:szCs w:val="28"/>
            </w:rPr>
          </w:pPr>
          <w:r w:rsidRPr="00F0499F">
            <w:rPr>
              <w:rFonts w:cstheme="minorHAnsi"/>
              <w:b/>
              <w:bCs/>
              <w:sz w:val="28"/>
              <w:szCs w:val="28"/>
            </w:rPr>
            <w:t xml:space="preserve">ATVIRO </w:t>
          </w:r>
          <w:r>
            <w:rPr>
              <w:rFonts w:cstheme="minorHAnsi"/>
              <w:b/>
              <w:bCs/>
              <w:sz w:val="28"/>
              <w:szCs w:val="28"/>
            </w:rPr>
            <w:t xml:space="preserve">(Tarptautinio) </w:t>
          </w:r>
          <w:r w:rsidRPr="00F0499F">
            <w:rPr>
              <w:rFonts w:cstheme="minorHAnsi"/>
              <w:b/>
              <w:bCs/>
              <w:sz w:val="28"/>
              <w:szCs w:val="28"/>
            </w:rPr>
            <w:t>KONKURSO SPECIALIOSIOS SĄLYGOS</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3C0F05FC" w14:textId="0E07D32D"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w:t>
                </w:r>
                <w:r w:rsidR="00B21525" w:rsidRPr="00B21525">
                  <w:rPr>
                    <w:rStyle w:val="Hyperlink"/>
                    <w:rFonts w:cstheme="minorHAnsi"/>
                    <w:noProof/>
                  </w:rPr>
                  <w:t>Techninė specifikacija</w:t>
                </w:r>
                <w:r w:rsidRPr="00FA7F81">
                  <w:rPr>
                    <w:rStyle w:val="Hyperlink"/>
                    <w:rFonts w:cstheme="minorHAnsi"/>
                    <w:noProof/>
                  </w:rPr>
                  <w:t>“</w:t>
                </w:r>
                <w:r>
                  <w:rPr>
                    <w:noProof/>
                    <w:webHidden/>
                  </w:rPr>
                  <w:tab/>
                </w:r>
              </w:hyperlink>
            </w:p>
            <w:p w14:paraId="27656DDD" w14:textId="26DD2CAE"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w:t>
                </w:r>
                <w:r w:rsidR="00B21525" w:rsidRPr="00B21525">
                  <w:rPr>
                    <w:rStyle w:val="Hyperlink"/>
                    <w:rFonts w:eastAsia="Calibri" w:cstheme="minorHAnsi"/>
                    <w:noProof/>
                  </w:rPr>
                  <w:t>Terminai</w:t>
                </w:r>
                <w:r w:rsidRPr="00FA7F81">
                  <w:rPr>
                    <w:rStyle w:val="Hyperlink"/>
                    <w:rFonts w:eastAsia="Calibri" w:cstheme="minorHAnsi"/>
                    <w:noProof/>
                  </w:rPr>
                  <w:t>“</w:t>
                </w:r>
                <w:r>
                  <w:rPr>
                    <w:noProof/>
                    <w:webHidden/>
                  </w:rPr>
                  <w:tab/>
                </w:r>
              </w:hyperlink>
            </w:p>
            <w:p w14:paraId="79347E8A" w14:textId="06DEA7EF"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hyperlink>
            </w:p>
            <w:p w14:paraId="6DE76A5E" w14:textId="100ABC18"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hyperlink>
            </w:p>
            <w:p w14:paraId="61E88A43" w14:textId="6BA4101B"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hyperlink>
            </w:p>
            <w:p w14:paraId="310D1EC2" w14:textId="7A70E53E"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w:t>
                </w:r>
                <w:r w:rsidR="00B21525">
                  <w:rPr>
                    <w:rStyle w:val="Hyperlink"/>
                    <w:rFonts w:eastAsia="Calibri" w:cstheme="minorHAnsi"/>
                    <w:noProof/>
                  </w:rPr>
                  <w:t>Duomenys apie tiekėją</w:t>
                </w:r>
                <w:r w:rsidR="0009394E">
                  <w:rPr>
                    <w:rStyle w:val="Hyperlink"/>
                    <w:rFonts w:eastAsia="Calibri" w:cstheme="minorHAnsi"/>
                    <w:noProof/>
                  </w:rPr>
                  <w:t xml:space="preserve"> ir pasiūlymo informacija</w:t>
                </w:r>
                <w:r w:rsidRPr="00FA7F81">
                  <w:rPr>
                    <w:rStyle w:val="Hyperlink"/>
                    <w:rFonts w:eastAsia="Calibri" w:cstheme="minorHAnsi"/>
                    <w:noProof/>
                  </w:rPr>
                  <w:t>“</w:t>
                </w:r>
                <w:r>
                  <w:rPr>
                    <w:noProof/>
                    <w:webHidden/>
                  </w:rPr>
                  <w:tab/>
                </w:r>
              </w:hyperlink>
            </w:p>
            <w:p w14:paraId="5F61B9F6" w14:textId="23ED4EEB"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w:t>
                </w:r>
                <w:r w:rsidR="0009394E" w:rsidRPr="0009394E">
                  <w:rPr>
                    <w:rStyle w:val="Hyperlink"/>
                    <w:rFonts w:eastAsia="Calibri" w:cstheme="minorHAnsi"/>
                    <w:noProof/>
                  </w:rPr>
                  <w:t>Sutarties projektas</w:t>
                </w:r>
                <w:r w:rsidRPr="00FA7F81">
                  <w:rPr>
                    <w:rStyle w:val="Hyperlink"/>
                    <w:rFonts w:eastAsia="Calibri" w:cstheme="minorHAnsi"/>
                    <w:noProof/>
                  </w:rPr>
                  <w:t>“</w:t>
                </w:r>
                <w:r>
                  <w:rPr>
                    <w:noProof/>
                    <w:webHidden/>
                  </w:rPr>
                  <w:tab/>
                </w:r>
              </w:hyperlink>
            </w:p>
            <w:p w14:paraId="71F30D01" w14:textId="2028A83F" w:rsidR="0074475B" w:rsidRDefault="0074475B" w:rsidP="0009394E">
              <w:pPr>
                <w:pStyle w:val="TOC2"/>
                <w:rPr>
                  <w:noProof/>
                  <w:sz w:val="22"/>
                  <w:szCs w:val="22"/>
                  <w:lang w:val="en-US" w:eastAsia="en-US"/>
                </w:rPr>
              </w:pPr>
              <w:hyperlink w:anchor="_Toc126333946" w:history="1">
                <w:r w:rsidRPr="00FA7F81">
                  <w:rPr>
                    <w:rStyle w:val="Hyperlink"/>
                    <w:noProof/>
                  </w:rPr>
                  <w:t>Pirkimo sąlygų 8 priedas „</w:t>
                </w:r>
                <w:r w:rsidR="00680DF3" w:rsidRPr="00680DF3">
                  <w:rPr>
                    <w:rStyle w:val="Hyperlink"/>
                    <w:noProof/>
                  </w:rPr>
                  <w:t>Pasiūlymų ekonominio naudingumo vertinimo metodika</w:t>
                </w:r>
                <w:r w:rsidRPr="00FA7F81">
                  <w:rPr>
                    <w:rStyle w:val="Hyperlink"/>
                    <w:noProof/>
                  </w:rPr>
                  <w:t>“</w:t>
                </w:r>
                <w:r>
                  <w:rPr>
                    <w:noProof/>
                    <w:webHidden/>
                  </w:rPr>
                  <w:tab/>
                </w:r>
              </w:hyperlink>
            </w:p>
            <w:p w14:paraId="0DDC40AE" w14:textId="6370B0C4" w:rsidR="001C24BC" w:rsidRPr="00DC7CE3" w:rsidRDefault="0074475B" w:rsidP="00DC7CE3">
              <w:pPr>
                <w:pStyle w:val="TOC2"/>
                <w:rPr>
                  <w:noProof/>
                  <w:sz w:val="22"/>
                  <w:szCs w:val="22"/>
                  <w:lang w:val="en-US" w:eastAsia="en-US"/>
                </w:rPr>
              </w:pPr>
              <w:hyperlink w:anchor="_Toc126333948" w:history="1">
                <w:r w:rsidRPr="00FA7F81">
                  <w:rPr>
                    <w:rStyle w:val="Hyperlink"/>
                    <w:noProof/>
                  </w:rPr>
                  <w:t xml:space="preserve">Pirkimo sąlygų </w:t>
                </w:r>
                <w:r w:rsidR="0009394E">
                  <w:rPr>
                    <w:rStyle w:val="Hyperlink"/>
                    <w:noProof/>
                  </w:rPr>
                  <w:t>9</w:t>
                </w:r>
                <w:r w:rsidRPr="00FA7F81">
                  <w:rPr>
                    <w:rStyle w:val="Hyperlink"/>
                    <w:noProof/>
                  </w:rPr>
                  <w:t xml:space="preserve"> priedas „</w:t>
                </w:r>
                <w:r w:rsidR="00DC7CE3" w:rsidRPr="00DC7CE3">
                  <w:rPr>
                    <w:rStyle w:val="Hyperlink"/>
                    <w:noProof/>
                  </w:rPr>
                  <w:t>Tiekėjo kainos pasiūlymas</w:t>
                </w:r>
                <w:r w:rsidRPr="00FA7F81">
                  <w:rPr>
                    <w:rStyle w:val="Hyperlink"/>
                    <w:noProof/>
                  </w:rPr>
                  <w:t>“</w:t>
                </w:r>
                <w:r>
                  <w:rPr>
                    <w:noProof/>
                    <w:webHidden/>
                  </w:rPr>
                  <w:tab/>
                </w:r>
              </w:hyperlink>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17FA2743" w14:textId="77777777" w:rsidR="00C2408E" w:rsidRDefault="00C2408E" w:rsidP="00C2408E">
      <w:pPr>
        <w:pStyle w:val="ListParagraph"/>
        <w:numPr>
          <w:ilvl w:val="1"/>
          <w:numId w:val="1"/>
        </w:numPr>
        <w:spacing w:after="0" w:line="20" w:lineRule="atLeast"/>
        <w:ind w:left="0" w:firstLine="567"/>
        <w:jc w:val="both"/>
        <w:rPr>
          <w:rFonts w:cstheme="minorHAnsi"/>
        </w:rPr>
      </w:pPr>
      <w:r w:rsidRPr="003D5D78">
        <w:rPr>
          <w:rFonts w:cstheme="minorHAnsi"/>
        </w:rPr>
        <w:t>VŠĮ „Inovacijų agentūra“, juridinio asmens kodas 125447177, adresas A. J. Balčikonio g. 3, LT-08247 Vilnius, Lietuva, darbo laikas pirmadienis – penktadienis 8.00 – 17.00, pietų pertrauka 12.00 – 13.00.</w:t>
      </w:r>
    </w:p>
    <w:p w14:paraId="72C0EDFC" w14:textId="77777777" w:rsidR="00C2408E" w:rsidRPr="003D5D78" w:rsidRDefault="00C2408E" w:rsidP="00C2408E">
      <w:pPr>
        <w:pStyle w:val="ListParagraph"/>
        <w:numPr>
          <w:ilvl w:val="1"/>
          <w:numId w:val="1"/>
        </w:numPr>
        <w:spacing w:after="0" w:line="20" w:lineRule="atLeast"/>
        <w:ind w:left="0" w:firstLine="567"/>
        <w:jc w:val="both"/>
        <w:rPr>
          <w:rFonts w:cstheme="minorHAnsi"/>
        </w:rPr>
      </w:pPr>
      <w:r w:rsidRPr="003D5D78">
        <w:rPr>
          <w:color w:val="000000" w:themeColor="text1"/>
        </w:rPr>
        <w:t>Pirkimas neatliekamas naudojantis centralizuotų pirkimų katalogu, nes</w:t>
      </w:r>
      <w:r>
        <w:rPr>
          <w:color w:val="000000" w:themeColor="text1"/>
        </w:rPr>
        <w:t xml:space="preserve"> </w:t>
      </w:r>
      <w:r w:rsidRPr="003D5D78">
        <w:rPr>
          <w:color w:val="000000" w:themeColor="text1"/>
        </w:rPr>
        <w:t>centralizuotų pirkimų katalog</w:t>
      </w:r>
      <w:r>
        <w:rPr>
          <w:color w:val="000000" w:themeColor="text1"/>
        </w:rPr>
        <w:t>e ketinamo pirkti objekto nėra</w:t>
      </w:r>
      <w:r>
        <w:rPr>
          <w:color w:val="00B050"/>
        </w:rPr>
        <w:t>.</w:t>
      </w:r>
    </w:p>
    <w:p w14:paraId="6E76C2AC" w14:textId="77777777" w:rsidR="00C2408E" w:rsidRDefault="00C2408E" w:rsidP="00C2408E">
      <w:pPr>
        <w:pStyle w:val="ListParagraph"/>
        <w:numPr>
          <w:ilvl w:val="1"/>
          <w:numId w:val="1"/>
        </w:numPr>
        <w:spacing w:after="0" w:line="20" w:lineRule="atLeast"/>
        <w:ind w:left="0" w:firstLine="567"/>
        <w:jc w:val="both"/>
        <w:rPr>
          <w:rFonts w:cstheme="minorHAnsi"/>
        </w:rPr>
      </w:pPr>
      <w:r w:rsidRPr="003D5D78">
        <w:rPr>
          <w:rFonts w:cstheme="minorHAnsi"/>
        </w:rPr>
        <w:t>Stebėtojai dalyvauti Komisijos posėdžiuose nėra kviečiami.</w:t>
      </w:r>
    </w:p>
    <w:p w14:paraId="5D173080" w14:textId="77777777" w:rsidR="00C2408E" w:rsidRDefault="00C2408E" w:rsidP="00C2408E">
      <w:pPr>
        <w:pStyle w:val="ListParagraph"/>
        <w:numPr>
          <w:ilvl w:val="1"/>
          <w:numId w:val="1"/>
        </w:numPr>
        <w:spacing w:after="0" w:line="20" w:lineRule="atLeast"/>
        <w:ind w:left="0" w:firstLine="567"/>
        <w:jc w:val="both"/>
        <w:rPr>
          <w:rFonts w:cstheme="minorHAnsi"/>
        </w:rPr>
      </w:pPr>
      <w:r w:rsidRPr="003D5D78">
        <w:rPr>
          <w:rFonts w:cstheme="minorHAnsi"/>
        </w:rPr>
        <w:t>Pirkime neleidžiama pateikti alternatyvių pasiūlymų.</w:t>
      </w:r>
    </w:p>
    <w:p w14:paraId="1A24FC92" w14:textId="0478D4D3" w:rsidR="00C2408E" w:rsidRPr="00C2408E" w:rsidRDefault="00C2408E" w:rsidP="00C2408E">
      <w:pPr>
        <w:pStyle w:val="ListParagraph"/>
        <w:numPr>
          <w:ilvl w:val="1"/>
          <w:numId w:val="1"/>
        </w:numPr>
        <w:spacing w:after="0" w:line="20" w:lineRule="atLeast"/>
        <w:ind w:left="0" w:firstLine="567"/>
        <w:jc w:val="both"/>
        <w:rPr>
          <w:rFonts w:cstheme="minorHAnsi"/>
        </w:rPr>
      </w:pPr>
      <w:r w:rsidRPr="00DD005C">
        <w:rPr>
          <w:rFonts w:eastAsia="Arial" w:cstheme="minorHAnsi"/>
          <w:color w:val="333333"/>
        </w:rPr>
        <w:t>Bendrosios pirkimo sąlygos yra neatskiriama šių pirkimo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E4300F0"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C2408E">
        <w:rPr>
          <w:rFonts w:eastAsia="Calibri"/>
          <w:color w:val="000000" w:themeColor="text1"/>
        </w:rPr>
        <w:t xml:space="preserve"> </w:t>
      </w:r>
      <w:r w:rsidR="00427628" w:rsidRPr="00427628">
        <w:rPr>
          <w:rFonts w:eastAsia="Calibri"/>
          <w:b/>
          <w:bCs/>
          <w:color w:val="000000" w:themeColor="text1"/>
        </w:rPr>
        <w:t>Integruotos</w:t>
      </w:r>
      <w:r w:rsidR="00C2408E" w:rsidRPr="00427628">
        <w:rPr>
          <w:rFonts w:eastAsia="Calibri"/>
          <w:b/>
          <w:bCs/>
          <w:color w:val="000000" w:themeColor="text1"/>
        </w:rPr>
        <w:t xml:space="preserve"> komunikacijos </w:t>
      </w:r>
      <w:r w:rsidR="00C2408E" w:rsidRPr="00427628">
        <w:rPr>
          <w:rFonts w:eastAsia="Calibri"/>
          <w:b/>
          <w:bCs/>
        </w:rPr>
        <w:t>paslaugas</w:t>
      </w:r>
      <w:r w:rsidRPr="00C2408E">
        <w:rPr>
          <w:rFonts w:eastAsia="Calibri"/>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C2408E">
        <w:rPr>
          <w:rFonts w:cstheme="minorHAnsi"/>
        </w:rPr>
        <w:t xml:space="preserve"> 1</w:t>
      </w:r>
      <w:r w:rsidR="00444CAF" w:rsidRPr="00F0499F">
        <w:rPr>
          <w:rFonts w:cstheme="minorHAnsi"/>
        </w:rPr>
        <w:t xml:space="preserve"> </w:t>
      </w:r>
      <w:r w:rsidR="00444CAF" w:rsidRPr="00DC1957">
        <w:rPr>
          <w:rFonts w:cstheme="minorHAnsi"/>
        </w:rPr>
        <w:t>priede</w:t>
      </w:r>
      <w:r w:rsidRPr="00DC1957">
        <w:rPr>
          <w:rFonts w:cstheme="minorHAnsi"/>
        </w:rPr>
        <w:t>.</w:t>
      </w:r>
    </w:p>
    <w:p w14:paraId="48EEE6C2" w14:textId="4587101F" w:rsidR="00B41C66" w:rsidRPr="00B974A4" w:rsidRDefault="00507DC9" w:rsidP="00DB54D7">
      <w:pPr>
        <w:pStyle w:val="NoSpacing"/>
        <w:ind w:firstLine="709"/>
        <w:contextualSpacing/>
        <w:jc w:val="both"/>
        <w:rPr>
          <w:rFonts w:cstheme="minorHAnsi"/>
          <w:color w:val="00B050"/>
        </w:rPr>
      </w:pPr>
      <w:r>
        <w:rPr>
          <w:rFonts w:cstheme="minorHAnsi"/>
        </w:rPr>
        <w:t>2.2</w:t>
      </w:r>
      <w:r w:rsidR="00C2408E">
        <w:rPr>
          <w:rFonts w:cstheme="minorHAnsi"/>
        </w:rPr>
        <w:t xml:space="preserve"> </w:t>
      </w:r>
      <w:r w:rsidR="00B41C66" w:rsidRPr="00DC1957">
        <w:rPr>
          <w:rFonts w:cstheme="minorHAnsi"/>
        </w:rPr>
        <w:t xml:space="preserve">Pirkimo objektas į dalis </w:t>
      </w:r>
      <w:r w:rsidR="00B41C66" w:rsidRPr="0076208C">
        <w:rPr>
          <w:rFonts w:cstheme="minorHAnsi"/>
        </w:rPr>
        <w:t xml:space="preserve">neskaidomas. </w:t>
      </w:r>
      <w:r w:rsidR="007554D6" w:rsidRPr="0076208C">
        <w:rPr>
          <w:rFonts w:cstheme="minorHAnsi"/>
        </w:rPr>
        <w:t>Pirkimo apimtys, reikalavimai ir techninė specifikacija apibrėžti</w:t>
      </w:r>
      <w:r w:rsidR="00C2408E" w:rsidRPr="0076208C">
        <w:rPr>
          <w:rFonts w:cstheme="minorHAnsi"/>
        </w:rPr>
        <w:t xml:space="preserve"> </w:t>
      </w:r>
      <w:r w:rsidR="007204DB" w:rsidRPr="0076208C">
        <w:rPr>
          <w:rFonts w:cstheme="minorHAnsi"/>
        </w:rPr>
        <w:t xml:space="preserve">specialiųjų </w:t>
      </w:r>
      <w:r w:rsidR="007554D6" w:rsidRPr="0076208C">
        <w:rPr>
          <w:rFonts w:cstheme="minorHAnsi"/>
        </w:rPr>
        <w:t>pirkimo sąlygų</w:t>
      </w:r>
      <w:r w:rsidR="00C2408E" w:rsidRPr="0076208C">
        <w:rPr>
          <w:rFonts w:cstheme="minorHAnsi"/>
        </w:rPr>
        <w:t xml:space="preserve"> 1</w:t>
      </w:r>
      <w:r w:rsidR="007554D6" w:rsidRPr="0076208C">
        <w:rPr>
          <w:rFonts w:cstheme="minorHAnsi"/>
        </w:rPr>
        <w:t xml:space="preserve"> priede. </w:t>
      </w:r>
      <w:r w:rsidR="0076208C" w:rsidRPr="0076208C">
        <w:rPr>
          <w:rFonts w:cstheme="minorHAnsi"/>
        </w:rPr>
        <w:t xml:space="preserve">Neskaidymo pagrindimas: </w:t>
      </w:r>
      <w:r w:rsidR="00A331FE" w:rsidRPr="00A331FE">
        <w:rPr>
          <w:rFonts w:cstheme="minorHAnsi"/>
        </w:rPr>
        <w:t xml:space="preserve">Paslaugomis bus viešinamos konkrečios veiklos taikant integruotos komunikacijos principą, kai siekiant maksimalaus komunikacijos efektyvumo vienas tiekėjas rūpinasi konkrečios veiklos turinio gamyba, sklaida, seka viešinimo rezultatus ir gali lengvai bei greitai koreguoti naudojamas komunikacijos priemones. </w:t>
      </w:r>
      <w:r w:rsidR="00F43F56">
        <w:rPr>
          <w:rFonts w:cstheme="minorHAnsi"/>
        </w:rPr>
        <w:t>Suska</w:t>
      </w:r>
      <w:r w:rsidR="00E411F5">
        <w:rPr>
          <w:rFonts w:cstheme="minorHAnsi"/>
        </w:rPr>
        <w:t>i</w:t>
      </w:r>
      <w:r w:rsidR="00F43F56">
        <w:rPr>
          <w:rFonts w:cstheme="minorHAnsi"/>
        </w:rPr>
        <w:t>džius Pirkimo</w:t>
      </w:r>
      <w:r w:rsidR="00B6443B">
        <w:rPr>
          <w:rFonts w:cstheme="minorHAnsi"/>
        </w:rPr>
        <w:t xml:space="preserve"> objektą į dalis ž</w:t>
      </w:r>
      <w:r w:rsidR="00B974A4" w:rsidRPr="00B974A4">
        <w:rPr>
          <w:rFonts w:cstheme="minorHAnsi"/>
        </w:rPr>
        <w:t>enkliai pailgėtų komunikacijos strategijos išgryninimo trukmė, paslaugų teikimo terminai. Skirtingų paslaugų tiekėjų koordinavimas reikalautų papildomų perkančiosios organizacijos išteklių ir kaštų, kas prieštarautų Viešųjų pirkimų įstatyme įtvirtintam viešųjų pirkimų tikslui bei keltų riziką netinkamai įvykdyti paslaugų pirkimo sutartį, o kartu toks įgyvendinimas būtų sudėtingas techniniu požiūriu. Pirkimo objektą suskaidant į dalis, galimai padidėtų tiekėjų siūloma kaina už paslaugas.</w:t>
      </w:r>
      <w:r w:rsidR="00B6443B">
        <w:rPr>
          <w:rFonts w:cstheme="minorHAnsi"/>
        </w:rPr>
        <w:t xml:space="preserve"> </w:t>
      </w:r>
      <w:r w:rsidR="007D4155">
        <w:rPr>
          <w:rFonts w:cstheme="minorHAnsi"/>
        </w:rPr>
        <w:t xml:space="preserve">Objektas taip pat </w:t>
      </w:r>
      <w:r w:rsidR="007D4155" w:rsidRPr="007D4155">
        <w:rPr>
          <w:rFonts w:cstheme="minorHAnsi"/>
        </w:rPr>
        <w:t>neskaid</w:t>
      </w:r>
      <w:r w:rsidR="00C66C79">
        <w:rPr>
          <w:rFonts w:cstheme="minorHAnsi"/>
        </w:rPr>
        <w:t>ytina</w:t>
      </w:r>
      <w:r w:rsidR="007D4155" w:rsidRPr="007D4155">
        <w:rPr>
          <w:rFonts w:cstheme="minorHAnsi"/>
        </w:rPr>
        <w:t xml:space="preserve">s pagal rinkas, nes </w:t>
      </w:r>
      <w:r w:rsidR="00C66C79">
        <w:rPr>
          <w:rFonts w:cstheme="minorHAnsi"/>
        </w:rPr>
        <w:t xml:space="preserve">numatoma, kad </w:t>
      </w:r>
      <w:r w:rsidR="007D4155" w:rsidRPr="007D4155">
        <w:rPr>
          <w:rFonts w:cstheme="minorHAnsi"/>
        </w:rPr>
        <w:t>užsienio rinkose bus atkartojama Lietuvos rinkai sukurto turinio komunikacija atliekant adaptacijas ir turinio viešinimą kitose šalyse. Išskirtinai tik užsienio rinkoms skirtą konkrečių veiklų komunikaciją Perkančioji organizacija vykdo pagal atskiras sutartis su tiekėjais.</w:t>
      </w:r>
    </w:p>
    <w:p w14:paraId="0CA81FB8" w14:textId="79337FEB" w:rsidR="00325243" w:rsidRPr="0053094E" w:rsidRDefault="00815D5F" w:rsidP="00DB54D7">
      <w:pPr>
        <w:pStyle w:val="ListParagraph"/>
        <w:spacing w:after="0" w:line="240" w:lineRule="auto"/>
        <w:ind w:left="0" w:firstLine="709"/>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21C9580" w:rsidR="00004521" w:rsidRDefault="00004521" w:rsidP="00DB54D7">
      <w:pPr>
        <w:pStyle w:val="ListParagraph"/>
        <w:spacing w:after="0" w:line="240" w:lineRule="auto"/>
        <w:ind w:left="0" w:firstLine="567"/>
        <w:jc w:val="both"/>
        <w:rPr>
          <w:rFonts w:cstheme="minorHAnsi"/>
        </w:rPr>
      </w:pPr>
      <w:r>
        <w:rPr>
          <w:rFonts w:cstheme="minorHAnsi"/>
        </w:rPr>
        <w:t>2.</w:t>
      </w:r>
      <w:r w:rsidR="0053094E">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4A7FE06" w14:textId="5348704C" w:rsidR="00BE0587" w:rsidRPr="00DB54D7" w:rsidRDefault="00862DB8" w:rsidP="00DB54D7">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6CB0474"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E2F32">
        <w:rPr>
          <w:rFonts w:eastAsia="Calibri"/>
        </w:rPr>
        <w:t>3</w:t>
      </w:r>
      <w:r w:rsidR="009E2F32">
        <w:rPr>
          <w:color w:val="00B050"/>
        </w:rPr>
        <w:t xml:space="preserve"> </w:t>
      </w:r>
      <w:r w:rsidR="006773B6" w:rsidRPr="127DD6E8">
        <w:rPr>
          <w:rFonts w:eastAsia="Calibri"/>
        </w:rPr>
        <w:t>priede</w:t>
      </w:r>
      <w:r w:rsidR="002C5249" w:rsidRPr="127DD6E8">
        <w:t xml:space="preserve">. </w:t>
      </w:r>
    </w:p>
    <w:p w14:paraId="34E32D48" w14:textId="0302B349" w:rsidR="007B6F6D" w:rsidRPr="009E2F32" w:rsidRDefault="00970624" w:rsidP="00970624">
      <w:pPr>
        <w:pStyle w:val="ListParagraph"/>
        <w:tabs>
          <w:tab w:val="left" w:pos="851"/>
        </w:tabs>
        <w:spacing w:after="0" w:line="20" w:lineRule="atLeast"/>
        <w:ind w:left="0" w:firstLine="567"/>
        <w:jc w:val="both"/>
        <w:rPr>
          <w:highlight w:val="yellow"/>
        </w:rPr>
      </w:pPr>
      <w:r w:rsidRPr="009E2F32">
        <w:lastRenderedPageBreak/>
        <w:t>4.2.</w:t>
      </w:r>
      <w:r w:rsidR="00990E9B" w:rsidRPr="009E2F32">
        <w:t xml:space="preserve"> </w:t>
      </w:r>
      <w:r w:rsidR="00A6625B" w:rsidRPr="009E2F32">
        <w:t xml:space="preserve">Tiekėjams nustatomi kvalifikacijos reikalavimai ir (arba) reikalavimai dėl kokybės vadybos sistemos ir (arba) aplinkos apsaugos vadybos sistemos standartų laikymosi ir jų atitiktį patvirtinantys dokumentai nurodyti </w:t>
      </w:r>
      <w:r w:rsidR="00765189" w:rsidRPr="009E2F32">
        <w:t>specialiųjų p</w:t>
      </w:r>
      <w:r w:rsidR="00551FA7" w:rsidRPr="009E2F32">
        <w:t xml:space="preserve">irkimo </w:t>
      </w:r>
      <w:r w:rsidR="00A6625B" w:rsidRPr="009E2F32">
        <w:t xml:space="preserve">sąlygų </w:t>
      </w:r>
      <w:r w:rsidR="009E2F32" w:rsidRPr="009E2F32">
        <w:t xml:space="preserve">4 </w:t>
      </w:r>
      <w:r w:rsidR="00A6625B" w:rsidRPr="009E2F32">
        <w:t xml:space="preserve">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7C395509"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AE7359" w:rsidRPr="00E624D9">
        <w:rPr>
          <w:rFonts w:cstheme="minorHAnsi"/>
          <w:b/>
          <w:bCs/>
          <w:color w:val="000000" w:themeColor="text1"/>
        </w:rPr>
        <w:t xml:space="preserve">Tiekėjai, </w:t>
      </w:r>
      <w:r w:rsidR="00AE7359" w:rsidRPr="00E624D9">
        <w:rPr>
          <w:rFonts w:cstheme="minorHAnsi"/>
          <w:b/>
          <w:bCs/>
          <w:color w:val="000000" w:themeColor="text1"/>
          <w:u w:val="single"/>
        </w:rPr>
        <w:t>teikdami pasiūlymus, tuo deklaruoja</w:t>
      </w:r>
      <w:r w:rsidR="00AE7359" w:rsidRPr="00E624D9">
        <w:rPr>
          <w:rFonts w:cstheme="minorHAnsi"/>
          <w:b/>
          <w:bCs/>
          <w:color w:val="000000" w:themeColor="text1"/>
        </w:rPr>
        <w:t>, kad jiems nėra taikomi Reglamente nustatyti ribojimai.</w:t>
      </w:r>
      <w:r w:rsidR="00AE7359" w:rsidRPr="009B2CEA">
        <w:rPr>
          <w:rFonts w:cstheme="minorHAnsi"/>
          <w:color w:val="000000" w:themeColor="text1"/>
        </w:rPr>
        <w:t xml:space="preserve"> Kilus abejonių dėl tiekėjo (ne)atitikties Reglamento nuostatoms, perkančioji organizacija iš galimo laimėtojo prašys pateikti dokumentus, įrodančius, kad jam nėra taikomi Reglamente nustatyti ribojimai.</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106104F1" w14:textId="6DEE4E44" w:rsidR="00976A65" w:rsidRPr="00DB7E75" w:rsidRDefault="00D24970" w:rsidP="00DB7E75">
      <w:pPr>
        <w:spacing w:after="0" w:line="240" w:lineRule="auto"/>
        <w:ind w:firstLine="567"/>
        <w:jc w:val="both"/>
        <w:rPr>
          <w:rFonts w:cstheme="minorHAnsi"/>
          <w:color w:val="000000" w:themeColor="text1"/>
        </w:rPr>
      </w:pPr>
      <w:r>
        <w:rPr>
          <w:rFonts w:cstheme="minorHAnsi"/>
          <w:color w:val="000000" w:themeColor="text1"/>
        </w:rPr>
        <w:t>5</w:t>
      </w:r>
      <w:r w:rsidR="006B35FA" w:rsidRPr="007872CB">
        <w:rPr>
          <w:rFonts w:cstheme="minorHAnsi"/>
          <w:color w:val="000000" w:themeColor="text1"/>
        </w:rPr>
        <w:t>.</w:t>
      </w:r>
      <w:r w:rsidR="002A637A">
        <w:rPr>
          <w:rFonts w:cstheme="minorHAnsi"/>
          <w:color w:val="000000" w:themeColor="text1"/>
        </w:rPr>
        <w:t>3</w:t>
      </w:r>
      <w:r w:rsidR="006B35FA" w:rsidRPr="007872CB">
        <w:rPr>
          <w:rFonts w:cstheme="minorHAnsi"/>
          <w:color w:val="000000" w:themeColor="text1"/>
        </w:rPr>
        <w:t>.</w:t>
      </w:r>
      <w:r w:rsidR="001A409D">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VPĮ 45 straipsnio 2</w:t>
      </w:r>
      <w:r w:rsidR="001A0B73" w:rsidRPr="0093261C">
        <w:rPr>
          <w:rFonts w:cstheme="minorHAnsi"/>
          <w:iCs/>
          <w:vertAlign w:val="superscript"/>
        </w:rPr>
        <w:t>1</w:t>
      </w:r>
      <w:r w:rsidR="001A0B73" w:rsidRPr="0093261C">
        <w:rPr>
          <w:rFonts w:cstheme="minorHAnsi"/>
          <w:iCs/>
        </w:rPr>
        <w:t xml:space="preserve"> dalies 1-3 punktuose nurodyt</w:t>
      </w:r>
      <w:r w:rsidR="00E9667A">
        <w:rPr>
          <w:rFonts w:cstheme="minorHAnsi"/>
          <w:iCs/>
        </w:rPr>
        <w:t>ų</w:t>
      </w:r>
      <w:r w:rsidR="001A0B73" w:rsidRPr="0093261C">
        <w:rPr>
          <w:rFonts w:cstheme="minorHAnsi"/>
          <w:iCs/>
        </w:rPr>
        <w:t xml:space="preserve"> sąlyg</w:t>
      </w:r>
      <w:r w:rsidR="00E9667A">
        <w:rPr>
          <w:rFonts w:cstheme="minorHAnsi"/>
          <w:iCs/>
        </w:rPr>
        <w:t>ų</w:t>
      </w:r>
      <w:r w:rsidR="00DB7E75">
        <w:rPr>
          <w:rFonts w:cstheme="minorHAnsi"/>
          <w:iCs/>
        </w:rPr>
        <w:t>.</w:t>
      </w:r>
      <w:r w:rsidR="00DB7E75" w:rsidRPr="00DB7E75">
        <w:rPr>
          <w:rFonts w:cstheme="minorHAnsi"/>
          <w:color w:val="000000" w:themeColor="text1"/>
        </w:rPr>
        <w:t xml:space="preserve"> </w:t>
      </w:r>
      <w:r w:rsidR="00DB7E75" w:rsidRPr="00365833">
        <w:rPr>
          <w:rFonts w:cstheme="minorHAnsi"/>
          <w:color w:val="000000" w:themeColor="text1"/>
        </w:rPr>
        <w:t>Tiekėjai, teikdami pasiūlymus pirkimui, tuo deklaruoja, kad jiems nėra takoma nei viena iš</w:t>
      </w:r>
      <w:r w:rsidR="00DB7E75">
        <w:rPr>
          <w:rFonts w:cstheme="minorHAnsi"/>
          <w:color w:val="000000" w:themeColor="text1"/>
        </w:rPr>
        <w:t xml:space="preserve"> </w:t>
      </w:r>
      <w:r w:rsidR="00DB7E75" w:rsidRPr="0093261C">
        <w:rPr>
          <w:rFonts w:cstheme="minorHAnsi"/>
          <w:iCs/>
        </w:rPr>
        <w:t>VPĮ 45 straipsnio 2</w:t>
      </w:r>
      <w:r w:rsidR="00DB7E75" w:rsidRPr="0093261C">
        <w:rPr>
          <w:rFonts w:cstheme="minorHAnsi"/>
          <w:iCs/>
          <w:vertAlign w:val="superscript"/>
        </w:rPr>
        <w:t>1</w:t>
      </w:r>
      <w:r w:rsidR="00DB7E75" w:rsidRPr="0093261C">
        <w:rPr>
          <w:rFonts w:cstheme="minorHAnsi"/>
          <w:iCs/>
        </w:rPr>
        <w:t xml:space="preserve"> dalies 1-3 punktuose nurodyt</w:t>
      </w:r>
      <w:r w:rsidR="00DB7E75">
        <w:rPr>
          <w:rFonts w:cstheme="minorHAnsi"/>
          <w:iCs/>
        </w:rPr>
        <w:t>ų</w:t>
      </w:r>
      <w:r w:rsidR="00DB7E75" w:rsidRPr="0093261C">
        <w:rPr>
          <w:rFonts w:cstheme="minorHAnsi"/>
          <w:iCs/>
        </w:rPr>
        <w:t xml:space="preserve"> sąlyg</w:t>
      </w:r>
      <w:r w:rsidR="00DB7E75">
        <w:rPr>
          <w:rFonts w:cstheme="minorHAnsi"/>
          <w:iCs/>
        </w:rPr>
        <w:t>ų.</w:t>
      </w:r>
    </w:p>
    <w:p w14:paraId="4F085097" w14:textId="4701C972" w:rsidR="00CB7156" w:rsidRPr="00166073" w:rsidRDefault="00D24970" w:rsidP="00166073">
      <w:pPr>
        <w:pStyle w:val="ListParagraph"/>
        <w:spacing w:after="0" w:line="240" w:lineRule="auto"/>
        <w:ind w:left="0" w:firstLine="567"/>
        <w:jc w:val="both"/>
        <w:rPr>
          <w:rFonts w:cstheme="minorHAnsi"/>
        </w:rPr>
      </w:pPr>
      <w:r>
        <w:rPr>
          <w:rFonts w:cstheme="minorHAnsi"/>
        </w:rPr>
        <w:t>5</w:t>
      </w:r>
      <w:r w:rsidR="00A343F4">
        <w:rPr>
          <w:rFonts w:cstheme="minorHAnsi"/>
        </w:rPr>
        <w:t xml:space="preserve">.4. </w:t>
      </w:r>
      <w:r w:rsidR="00456A2D">
        <w:rPr>
          <w:rFonts w:cstheme="minorHAnsi"/>
        </w:rPr>
        <w:t xml:space="preserve">Perkančiajai organizacijai kilus abejonių </w:t>
      </w:r>
      <w:r w:rsidR="00B34975" w:rsidRPr="00365833">
        <w:rPr>
          <w:rFonts w:cstheme="minorHAnsi"/>
          <w:color w:val="000000" w:themeColor="text1"/>
        </w:rPr>
        <w:t xml:space="preserve">dėl tiekėjo (ne)atitikties </w:t>
      </w:r>
      <w:r w:rsidR="00B34975" w:rsidRPr="0093261C">
        <w:rPr>
          <w:rFonts w:cstheme="minorHAnsi"/>
          <w:iCs/>
        </w:rPr>
        <w:t>VPĮ 45 straipsnio 2</w:t>
      </w:r>
      <w:r w:rsidR="00B34975" w:rsidRPr="0093261C">
        <w:rPr>
          <w:rFonts w:cstheme="minorHAnsi"/>
          <w:iCs/>
          <w:vertAlign w:val="superscript"/>
        </w:rPr>
        <w:t>1</w:t>
      </w:r>
      <w:r w:rsidR="00B34975" w:rsidRPr="0093261C">
        <w:rPr>
          <w:rFonts w:cstheme="minorHAnsi"/>
          <w:iCs/>
        </w:rPr>
        <w:t xml:space="preserve"> dalies 1-3 punkt</w:t>
      </w:r>
      <w:r w:rsidR="00B34975">
        <w:rPr>
          <w:rFonts w:cstheme="minorHAnsi"/>
          <w:iCs/>
        </w:rPr>
        <w:t>ų reikalavimams</w:t>
      </w:r>
      <w:r w:rsidR="00046DDC">
        <w:rPr>
          <w:rFonts w:cstheme="minorHAnsi"/>
        </w:rPr>
        <w:t xml:space="preserve">,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7D7B01">
        <w:rPr>
          <w:rFonts w:cstheme="minorHAnsi"/>
        </w:rPr>
        <w:t>minėtą (ne)atitiktį</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D4F16E3" w14:textId="16FD1EA6" w:rsidR="00701577" w:rsidRPr="008567E3" w:rsidRDefault="002257D8" w:rsidP="008567E3">
      <w:pPr>
        <w:pStyle w:val="ListParagraph"/>
        <w:spacing w:after="0" w:line="240" w:lineRule="auto"/>
        <w:ind w:left="0" w:firstLine="567"/>
        <w:jc w:val="both"/>
        <w:rPr>
          <w:i/>
        </w:rPr>
      </w:pPr>
      <w:r w:rsidRPr="008567E3">
        <w:rPr>
          <w:i/>
        </w:rPr>
        <w:t xml:space="preserve">Šio skyriaus 5.3 </w:t>
      </w:r>
      <w:r w:rsidR="003E664F" w:rsidRPr="008567E3">
        <w:rPr>
          <w:i/>
        </w:rPr>
        <w:t>–</w:t>
      </w:r>
      <w:r w:rsidRPr="008567E3">
        <w:rPr>
          <w:i/>
        </w:rPr>
        <w:t xml:space="preserve"> </w:t>
      </w:r>
      <w:r w:rsidR="003E664F" w:rsidRPr="008567E3">
        <w:rPr>
          <w:i/>
        </w:rPr>
        <w:t xml:space="preserve">5.4 </w:t>
      </w:r>
      <w:r w:rsidR="00C84723" w:rsidRPr="008567E3">
        <w:rPr>
          <w:i/>
        </w:rPr>
        <w:t xml:space="preserve"> punktų </w:t>
      </w:r>
      <w:r w:rsidR="005269B3" w:rsidRPr="008567E3">
        <w:rPr>
          <w:i/>
        </w:rPr>
        <w:t>nuostatos taikomos</w:t>
      </w:r>
      <w:r w:rsidR="005F1245" w:rsidRPr="008567E3">
        <w:rPr>
          <w:i/>
        </w:rPr>
        <w:t xml:space="preserve"> tik</w:t>
      </w:r>
      <w:r w:rsidR="005269B3" w:rsidRPr="008567E3">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29C9D4CE" w:rsidR="00E101B8" w:rsidRPr="00A028CC" w:rsidRDefault="000D26D8" w:rsidP="00B37D1A">
      <w:pPr>
        <w:pStyle w:val="ListParagraph"/>
        <w:numPr>
          <w:ilvl w:val="2"/>
          <w:numId w:val="63"/>
        </w:numPr>
        <w:spacing w:after="0" w:line="240" w:lineRule="auto"/>
        <w:ind w:left="0" w:firstLine="708"/>
        <w:jc w:val="both"/>
        <w:rPr>
          <w:rFonts w:eastAsia="Calibri" w:cstheme="minorHAnsi"/>
          <w:b/>
          <w:i/>
        </w:rPr>
      </w:pPr>
      <w:r w:rsidRPr="009C06DA">
        <w:rPr>
          <w:rFonts w:eastAsiaTheme="minorHAnsi" w:cstheme="minorHAnsi"/>
          <w:b/>
          <w:iCs/>
        </w:rPr>
        <w:t xml:space="preserve">CVP IS pasiūlymo lango </w:t>
      </w:r>
      <w:r w:rsidR="00B37D1A">
        <w:rPr>
          <w:rFonts w:eastAsiaTheme="minorHAnsi" w:cstheme="minorHAnsi"/>
          <w:b/>
          <w:iCs/>
        </w:rPr>
        <w:t>„Tinkamumo kriterijai“ ir „Techninis“ skiltyse prisegti dokumentai ir nurodyta informacija:</w:t>
      </w:r>
    </w:p>
    <w:p w14:paraId="37F5124E" w14:textId="4E8B2B7E" w:rsidR="00E101B8" w:rsidRPr="00E101B8" w:rsidRDefault="0030313E" w:rsidP="00DF6A09">
      <w:pPr>
        <w:spacing w:after="0" w:line="240" w:lineRule="auto"/>
        <w:ind w:firstLine="709"/>
        <w:jc w:val="both"/>
        <w:rPr>
          <w:rFonts w:ascii="Calibri" w:hAnsi="Calibri" w:cs="Calibri"/>
        </w:rPr>
      </w:pPr>
      <w:r w:rsidRPr="009C06DA">
        <w:rPr>
          <w:rFonts w:eastAsiaTheme="minorHAnsi" w:cstheme="minorHAnsi"/>
          <w:b/>
          <w:iCs/>
        </w:rPr>
        <w:t xml:space="preserve"> </w:t>
      </w:r>
      <w:r w:rsidR="00E101B8" w:rsidRPr="00E101B8">
        <w:rPr>
          <w:rFonts w:ascii="Calibri" w:hAnsi="Calibri" w:cs="Calibri"/>
        </w:rPr>
        <w:t>6.1.1.</w:t>
      </w:r>
      <w:r w:rsidR="00C7179F">
        <w:rPr>
          <w:rFonts w:ascii="Calibri" w:hAnsi="Calibri" w:cs="Calibri"/>
        </w:rPr>
        <w:t xml:space="preserve">1. </w:t>
      </w:r>
      <w:r w:rsidR="00E101B8" w:rsidRPr="00E101B8">
        <w:rPr>
          <w:rFonts w:ascii="Calibri" w:hAnsi="Calibri" w:cs="Calibri"/>
        </w:rPr>
        <w:t xml:space="preserve">užpildyta </w:t>
      </w:r>
      <w:r w:rsidR="005F152B">
        <w:rPr>
          <w:rFonts w:ascii="Calibri" w:hAnsi="Calibri" w:cs="Calibri"/>
        </w:rPr>
        <w:t>p</w:t>
      </w:r>
      <w:r w:rsidR="00E101B8" w:rsidRPr="00E101B8">
        <w:rPr>
          <w:rFonts w:ascii="Calibri" w:hAnsi="Calibri" w:cs="Calibri"/>
        </w:rPr>
        <w:t>asiūlymo formos</w:t>
      </w:r>
      <w:r w:rsidR="000E7CF8">
        <w:rPr>
          <w:rFonts w:ascii="Calibri" w:hAnsi="Calibri" w:cs="Calibri"/>
        </w:rPr>
        <w:t>, pateiktos specialiųjų pirkimo sąlygų</w:t>
      </w:r>
      <w:r w:rsidR="002038BA">
        <w:rPr>
          <w:rFonts w:ascii="Calibri" w:hAnsi="Calibri" w:cs="Calibri"/>
        </w:rPr>
        <w:t xml:space="preserve"> 6</w:t>
      </w:r>
      <w:r w:rsidR="000E7CF8">
        <w:rPr>
          <w:rFonts w:ascii="Calibri" w:hAnsi="Calibri" w:cs="Calibri"/>
        </w:rPr>
        <w:t xml:space="preserve"> priede</w:t>
      </w:r>
      <w:r w:rsidR="005F152B">
        <w:rPr>
          <w:rFonts w:ascii="Calibri" w:hAnsi="Calibri" w:cs="Calibri"/>
        </w:rPr>
        <w:t>,</w:t>
      </w:r>
      <w:r w:rsidR="000E7CF8">
        <w:rPr>
          <w:rFonts w:ascii="Calibri" w:hAnsi="Calibri" w:cs="Calibri"/>
        </w:rPr>
        <w:t xml:space="preserve"> </w:t>
      </w:r>
      <w:r w:rsidR="00E101B8" w:rsidRPr="00E101B8">
        <w:rPr>
          <w:rFonts w:ascii="Calibri" w:hAnsi="Calibri" w:cs="Calibri"/>
        </w:rPr>
        <w:t xml:space="preserve"> dalis</w:t>
      </w:r>
      <w:r w:rsidR="00E101B8" w:rsidRPr="002038BA">
        <w:rPr>
          <w:rFonts w:ascii="Calibri" w:hAnsi="Calibri" w:cs="Calibri"/>
        </w:rPr>
        <w:t>;</w:t>
      </w:r>
      <w:r w:rsidR="00E101B8" w:rsidRPr="00E101B8">
        <w:rPr>
          <w:rFonts w:ascii="Calibri" w:hAnsi="Calibri" w:cs="Calibri"/>
        </w:rPr>
        <w:t xml:space="preserve"> </w:t>
      </w:r>
    </w:p>
    <w:p w14:paraId="4FCC08C9" w14:textId="4DAFA6F3"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C7179F">
        <w:rPr>
          <w:rFonts w:ascii="Calibri" w:hAnsi="Calibri" w:cs="Calibri"/>
        </w:rPr>
        <w:t>1</w:t>
      </w:r>
      <w:r w:rsidRPr="00E101B8">
        <w:rPr>
          <w:rFonts w:ascii="Calibri" w:hAnsi="Calibri" w:cs="Calibri"/>
        </w:rPr>
        <w:t>.</w:t>
      </w:r>
      <w:r w:rsidR="00C7179F">
        <w:rPr>
          <w:rFonts w:ascii="Calibri" w:hAnsi="Calibri" w:cs="Calibri"/>
        </w:rPr>
        <w:t>2.</w:t>
      </w:r>
      <w:r w:rsidRPr="00E101B8">
        <w:rPr>
          <w:rFonts w:ascii="Calibri" w:hAnsi="Calibri" w:cs="Calibri"/>
        </w:rPr>
        <w:t xml:space="preserve"> užpildytas EBVPD (</w:t>
      </w:r>
      <w:r w:rsidR="00AF58B1">
        <w:rPr>
          <w:rFonts w:ascii="Calibri" w:hAnsi="Calibri" w:cs="Calibri"/>
        </w:rPr>
        <w:t>s</w:t>
      </w:r>
      <w:r w:rsidRPr="00E101B8">
        <w:rPr>
          <w:rFonts w:ascii="Calibri" w:hAnsi="Calibri" w:cs="Calibri"/>
        </w:rPr>
        <w:t xml:space="preserve">pecialiųjų </w:t>
      </w:r>
      <w:r w:rsidR="00AF58B1">
        <w:rPr>
          <w:rFonts w:ascii="Calibri" w:hAnsi="Calibri" w:cs="Calibri"/>
        </w:rPr>
        <w:t xml:space="preserve">pirkimo </w:t>
      </w:r>
      <w:r w:rsidRPr="00E101B8">
        <w:rPr>
          <w:rFonts w:ascii="Calibri" w:hAnsi="Calibri" w:cs="Calibri"/>
        </w:rPr>
        <w:t>sąlygų</w:t>
      </w:r>
      <w:r w:rsidR="002038BA">
        <w:rPr>
          <w:rFonts w:ascii="Calibri" w:hAnsi="Calibri" w:cs="Calibri"/>
        </w:rPr>
        <w:t xml:space="preserve"> 5</w:t>
      </w:r>
      <w:r w:rsidRPr="00E101B8">
        <w:rPr>
          <w:rFonts w:ascii="Calibri" w:hAnsi="Calibri" w:cs="Calibri"/>
        </w:rPr>
        <w:t xml:space="preserve"> priedas). </w:t>
      </w:r>
      <w:r w:rsidR="002038BA">
        <w:rPr>
          <w:rFonts w:ascii="Calibri" w:hAnsi="Calibri" w:cs="Calibri"/>
        </w:rPr>
        <w:t xml:space="preserve">Teikdamas </w:t>
      </w:r>
      <w:r w:rsidR="005F152B">
        <w:rPr>
          <w:rFonts w:ascii="Calibri" w:hAnsi="Calibri" w:cs="Calibri"/>
        </w:rPr>
        <w:t>p</w:t>
      </w:r>
      <w:r w:rsidR="00516043">
        <w:rPr>
          <w:rFonts w:ascii="Calibri" w:hAnsi="Calibri" w:cs="Calibri"/>
        </w:rPr>
        <w:t>asiūlymą</w:t>
      </w:r>
      <w:r w:rsidRPr="00E101B8">
        <w:rPr>
          <w:rFonts w:ascii="Calibri" w:hAnsi="Calibri" w:cs="Calibri"/>
        </w:rPr>
        <w:t>, tiekėjas patvirtina ir EBVPD tikrumą;</w:t>
      </w:r>
    </w:p>
    <w:p w14:paraId="6179E7AD" w14:textId="21D6D199" w:rsidR="00E101B8" w:rsidRPr="00516043" w:rsidRDefault="00E101B8" w:rsidP="00DF6A09">
      <w:pPr>
        <w:spacing w:after="0" w:line="240" w:lineRule="auto"/>
        <w:ind w:firstLine="709"/>
        <w:jc w:val="both"/>
        <w:rPr>
          <w:rFonts w:ascii="Calibri" w:hAnsi="Calibri" w:cs="Calibri"/>
        </w:rPr>
      </w:pPr>
      <w:r w:rsidRPr="00E101B8">
        <w:rPr>
          <w:rFonts w:ascii="Calibri" w:hAnsi="Calibri" w:cs="Calibri"/>
        </w:rPr>
        <w:t>6.1.</w:t>
      </w:r>
      <w:r w:rsidR="00A3675E">
        <w:rPr>
          <w:rFonts w:ascii="Calibri" w:hAnsi="Calibri" w:cs="Calibri"/>
        </w:rPr>
        <w:t>1.</w:t>
      </w:r>
      <w:r w:rsidRPr="00E101B8">
        <w:rPr>
          <w:rFonts w:ascii="Calibri" w:hAnsi="Calibri" w:cs="Calibri"/>
        </w:rPr>
        <w:t>3. jungtinės veiklos sutarties kopija</w:t>
      </w:r>
      <w:r w:rsidR="00516043">
        <w:rPr>
          <w:rFonts w:ascii="Calibri" w:hAnsi="Calibri" w:cs="Calibri"/>
        </w:rPr>
        <w:t xml:space="preserve"> </w:t>
      </w:r>
      <w:r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Pr="00E101B8">
        <w:rPr>
          <w:rFonts w:ascii="Calibri" w:hAnsi="Calibri" w:cs="Calibri"/>
        </w:rPr>
        <w:t xml:space="preserve">dalyvauja </w:t>
      </w:r>
      <w:r w:rsidR="00090F9B">
        <w:rPr>
          <w:rFonts w:ascii="Calibri" w:hAnsi="Calibri" w:cs="Calibri"/>
        </w:rPr>
        <w:t>ūkio subjektų</w:t>
      </w:r>
      <w:r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Pr="005F152B">
        <w:rPr>
          <w:rFonts w:ascii="Calibri" w:hAnsi="Calibri" w:cs="Calibri"/>
        </w:rPr>
        <w:t>);</w:t>
      </w:r>
    </w:p>
    <w:p w14:paraId="1CB9BDD4" w14:textId="2DF8F8A7"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4. dokumentas, patvirtinantis, kad asmuo, kuris pasirašė </w:t>
      </w:r>
      <w:r w:rsidR="005F152B">
        <w:rPr>
          <w:rFonts w:ascii="Calibri" w:hAnsi="Calibri" w:cs="Calibri"/>
        </w:rPr>
        <w:t>p</w:t>
      </w:r>
      <w:r w:rsidRPr="00E101B8">
        <w:rPr>
          <w:rFonts w:ascii="Calibri" w:hAnsi="Calibri" w:cs="Calibri"/>
        </w:rPr>
        <w:t xml:space="preserve">asiūlymą (jei jis ne tiekėjo vadovas), turėjo teisę </w:t>
      </w:r>
      <w:r w:rsidR="005647FE">
        <w:rPr>
          <w:rFonts w:ascii="Calibri" w:hAnsi="Calibri" w:cs="Calibri"/>
        </w:rPr>
        <w:t xml:space="preserve">jį </w:t>
      </w:r>
      <w:r w:rsidRPr="00E101B8">
        <w:rPr>
          <w:rFonts w:ascii="Calibri" w:hAnsi="Calibri" w:cs="Calibri"/>
        </w:rPr>
        <w:t>pasirašyti;</w:t>
      </w:r>
    </w:p>
    <w:p w14:paraId="1CB429A9" w14:textId="292DECB4"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5. </w:t>
      </w:r>
      <w:r w:rsidR="005F152B">
        <w:rPr>
          <w:rFonts w:ascii="Calibri" w:hAnsi="Calibri" w:cs="Calibri"/>
        </w:rPr>
        <w:t>p</w:t>
      </w:r>
      <w:r w:rsidRPr="00E101B8">
        <w:rPr>
          <w:rFonts w:ascii="Calibri" w:hAnsi="Calibri" w:cs="Calibri"/>
        </w:rPr>
        <w:t>asiūlymo galiojimą užtikrinantis dokumentas (jeigu reikalaujama);</w:t>
      </w:r>
    </w:p>
    <w:p w14:paraId="46AF0259" w14:textId="455E84CD"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6C9B80ED"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7. jei tiekėjas pasitelkia subtiekėjus, subtiekėjo</w:t>
      </w:r>
      <w:r w:rsidR="0080573E">
        <w:rPr>
          <w:rFonts w:ascii="Calibri" w:hAnsi="Calibri" w:cs="Calibri"/>
        </w:rPr>
        <w:t xml:space="preserve"> </w:t>
      </w:r>
      <w:r w:rsidRPr="00E101B8">
        <w:rPr>
          <w:rFonts w:ascii="Calibri" w:hAnsi="Calibri" w:cs="Calibri"/>
        </w:rPr>
        <w:t xml:space="preserve">deklaracija ar kitas dokumentas, patvirtinantis jo sutikimą būti subtiekėju </w:t>
      </w:r>
      <w:r w:rsidR="005F152B">
        <w:rPr>
          <w:rFonts w:ascii="Calibri" w:hAnsi="Calibri" w:cs="Calibri"/>
        </w:rPr>
        <w:t>p</w:t>
      </w:r>
      <w:r w:rsidR="0080573E">
        <w:rPr>
          <w:rFonts w:ascii="Calibri" w:hAnsi="Calibri" w:cs="Calibri"/>
        </w:rPr>
        <w:t>irkime</w:t>
      </w:r>
      <w:r w:rsidRPr="00E101B8">
        <w:rPr>
          <w:rFonts w:ascii="Calibri" w:hAnsi="Calibri" w:cs="Calibri"/>
        </w:rPr>
        <w:t>;</w:t>
      </w:r>
    </w:p>
    <w:p w14:paraId="0A34792B" w14:textId="4069A335"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8. dokumentai, patvirtinantys, kad ūkio subjektas, kurio pajėgumais tiekėjas remiasi, atsižvelgdamas į </w:t>
      </w:r>
      <w:r w:rsidR="004A553B">
        <w:rPr>
          <w:rFonts w:ascii="Calibri" w:hAnsi="Calibri" w:cs="Calibri"/>
        </w:rPr>
        <w:t xml:space="preserve">specialiųjų </w:t>
      </w:r>
      <w:r w:rsidRPr="00E101B8">
        <w:rPr>
          <w:rFonts w:ascii="Calibri" w:hAnsi="Calibri" w:cs="Calibri"/>
        </w:rPr>
        <w:t xml:space="preserve">pirkimo </w:t>
      </w:r>
      <w:r w:rsidR="004A553B">
        <w:rPr>
          <w:rFonts w:ascii="Calibri" w:hAnsi="Calibri" w:cs="Calibri"/>
        </w:rPr>
        <w:t>sąlygų</w:t>
      </w:r>
      <w:r w:rsidR="009B6693">
        <w:rPr>
          <w:rFonts w:ascii="Calibri" w:hAnsi="Calibri" w:cs="Calibri"/>
        </w:rPr>
        <w:t xml:space="preserve"> 4</w:t>
      </w:r>
      <w:r w:rsidR="004A553B">
        <w:rPr>
          <w:rFonts w:ascii="Calibri" w:hAnsi="Calibri" w:cs="Calibri"/>
        </w:rPr>
        <w:t xml:space="preserve"> </w:t>
      </w:r>
      <w:r w:rsidR="00AC4350">
        <w:rPr>
          <w:rFonts w:ascii="Calibri" w:hAnsi="Calibri" w:cs="Calibri"/>
        </w:rPr>
        <w:t>priede</w:t>
      </w:r>
      <w:r w:rsidRPr="00E101B8">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Pr>
          <w:rFonts w:ascii="Calibri" w:hAnsi="Calibri" w:cs="Calibri"/>
        </w:rPr>
        <w:t xml:space="preserve"> (jei </w:t>
      </w:r>
      <w:r w:rsidR="00202DC9">
        <w:rPr>
          <w:rFonts w:ascii="Calibri" w:hAnsi="Calibri" w:cs="Calibri"/>
        </w:rPr>
        <w:t>perkančioji organizacija kelia tokius kvalifikacijos reikalavimus ir reikalauja prisiimti solidarią atsakomybę)</w:t>
      </w:r>
      <w:r w:rsidRPr="00E101B8">
        <w:rPr>
          <w:rFonts w:ascii="Calibri" w:hAnsi="Calibri" w:cs="Calibri"/>
        </w:rPr>
        <w:t>;</w:t>
      </w:r>
      <w:r w:rsidRPr="00E101B8">
        <w:rPr>
          <w:rFonts w:ascii="Calibri" w:hAnsi="Calibri" w:cs="Calibri"/>
          <w:i/>
          <w:iCs/>
          <w:color w:val="FF0000"/>
        </w:rPr>
        <w:t xml:space="preserve"> </w:t>
      </w:r>
    </w:p>
    <w:p w14:paraId="1A190BCA" w14:textId="1B9742D2" w:rsidR="00E101B8" w:rsidRPr="00E101B8" w:rsidRDefault="00E101B8" w:rsidP="005F152B">
      <w:pPr>
        <w:spacing w:after="0" w:line="240" w:lineRule="auto"/>
        <w:ind w:firstLine="709"/>
        <w:jc w:val="both"/>
        <w:rPr>
          <w:rFonts w:ascii="Calibri" w:hAnsi="Calibri" w:cs="Calibri"/>
        </w:rPr>
      </w:pPr>
      <w:r w:rsidRPr="005F152B">
        <w:rPr>
          <w:rFonts w:ascii="Calibri" w:hAnsi="Calibri" w:cs="Calibri"/>
        </w:rPr>
        <w:t>6.1.</w:t>
      </w:r>
      <w:r w:rsidR="003D517C">
        <w:rPr>
          <w:rFonts w:ascii="Calibri" w:hAnsi="Calibri" w:cs="Calibri"/>
        </w:rPr>
        <w:t>1.</w:t>
      </w:r>
      <w:r w:rsidRPr="005F152B">
        <w:rPr>
          <w:rFonts w:ascii="Calibri" w:hAnsi="Calibri" w:cs="Calibri"/>
        </w:rPr>
        <w:t xml:space="preserve">9.  </w:t>
      </w:r>
      <w:r w:rsidR="001E2CEE">
        <w:rPr>
          <w:rFonts w:ascii="Calibri" w:hAnsi="Calibri" w:cs="Calibri"/>
        </w:rPr>
        <w:t xml:space="preserve">Pagal </w:t>
      </w:r>
      <w:r w:rsidR="00356E44">
        <w:rPr>
          <w:rFonts w:ascii="Calibri" w:hAnsi="Calibri" w:cs="Calibri"/>
        </w:rPr>
        <w:t xml:space="preserve">pirkimo sąlygų </w:t>
      </w:r>
      <w:r w:rsidR="00356E44">
        <w:rPr>
          <w:rFonts w:ascii="Calibri" w:hAnsi="Calibri" w:cs="Calibri"/>
          <w:color w:val="000000" w:themeColor="text1"/>
        </w:rPr>
        <w:t>8</w:t>
      </w:r>
      <w:r w:rsidR="00356E44" w:rsidRPr="00900A2E">
        <w:rPr>
          <w:rFonts w:ascii="Calibri" w:hAnsi="Calibri" w:cs="Calibri"/>
          <w:color w:val="000000" w:themeColor="text1"/>
        </w:rPr>
        <w:t xml:space="preserve"> </w:t>
      </w:r>
      <w:r w:rsidR="00356E44">
        <w:rPr>
          <w:rFonts w:ascii="Calibri" w:hAnsi="Calibri" w:cs="Calibri"/>
        </w:rPr>
        <w:t xml:space="preserve">priedo </w:t>
      </w:r>
      <w:r w:rsidR="001E2CEE">
        <w:rPr>
          <w:rFonts w:ascii="Calibri" w:hAnsi="Calibri" w:cs="Calibri"/>
        </w:rPr>
        <w:t>T1 kriterijų parengtas Komunikacijos planas</w:t>
      </w:r>
      <w:r w:rsidR="00C52C3F">
        <w:rPr>
          <w:rFonts w:ascii="Calibri" w:hAnsi="Calibri" w:cs="Calibri"/>
        </w:rPr>
        <w:t>, T2 kriterijuje reikalaujami dokumentai</w:t>
      </w:r>
      <w:r w:rsidR="001E2CEE">
        <w:rPr>
          <w:rFonts w:ascii="Calibri" w:hAnsi="Calibri" w:cs="Calibri"/>
        </w:rPr>
        <w:t xml:space="preserve"> ir </w:t>
      </w:r>
      <w:r w:rsidR="00D231F0">
        <w:rPr>
          <w:rFonts w:ascii="Calibri" w:hAnsi="Calibri" w:cs="Calibri"/>
          <w:color w:val="000000" w:themeColor="text1"/>
        </w:rPr>
        <w:t xml:space="preserve">kiti techniniai dokumentai, reikalaujami </w:t>
      </w:r>
      <w:r w:rsidR="00D231F0">
        <w:rPr>
          <w:rFonts w:ascii="Calibri" w:hAnsi="Calibri" w:cs="Calibri"/>
        </w:rPr>
        <w:t xml:space="preserve">pirkimo sąlygų </w:t>
      </w:r>
      <w:r w:rsidR="00D231F0">
        <w:rPr>
          <w:rFonts w:ascii="Calibri" w:hAnsi="Calibri" w:cs="Calibri"/>
          <w:color w:val="000000" w:themeColor="text1"/>
        </w:rPr>
        <w:t>8</w:t>
      </w:r>
      <w:r w:rsidR="00D231F0" w:rsidRPr="00900A2E">
        <w:rPr>
          <w:rFonts w:ascii="Calibri" w:hAnsi="Calibri" w:cs="Calibri"/>
          <w:color w:val="000000" w:themeColor="text1"/>
        </w:rPr>
        <w:t xml:space="preserve"> </w:t>
      </w:r>
      <w:r w:rsidR="00D231F0">
        <w:rPr>
          <w:rFonts w:ascii="Calibri" w:hAnsi="Calibri" w:cs="Calibri"/>
        </w:rPr>
        <w:t>priede „</w:t>
      </w:r>
      <w:r w:rsidR="00D231F0" w:rsidRPr="008A34D3">
        <w:rPr>
          <w:rFonts w:ascii="Calibri" w:hAnsi="Calibri" w:cs="Calibri"/>
        </w:rPr>
        <w:t>Pasiūlymų ekonominio naudingumo vertinimo metodika</w:t>
      </w:r>
      <w:r w:rsidR="00D231F0">
        <w:rPr>
          <w:rFonts w:ascii="Calibri" w:hAnsi="Calibri" w:cs="Calibri"/>
        </w:rPr>
        <w:t>“.</w:t>
      </w:r>
    </w:p>
    <w:p w14:paraId="360CD247" w14:textId="741F55C2" w:rsidR="000D26D8" w:rsidRPr="0058726C" w:rsidRDefault="000D26D8" w:rsidP="005F152B">
      <w:pPr>
        <w:spacing w:after="0" w:line="240" w:lineRule="auto"/>
        <w:ind w:firstLine="709"/>
        <w:jc w:val="both"/>
        <w:rPr>
          <w:rFonts w:ascii="Calibri" w:hAnsi="Calibri" w:cs="Calibri"/>
          <w:color w:val="7030A0"/>
        </w:rPr>
      </w:pPr>
    </w:p>
    <w:p w14:paraId="23612544" w14:textId="4CABFF22" w:rsidR="006944F4" w:rsidRDefault="009C06DA" w:rsidP="009C06DA">
      <w:pPr>
        <w:pStyle w:val="ListParagraph"/>
        <w:spacing w:after="0" w:line="20" w:lineRule="atLeast"/>
        <w:ind w:left="0" w:firstLine="709"/>
        <w:jc w:val="both"/>
        <w:rPr>
          <w:rFonts w:cstheme="minorHAnsi"/>
          <w:b/>
        </w:rPr>
      </w:pPr>
      <w:r>
        <w:rPr>
          <w:rFonts w:cstheme="minorHAnsi"/>
          <w:bCs/>
        </w:rPr>
        <w:t>6</w:t>
      </w:r>
      <w:r w:rsidR="00D33F7A" w:rsidRPr="003741D5">
        <w:rPr>
          <w:rFonts w:cstheme="minorHAnsi"/>
          <w:bCs/>
        </w:rPr>
        <w:t>.</w:t>
      </w:r>
      <w:r w:rsidR="00C7179F">
        <w:rPr>
          <w:rFonts w:cstheme="minorHAnsi"/>
          <w:bCs/>
        </w:rPr>
        <w:t>1.2.</w:t>
      </w:r>
      <w:r w:rsidR="00D33F7A" w:rsidRPr="003741D5">
        <w:rPr>
          <w:rFonts w:cstheme="minorHAnsi"/>
          <w:b/>
        </w:rPr>
        <w:t xml:space="preserve"> </w:t>
      </w:r>
      <w:r w:rsidR="00F10572">
        <w:rPr>
          <w:rFonts w:cstheme="minorHAnsi"/>
          <w:b/>
        </w:rPr>
        <w:t>Antrąjį voką sudaro CVP IS pasiūlymo lango „Finansinis“ skiltyje prisegti dokumentai ir nurodyta informacija</w:t>
      </w:r>
      <w:r w:rsidR="006944F4" w:rsidRPr="006944F4">
        <w:rPr>
          <w:rFonts w:cstheme="minorHAnsi"/>
          <w:b/>
        </w:rPr>
        <w:t>:</w:t>
      </w:r>
    </w:p>
    <w:p w14:paraId="044AD407" w14:textId="07CE1270" w:rsidR="00CC108F" w:rsidRPr="005F152B" w:rsidRDefault="00B16159" w:rsidP="005F152B">
      <w:pPr>
        <w:pStyle w:val="ListParagraph"/>
        <w:spacing w:after="0" w:line="20" w:lineRule="atLeast"/>
        <w:ind w:left="0" w:firstLine="709"/>
        <w:jc w:val="both"/>
        <w:rPr>
          <w:rFonts w:cstheme="minorHAnsi"/>
          <w:b/>
        </w:rPr>
      </w:pPr>
      <w:r w:rsidRPr="005F152B">
        <w:rPr>
          <w:rFonts w:cstheme="minorHAnsi"/>
          <w:bCs/>
        </w:rPr>
        <w:t>6.</w:t>
      </w:r>
      <w:r w:rsidR="00C7179F">
        <w:rPr>
          <w:rFonts w:cstheme="minorHAnsi"/>
          <w:bCs/>
        </w:rPr>
        <w:t>1</w:t>
      </w:r>
      <w:r w:rsidRPr="005F152B">
        <w:rPr>
          <w:rFonts w:cstheme="minorHAnsi"/>
          <w:bCs/>
        </w:rPr>
        <w:t>.</w:t>
      </w:r>
      <w:r w:rsidR="00C7179F">
        <w:rPr>
          <w:rFonts w:cstheme="minorHAnsi"/>
          <w:bCs/>
        </w:rPr>
        <w:t>2.1.</w:t>
      </w:r>
      <w:r w:rsidR="005F152B">
        <w:rPr>
          <w:rFonts w:cstheme="minorHAnsi"/>
          <w:b/>
        </w:rPr>
        <w:t xml:space="preserve"> </w:t>
      </w:r>
      <w:r w:rsidR="00CC108F" w:rsidRPr="00F32018">
        <w:rPr>
          <w:rFonts w:ascii="Calibri" w:hAnsi="Calibri" w:cs="Calibri"/>
          <w:color w:val="000000"/>
        </w:rPr>
        <w:t xml:space="preserve">užpildyta ir pasirašyta </w:t>
      </w:r>
      <w:r w:rsidR="005F152B">
        <w:rPr>
          <w:rFonts w:ascii="Calibri" w:hAnsi="Calibri" w:cs="Calibri"/>
          <w:color w:val="000000"/>
        </w:rPr>
        <w:t>p</w:t>
      </w:r>
      <w:r w:rsidR="00CC108F" w:rsidRPr="00F32018">
        <w:rPr>
          <w:rFonts w:ascii="Calibri" w:hAnsi="Calibri" w:cs="Calibri"/>
          <w:color w:val="000000"/>
        </w:rPr>
        <w:t>asiūlymo formos</w:t>
      </w:r>
      <w:r w:rsidR="0081570A">
        <w:rPr>
          <w:rFonts w:ascii="Calibri" w:hAnsi="Calibri" w:cs="Calibri"/>
          <w:color w:val="000000"/>
        </w:rPr>
        <w:t xml:space="preserve">, </w:t>
      </w:r>
      <w:r w:rsidR="0081570A">
        <w:rPr>
          <w:rFonts w:ascii="Calibri" w:hAnsi="Calibri" w:cs="Calibri"/>
        </w:rPr>
        <w:t>pateiktos specialiųjų pirkimo sąlygų</w:t>
      </w:r>
      <w:r w:rsidR="002F66F4">
        <w:rPr>
          <w:rFonts w:ascii="Calibri" w:hAnsi="Calibri" w:cs="Calibri"/>
        </w:rPr>
        <w:t xml:space="preserve"> </w:t>
      </w:r>
      <w:r w:rsidR="00B66C39">
        <w:rPr>
          <w:rFonts w:ascii="Calibri" w:hAnsi="Calibri" w:cs="Calibri"/>
        </w:rPr>
        <w:t>9</w:t>
      </w:r>
      <w:r w:rsidR="0081570A">
        <w:rPr>
          <w:rFonts w:ascii="Calibri" w:hAnsi="Calibri" w:cs="Calibri"/>
        </w:rPr>
        <w:t xml:space="preserve"> priede</w:t>
      </w:r>
      <w:r w:rsidR="005647FE">
        <w:rPr>
          <w:rFonts w:ascii="Calibri" w:hAnsi="Calibri" w:cs="Calibri"/>
        </w:rPr>
        <w:t>,</w:t>
      </w:r>
      <w:r w:rsidR="0081570A">
        <w:rPr>
          <w:rFonts w:ascii="Calibri" w:hAnsi="Calibri" w:cs="Calibri"/>
        </w:rPr>
        <w:t xml:space="preserve"> </w:t>
      </w:r>
      <w:r w:rsidR="0081570A" w:rsidRPr="00E101B8">
        <w:rPr>
          <w:rFonts w:ascii="Calibri" w:hAnsi="Calibri" w:cs="Calibri"/>
        </w:rPr>
        <w:t>dalis</w:t>
      </w:r>
      <w:r w:rsidR="0081570A">
        <w:rPr>
          <w:rFonts w:ascii="Calibri" w:hAnsi="Calibri" w:cs="Calibri"/>
        </w:rPr>
        <w:t>,</w:t>
      </w:r>
      <w:r w:rsidR="00CC108F" w:rsidRPr="00F32018">
        <w:rPr>
          <w:rFonts w:ascii="Calibri" w:hAnsi="Calibri" w:cs="Calibri"/>
          <w:color w:val="000000"/>
        </w:rPr>
        <w:t xml:space="preserve"> kurioje įrašoma </w:t>
      </w:r>
      <w:r w:rsidR="005F152B">
        <w:rPr>
          <w:rFonts w:ascii="Calibri" w:hAnsi="Calibri" w:cs="Calibri"/>
          <w:color w:val="000000"/>
        </w:rPr>
        <w:t>p</w:t>
      </w:r>
      <w:r w:rsidR="00CC108F" w:rsidRPr="00F32018">
        <w:rPr>
          <w:rFonts w:ascii="Calibri" w:hAnsi="Calibri" w:cs="Calibri"/>
          <w:color w:val="000000"/>
        </w:rPr>
        <w:t>asiūlymo kaina ar sąnaudos</w:t>
      </w:r>
      <w:r w:rsidR="003D712C">
        <w:rPr>
          <w:rFonts w:ascii="Calibri" w:hAnsi="Calibri" w:cs="Calibri"/>
          <w:color w:val="000000"/>
        </w:rPr>
        <w:t>.</w:t>
      </w:r>
    </w:p>
    <w:p w14:paraId="0E688AF7" w14:textId="77777777" w:rsidR="003D712C" w:rsidRDefault="003D712C" w:rsidP="00450415">
      <w:pPr>
        <w:spacing w:after="0" w:line="240" w:lineRule="auto"/>
        <w:ind w:firstLine="851"/>
        <w:jc w:val="both"/>
        <w:rPr>
          <w:rFonts w:ascii="Calibri" w:hAnsi="Calibri" w:cs="Calibri"/>
          <w:color w:val="000000"/>
        </w:rPr>
      </w:pPr>
    </w:p>
    <w:p w14:paraId="579CC2C8" w14:textId="71077BE7" w:rsidR="00450415" w:rsidRPr="007D1FAF" w:rsidRDefault="007D1FAF" w:rsidP="007D1FAF">
      <w:pPr>
        <w:pStyle w:val="ListParagraph"/>
        <w:numPr>
          <w:ilvl w:val="1"/>
          <w:numId w:val="49"/>
        </w:numPr>
        <w:spacing w:after="0" w:line="240" w:lineRule="auto"/>
        <w:ind w:left="0" w:firstLine="710"/>
        <w:jc w:val="both"/>
        <w:rPr>
          <w:rFonts w:eastAsia="Calibri" w:cstheme="minorHAnsi"/>
        </w:rPr>
      </w:pPr>
      <w:r w:rsidRPr="007D1FAF">
        <w:rPr>
          <w:rFonts w:eastAsia="Calibri" w:cstheme="minorHAnsi"/>
        </w:rPr>
        <w:t xml:space="preserve">Pasiūlymas turi būti pasirašytas elektroniniu parašu, atitinkančiu </w:t>
      </w:r>
      <w:r w:rsidRPr="007D1FAF">
        <w:rPr>
          <w:rFonts w:eastAsia="Calibri"/>
        </w:rPr>
        <w:t>VPĮ 22 straipsnio 11 dalies 2 ir 3 punktuose nustatytus reikalavimus</w:t>
      </w:r>
      <w:r w:rsidRPr="007D1FAF">
        <w:rPr>
          <w:rFonts w:eastAsia="Calibri" w:cstheme="minorHAnsi"/>
        </w:rPr>
        <w:t>, tuo atveju, jei perkančioji organizacija šią prievolę nustatė CVPIS. Jeigu ši prievolė nenustatyta, laikoma, kad tiekėjas, pateikdamas pasiūlymo dokumentus per CVPIS, juos tinkamai patvirtino ir jie yra prilygintini tiekėjo pasirašytiems dokumentams.</w:t>
      </w:r>
    </w:p>
    <w:p w14:paraId="7D84F712" w14:textId="24FA1051" w:rsidR="007D1FAF" w:rsidRPr="007D1FAF" w:rsidRDefault="00345E46" w:rsidP="00345E46">
      <w:pPr>
        <w:pStyle w:val="ListParagraph"/>
        <w:numPr>
          <w:ilvl w:val="1"/>
          <w:numId w:val="49"/>
        </w:numPr>
        <w:spacing w:after="0" w:line="240" w:lineRule="auto"/>
        <w:ind w:left="0" w:firstLine="710"/>
        <w:jc w:val="both"/>
        <w:rPr>
          <w:rFonts w:cstheme="minorHAnsi"/>
        </w:rPr>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esant perkančiosios organizacijos reikalavimui,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003115C3">
        <w:rPr>
          <w:color w:val="000000" w:themeColor="text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127DD6E8">
        <w:t>.</w:t>
      </w:r>
    </w:p>
    <w:p w14:paraId="4172BF9D" w14:textId="0227A661" w:rsidR="00380B99" w:rsidRPr="00B75F6D" w:rsidRDefault="00993731" w:rsidP="00D51C5E">
      <w:pPr>
        <w:pStyle w:val="ListParagraph"/>
        <w:numPr>
          <w:ilvl w:val="1"/>
          <w:numId w:val="49"/>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 xml:space="preserve">), taip pat </w:t>
      </w:r>
      <w:r>
        <w:rPr>
          <w:rFonts w:eastAsia="Arial" w:cstheme="minorHAnsi"/>
        </w:rPr>
        <w:t>š</w:t>
      </w:r>
      <w:r w:rsidRPr="00B75F6D">
        <w:rPr>
          <w:rFonts w:eastAsia="Arial" w:cstheme="minorHAnsi"/>
        </w:rPr>
        <w:t>ią kainą sudarančios kainos sudedamosios dalys ar įkainiai</w:t>
      </w:r>
      <w:r w:rsidRPr="127DD6E8">
        <w:rPr>
          <w:rFonts w:eastAsia="Arial"/>
        </w:rPr>
        <w:t xml:space="preserve"> </w:t>
      </w:r>
      <w:r>
        <w:rPr>
          <w:rFonts w:eastAsia="Arial"/>
        </w:rPr>
        <w:t xml:space="preserve">turi būti nurodoma </w:t>
      </w:r>
      <w:r w:rsidRPr="127DD6E8">
        <w:rPr>
          <w:rFonts w:eastAsia="Arial"/>
        </w:rPr>
        <w:t>dviejų skaičių po kablelio tikslumu.</w:t>
      </w:r>
    </w:p>
    <w:p w14:paraId="22059CDA" w14:textId="115FFCF1"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A217B2">
      <w:pPr>
        <w:pStyle w:val="Heading1"/>
        <w:numPr>
          <w:ilvl w:val="0"/>
          <w:numId w:val="4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CF3E6DD" w14:textId="77777777" w:rsidR="009550CD" w:rsidRDefault="00463619" w:rsidP="00463619">
      <w:pPr>
        <w:pStyle w:val="ListParagraph"/>
        <w:spacing w:after="0" w:line="240" w:lineRule="auto"/>
        <w:ind w:left="0" w:firstLine="567"/>
        <w:jc w:val="both"/>
      </w:pPr>
      <w:r>
        <w:t xml:space="preserve">7.1.  </w:t>
      </w:r>
      <w:r w:rsidRPr="00292F71">
        <w:t xml:space="preserve">Tiekėjas užtikrina savo pasiūlymo galiojimą </w:t>
      </w:r>
      <w:r>
        <w:t>3</w:t>
      </w:r>
      <w:r w:rsidRPr="00292F71">
        <w:t xml:space="preserve"> 000 Eur bauda pateikdamas pasiūlymą</w:t>
      </w:r>
      <w:r>
        <w:t>.</w:t>
      </w:r>
      <w:r w:rsidRPr="00292F71">
        <w:t xml:space="preserve"> </w:t>
      </w:r>
    </w:p>
    <w:p w14:paraId="40B177D4" w14:textId="61ACCCDB" w:rsidR="00463619" w:rsidRPr="00DC5C9E" w:rsidRDefault="009550CD" w:rsidP="00463619">
      <w:pPr>
        <w:pStyle w:val="ListParagraph"/>
        <w:spacing w:after="0" w:line="240" w:lineRule="auto"/>
        <w:ind w:left="0" w:firstLine="567"/>
        <w:jc w:val="both"/>
      </w:pPr>
      <w:r>
        <w:t>7.2. T</w:t>
      </w:r>
      <w:r w:rsidR="00463619" w:rsidRPr="00292F71">
        <w:t>iekėjas įsipareigoja sumokėti esant bent vienai iš žemiau nurodytų sąlygų per 10 (dešimt) darbo dienų nuo atitinkamos sąlygos atsiradimo:</w:t>
      </w:r>
    </w:p>
    <w:p w14:paraId="345E88D7" w14:textId="77777777" w:rsidR="00463619" w:rsidRPr="00292F71" w:rsidRDefault="00463619" w:rsidP="00463619">
      <w:pPr>
        <w:pStyle w:val="ListParagraph"/>
        <w:numPr>
          <w:ilvl w:val="2"/>
          <w:numId w:val="49"/>
        </w:numPr>
        <w:spacing w:after="0" w:line="240" w:lineRule="auto"/>
        <w:ind w:left="0" w:firstLine="567"/>
        <w:jc w:val="both"/>
        <w:rPr>
          <w:rFonts w:cstheme="minorHAnsi"/>
          <w:color w:val="000000" w:themeColor="text1"/>
        </w:rPr>
      </w:pPr>
      <w:r w:rsidRPr="00292F71">
        <w:rPr>
          <w:rFonts w:cstheme="minorHAnsi"/>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29B481E3" w14:textId="77777777" w:rsidR="00463619" w:rsidRPr="00292F71" w:rsidRDefault="00463619" w:rsidP="00463619">
      <w:pPr>
        <w:pStyle w:val="ListParagraph"/>
        <w:numPr>
          <w:ilvl w:val="2"/>
          <w:numId w:val="49"/>
        </w:numPr>
        <w:spacing w:after="0" w:line="240" w:lineRule="auto"/>
        <w:ind w:left="0" w:firstLine="567"/>
        <w:jc w:val="both"/>
        <w:rPr>
          <w:rFonts w:cstheme="minorHAnsi"/>
          <w:color w:val="000000" w:themeColor="text1"/>
        </w:rPr>
      </w:pPr>
      <w:r w:rsidRPr="00292F71">
        <w:rPr>
          <w:rFonts w:cstheme="minorHAnsi"/>
          <w:color w:val="000000" w:themeColor="text1"/>
        </w:rPr>
        <w:t>tiekėjas, perkančiajai organizacijai paprašius, netikslina ar nepateikia trūkstamų duomenų ar dokumentų apie atitiktį pirkimo dokumentų reikalavimams;</w:t>
      </w:r>
    </w:p>
    <w:p w14:paraId="0CE7BCE1" w14:textId="77777777" w:rsidR="00463619" w:rsidRPr="00292F71" w:rsidRDefault="00463619" w:rsidP="00463619">
      <w:pPr>
        <w:tabs>
          <w:tab w:val="left" w:pos="1418"/>
          <w:tab w:val="left" w:pos="1701"/>
        </w:tabs>
        <w:spacing w:after="0" w:line="240" w:lineRule="auto"/>
        <w:ind w:firstLine="567"/>
        <w:jc w:val="both"/>
        <w:rPr>
          <w:rFonts w:cstheme="minorHAnsi"/>
          <w:color w:val="000000" w:themeColor="text1"/>
        </w:rPr>
      </w:pPr>
      <w:r w:rsidRPr="00292F71">
        <w:rPr>
          <w:rFonts w:cstheme="minorHAnsi"/>
          <w:color w:val="000000" w:themeColor="text1"/>
        </w:rPr>
        <w:t>7.2.3.    perkančiajai organizacijai paprašius pagrįsti neįprastai mažą kainą, tiekėjas nepateikia jokio pagrindimo;</w:t>
      </w:r>
    </w:p>
    <w:p w14:paraId="3145CE4B" w14:textId="77777777" w:rsidR="00463619" w:rsidRDefault="00463619" w:rsidP="00463619">
      <w:pPr>
        <w:tabs>
          <w:tab w:val="left" w:pos="1701"/>
        </w:tabs>
        <w:spacing w:after="0" w:line="240" w:lineRule="auto"/>
        <w:ind w:firstLine="567"/>
        <w:jc w:val="both"/>
        <w:rPr>
          <w:color w:val="000000" w:themeColor="text1"/>
        </w:rPr>
      </w:pPr>
      <w:r w:rsidRPr="00292F71">
        <w:rPr>
          <w:color w:val="000000" w:themeColor="text1"/>
        </w:rPr>
        <w:t>7.2.4.   pripažinus, kad tiekėjas pateikė ekonomiškai naudingiausią pasiūlymą ir paprašius pirkimo dalyvio pateikti aktualius dokumentus, patvirtinančius jo pašalinimo pagrindų nebuvimą, tiekėjas neteikia patvirtinančių dokumentų</w:t>
      </w:r>
      <w:r>
        <w:rPr>
          <w:color w:val="000000" w:themeColor="text1"/>
        </w:rPr>
        <w:t>;</w:t>
      </w:r>
    </w:p>
    <w:p w14:paraId="2DFAEDA8" w14:textId="5E07E2D2" w:rsidR="00000B56" w:rsidRPr="00463619" w:rsidRDefault="00463619" w:rsidP="00293BCD">
      <w:pPr>
        <w:spacing w:after="120" w:line="20" w:lineRule="atLeast"/>
        <w:ind w:firstLine="504"/>
        <w:jc w:val="both"/>
        <w:rPr>
          <w:rFonts w:cstheme="minorHAnsi"/>
        </w:rPr>
      </w:pPr>
      <w:r>
        <w:rPr>
          <w:color w:val="000000" w:themeColor="text1"/>
        </w:rPr>
        <w:t xml:space="preserve">7.2.5. </w:t>
      </w:r>
      <w:r w:rsidRPr="003B3A6A">
        <w:rPr>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Pr>
          <w:color w:val="000000" w:themeColor="text1"/>
        </w:rPr>
        <w:t>.</w:t>
      </w:r>
    </w:p>
    <w:p w14:paraId="7136C94B" w14:textId="6E03C3FE"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5A769F3E" w:rsidR="00040C0F" w:rsidRPr="00293BCD" w:rsidRDefault="002827E4" w:rsidP="00293BCD">
      <w:pPr>
        <w:spacing w:after="0" w:line="240" w:lineRule="auto"/>
        <w:ind w:left="710"/>
        <w:rPr>
          <w:rFonts w:cstheme="minorHAnsi"/>
        </w:rPr>
      </w:pPr>
      <w:r>
        <w:rPr>
          <w:rFonts w:cstheme="minorHAnsi"/>
        </w:rPr>
        <w:t xml:space="preserve">8.1. </w:t>
      </w:r>
      <w:r w:rsidR="00040C0F" w:rsidRPr="00293BCD">
        <w:rPr>
          <w:rFonts w:cstheme="minorHAnsi"/>
        </w:rPr>
        <w:t>Perkančioji organizacija pirkime netaikys elektroninio aukciono.</w:t>
      </w:r>
    </w:p>
    <w:p w14:paraId="14CBD3AD" w14:textId="23B8A7AF"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2D8167AF" w:rsidR="00003A3F" w:rsidRPr="007B3093" w:rsidRDefault="002D470F" w:rsidP="007B3093">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8214C8">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8214C8">
        <w:rPr>
          <w:rFonts w:eastAsia="Calibri"/>
        </w:rPr>
        <w:t xml:space="preserve"> 8</w:t>
      </w:r>
      <w:r w:rsidR="00090235">
        <w:rPr>
          <w:rFonts w:eastAsia="Calibri"/>
        </w:rPr>
        <w:t xml:space="preserve"> </w:t>
      </w:r>
      <w:r w:rsidR="00913029" w:rsidRPr="127DD6E8">
        <w:rPr>
          <w:rFonts w:eastAsia="Calibri"/>
        </w:rPr>
        <w:t>priede</w:t>
      </w:r>
      <w:r w:rsidR="00090235">
        <w:rPr>
          <w:rFonts w:eastAsia="Calibri"/>
        </w:rPr>
        <w:t>.</w:t>
      </w:r>
      <w:r w:rsidR="00CE14DF">
        <w:rPr>
          <w:rFonts w:eastAsia="Calibri"/>
        </w:rPr>
        <w:t xml:space="preserve"> </w:t>
      </w:r>
    </w:p>
    <w:p w14:paraId="102136D3" w14:textId="3AFFA035" w:rsidR="00D734C6" w:rsidRPr="006A3211" w:rsidRDefault="00D734C6" w:rsidP="006A3211">
      <w:pPr>
        <w:pStyle w:val="ListParagraph"/>
        <w:numPr>
          <w:ilvl w:val="1"/>
          <w:numId w:val="49"/>
        </w:numPr>
        <w:spacing w:after="0" w:line="20" w:lineRule="atLeast"/>
        <w:ind w:left="0" w:firstLine="711"/>
        <w:jc w:val="both"/>
        <w:rPr>
          <w:rFonts w:eastAsiaTheme="minorHAnsi" w:cstheme="minorHAnsi"/>
          <w:bCs/>
          <w:iCs/>
        </w:rPr>
      </w:pPr>
      <w:r w:rsidRPr="006A3211">
        <w:rPr>
          <w:rFonts w:cstheme="minorHAnsi"/>
          <w:color w:val="000000" w:themeColor="text1"/>
        </w:rPr>
        <w:t xml:space="preserve">Laimėjusiu </w:t>
      </w:r>
      <w:r w:rsidR="005D7D8C" w:rsidRPr="006A3211">
        <w:rPr>
          <w:rFonts w:cstheme="minorHAnsi"/>
          <w:color w:val="000000" w:themeColor="text1"/>
        </w:rPr>
        <w:t>pasiūlymu</w:t>
      </w:r>
      <w:r w:rsidRPr="006A3211">
        <w:rPr>
          <w:rFonts w:cstheme="minorHAnsi"/>
          <w:color w:val="000000" w:themeColor="text1"/>
        </w:rPr>
        <w:t xml:space="preserve"> galės būti pripažintas tik 1 (vienas) </w:t>
      </w:r>
      <w:r w:rsidR="005D7D8C" w:rsidRPr="006A3211">
        <w:rPr>
          <w:rFonts w:cstheme="minorHAnsi"/>
          <w:color w:val="000000" w:themeColor="text1"/>
        </w:rPr>
        <w:t>ekonomiškai naudingiausias pasiūlymas, esantis pasiūlymų eilės pirmojoje vietoje</w:t>
      </w:r>
      <w:r w:rsidRPr="006A3211">
        <w:rPr>
          <w:rFonts w:cstheme="minorHAnsi"/>
          <w:color w:val="000000" w:themeColor="text1"/>
        </w:rPr>
        <w:t xml:space="preserve">. </w:t>
      </w:r>
    </w:p>
    <w:p w14:paraId="60FEBC05" w14:textId="3FB9AD92" w:rsidR="001A25FD" w:rsidRPr="00034B46" w:rsidRDefault="004F3661" w:rsidP="003F4245">
      <w:pPr>
        <w:pStyle w:val="NoSpacing"/>
        <w:numPr>
          <w:ilvl w:val="1"/>
          <w:numId w:val="49"/>
        </w:numPr>
        <w:spacing w:line="20" w:lineRule="atLeast"/>
        <w:ind w:left="0" w:firstLine="710"/>
        <w:contextualSpacing/>
        <w:jc w:val="both"/>
        <w:rPr>
          <w:rStyle w:val="cf01"/>
          <w:rFonts w:asciiTheme="minorHAnsi" w:eastAsiaTheme="minorHAnsi" w:hAnsiTheme="minorHAnsi" w:cstheme="minorHAnsi"/>
          <w:bCs/>
          <w:i/>
          <w:iCs/>
          <w:color w:val="7030A0"/>
          <w:sz w:val="21"/>
          <w:szCs w:val="21"/>
        </w:rPr>
      </w:pPr>
      <w:r>
        <w:rPr>
          <w:rStyle w:val="cf01"/>
          <w:rFonts w:asciiTheme="minorHAnsi" w:hAnsiTheme="minorHAnsi" w:cstheme="minorHAnsi"/>
          <w:sz w:val="21"/>
          <w:szCs w:val="21"/>
        </w:rPr>
        <w:lastRenderedPageBreak/>
        <w:t xml:space="preserve">Perkančioji organizacija </w:t>
      </w:r>
      <w:r w:rsidR="00E520F3">
        <w:rPr>
          <w:rStyle w:val="cf01"/>
          <w:rFonts w:asciiTheme="minorHAnsi" w:hAnsiTheme="minorHAnsi" w:cstheme="minorHAnsi"/>
          <w:sz w:val="21"/>
          <w:szCs w:val="21"/>
        </w:rPr>
        <w:t xml:space="preserve">gali </w:t>
      </w:r>
      <w:r>
        <w:rPr>
          <w:rStyle w:val="cf01"/>
          <w:rFonts w:asciiTheme="minorHAnsi" w:hAnsiTheme="minorHAnsi" w:cstheme="minorHAnsi"/>
          <w:sz w:val="21"/>
          <w:szCs w:val="21"/>
        </w:rPr>
        <w:t>atmes</w:t>
      </w:r>
      <w:r w:rsidR="00E520F3">
        <w:rPr>
          <w:rStyle w:val="cf01"/>
          <w:rFonts w:asciiTheme="minorHAnsi" w:hAnsiTheme="minorHAnsi" w:cstheme="minorHAnsi"/>
          <w:sz w:val="21"/>
          <w:szCs w:val="21"/>
        </w:rPr>
        <w:t>ti</w:t>
      </w:r>
      <w:r>
        <w:rPr>
          <w:rStyle w:val="cf01"/>
          <w:rFonts w:asciiTheme="minorHAnsi" w:hAnsiTheme="minorHAnsi" w:cstheme="minorHAnsi"/>
          <w:sz w:val="21"/>
          <w:szCs w:val="21"/>
        </w:rPr>
        <w:t xml:space="preserve"> tiekėjo pasiūlymą, jeigu bus nustatytas bent vienas Bendrųjų sąlygų 18 skyriaus pasiūlymo atmetimo pagrindas ar kitais viešuosius pirkimus reglamentuojančių teisės aktų pagrindais.</w:t>
      </w:r>
    </w:p>
    <w:p w14:paraId="6A90190A" w14:textId="77777777" w:rsidR="005A7931" w:rsidRPr="005A7931" w:rsidRDefault="00034B46" w:rsidP="00ED28D2">
      <w:pPr>
        <w:pStyle w:val="NoSpacing"/>
        <w:numPr>
          <w:ilvl w:val="1"/>
          <w:numId w:val="49"/>
        </w:numPr>
        <w:spacing w:line="20" w:lineRule="atLeast"/>
        <w:ind w:left="0" w:firstLine="710"/>
        <w:contextualSpacing/>
        <w:jc w:val="both"/>
        <w:rPr>
          <w:rFonts w:eastAsiaTheme="minorHAnsi" w:cstheme="minorHAnsi"/>
          <w:bCs/>
          <w:i/>
          <w:iCs/>
        </w:rPr>
      </w:pPr>
      <w:r w:rsidRPr="008F438B">
        <w:rPr>
          <w:rStyle w:val="cf01"/>
          <w:rFonts w:asciiTheme="minorHAnsi" w:hAnsiTheme="minorHAnsi" w:cstheme="minorHAnsi"/>
          <w:b/>
          <w:bCs/>
          <w:sz w:val="21"/>
          <w:szCs w:val="21"/>
        </w:rPr>
        <w:t>Kainodara</w:t>
      </w:r>
      <w:r w:rsidRPr="008F438B">
        <w:rPr>
          <w:rStyle w:val="cf01"/>
          <w:rFonts w:asciiTheme="minorHAnsi" w:hAnsiTheme="minorHAnsi" w:cstheme="minorHAnsi"/>
          <w:sz w:val="21"/>
          <w:szCs w:val="21"/>
        </w:rPr>
        <w:t>:</w:t>
      </w:r>
      <w:r w:rsidR="008F438B">
        <w:rPr>
          <w:rStyle w:val="cf01"/>
          <w:rFonts w:asciiTheme="minorHAnsi" w:eastAsiaTheme="minorHAnsi" w:hAnsiTheme="minorHAnsi" w:cstheme="minorHAnsi"/>
          <w:bCs/>
          <w:i/>
          <w:iCs/>
          <w:sz w:val="21"/>
          <w:szCs w:val="21"/>
        </w:rPr>
        <w:t xml:space="preserve"> </w:t>
      </w:r>
      <w:r w:rsidR="008F438B" w:rsidRPr="008F438B">
        <w:rPr>
          <w:rFonts w:eastAsiaTheme="minorHAnsi" w:cstheme="minorHAnsi"/>
          <w:bCs/>
        </w:rPr>
        <w:t xml:space="preserve">Pirkimui taikoma </w:t>
      </w:r>
      <w:r w:rsidR="008F438B">
        <w:rPr>
          <w:rFonts w:eastAsiaTheme="minorHAnsi" w:cstheme="minorHAnsi"/>
          <w:bCs/>
        </w:rPr>
        <w:t>fiksuoto</w:t>
      </w:r>
      <w:r w:rsidR="008F438B" w:rsidRPr="008F438B">
        <w:rPr>
          <w:rFonts w:eastAsiaTheme="minorHAnsi" w:cstheme="minorHAnsi"/>
          <w:bCs/>
        </w:rPr>
        <w:t xml:space="preserve"> įkainio </w:t>
      </w:r>
      <w:r w:rsidR="009D1114" w:rsidRPr="009D1114">
        <w:rPr>
          <w:rFonts w:eastAsiaTheme="minorHAnsi" w:cstheme="minorHAnsi"/>
          <w:bCs/>
        </w:rPr>
        <w:t xml:space="preserve">ir </w:t>
      </w:r>
      <w:r w:rsidR="009D1114">
        <w:rPr>
          <w:rFonts w:eastAsiaTheme="minorHAnsi" w:cstheme="minorHAnsi"/>
          <w:bCs/>
        </w:rPr>
        <w:t>s</w:t>
      </w:r>
      <w:r w:rsidR="009D1114" w:rsidRPr="009D1114">
        <w:rPr>
          <w:rFonts w:eastAsiaTheme="minorHAnsi" w:cstheme="minorHAnsi"/>
          <w:bCs/>
        </w:rPr>
        <w:t>utarties vykdymo išlaidų atlyginimo kainodaros būdų derinys</w:t>
      </w:r>
      <w:r w:rsidR="008F438B" w:rsidRPr="008F438B">
        <w:rPr>
          <w:rFonts w:eastAsiaTheme="minorHAnsi" w:cstheme="minorHAnsi"/>
          <w:bCs/>
        </w:rPr>
        <w:t xml:space="preserve">, </w:t>
      </w:r>
      <w:r w:rsidR="009D1114">
        <w:rPr>
          <w:rFonts w:eastAsiaTheme="minorHAnsi" w:cstheme="minorHAnsi"/>
          <w:bCs/>
        </w:rPr>
        <w:t>pagal</w:t>
      </w:r>
      <w:r w:rsidR="008F438B" w:rsidRPr="008F438B">
        <w:rPr>
          <w:rFonts w:eastAsiaTheme="minorHAnsi" w:cstheme="minorHAnsi"/>
          <w:bCs/>
        </w:rPr>
        <w:t xml:space="preserve"> Viešųjų pirkimų tarnybos direktoriaus 2017-06-28 įsakymu Nr. 1S-95 </w:t>
      </w:r>
      <w:r w:rsidR="009D1114">
        <w:rPr>
          <w:rFonts w:eastAsiaTheme="minorHAnsi" w:cstheme="minorHAnsi"/>
          <w:bCs/>
        </w:rPr>
        <w:t xml:space="preserve">patvirtintą </w:t>
      </w:r>
      <w:r w:rsidR="008F438B" w:rsidRPr="008F438B">
        <w:rPr>
          <w:rFonts w:eastAsiaTheme="minorHAnsi" w:cstheme="minorHAnsi"/>
          <w:bCs/>
        </w:rPr>
        <w:t>„Kainodaros taisyklių nustatymo metodika“.</w:t>
      </w:r>
      <w:r w:rsidR="00781B9A">
        <w:rPr>
          <w:rFonts w:eastAsiaTheme="minorHAnsi" w:cstheme="minorHAnsi"/>
          <w:bCs/>
        </w:rPr>
        <w:t xml:space="preserve"> </w:t>
      </w:r>
    </w:p>
    <w:p w14:paraId="1BD6E4A2" w14:textId="2CE95769" w:rsidR="00ED28D2" w:rsidRPr="00ED28D2" w:rsidRDefault="00781B9A" w:rsidP="005A7931">
      <w:pPr>
        <w:pStyle w:val="NoSpacing"/>
        <w:spacing w:line="20" w:lineRule="atLeast"/>
        <w:ind w:firstLine="709"/>
        <w:contextualSpacing/>
        <w:jc w:val="both"/>
        <w:rPr>
          <w:rFonts w:eastAsiaTheme="minorHAnsi" w:cstheme="minorHAnsi"/>
          <w:bCs/>
          <w:i/>
          <w:iCs/>
        </w:rPr>
      </w:pPr>
      <w:r>
        <w:rPr>
          <w:rFonts w:eastAsiaTheme="minorHAnsi" w:cstheme="minorHAnsi"/>
          <w:bCs/>
        </w:rPr>
        <w:t xml:space="preserve">Už </w:t>
      </w:r>
      <w:r w:rsidR="003B0DA9">
        <w:rPr>
          <w:rFonts w:eastAsiaTheme="minorHAnsi" w:cstheme="minorHAnsi"/>
          <w:bCs/>
        </w:rPr>
        <w:t xml:space="preserve">tiekėjo suteiktas </w:t>
      </w:r>
      <w:r>
        <w:rPr>
          <w:rFonts w:eastAsiaTheme="minorHAnsi" w:cstheme="minorHAnsi"/>
          <w:bCs/>
        </w:rPr>
        <w:t>paslaugas</w:t>
      </w:r>
      <w:r w:rsidR="008C0452">
        <w:rPr>
          <w:rFonts w:eastAsiaTheme="minorHAnsi" w:cstheme="minorHAnsi"/>
          <w:bCs/>
        </w:rPr>
        <w:t xml:space="preserve">, </w:t>
      </w:r>
      <w:r w:rsidR="003B0DA9">
        <w:rPr>
          <w:rFonts w:eastAsiaTheme="minorHAnsi" w:cstheme="minorHAnsi"/>
          <w:bCs/>
        </w:rPr>
        <w:t>išvardintas</w:t>
      </w:r>
      <w:r w:rsidR="008C0452">
        <w:rPr>
          <w:rFonts w:eastAsiaTheme="minorHAnsi" w:cstheme="minorHAnsi"/>
          <w:bCs/>
        </w:rPr>
        <w:t xml:space="preserve"> </w:t>
      </w:r>
      <w:r w:rsidR="008C0452" w:rsidRPr="00117D17">
        <w:rPr>
          <w:rFonts w:eastAsiaTheme="minorHAnsi" w:cstheme="minorHAnsi"/>
          <w:bCs/>
        </w:rPr>
        <w:t xml:space="preserve">Pirkimo specialiųjų sąlygų </w:t>
      </w:r>
      <w:r w:rsidR="008C0452">
        <w:rPr>
          <w:rFonts w:eastAsiaTheme="minorHAnsi" w:cstheme="minorHAnsi"/>
          <w:bCs/>
        </w:rPr>
        <w:t>9</w:t>
      </w:r>
      <w:r w:rsidR="008C0452" w:rsidRPr="00117D17">
        <w:rPr>
          <w:rFonts w:eastAsiaTheme="minorHAnsi" w:cstheme="minorHAnsi"/>
          <w:bCs/>
        </w:rPr>
        <w:t xml:space="preserve"> pried</w:t>
      </w:r>
      <w:r w:rsidR="003B0DA9">
        <w:rPr>
          <w:rFonts w:eastAsiaTheme="minorHAnsi" w:cstheme="minorHAnsi"/>
          <w:bCs/>
        </w:rPr>
        <w:t xml:space="preserve">e, atsiskaitoma pagal minėtame priede pateiktus tiekėjo įkainius, o </w:t>
      </w:r>
      <w:r w:rsidR="00BE3DC0">
        <w:rPr>
          <w:rFonts w:eastAsiaTheme="minorHAnsi" w:cstheme="minorHAnsi"/>
          <w:bCs/>
        </w:rPr>
        <w:t xml:space="preserve">už </w:t>
      </w:r>
      <w:r w:rsidR="00A81F99">
        <w:rPr>
          <w:rFonts w:eastAsiaTheme="minorHAnsi" w:cstheme="minorHAnsi"/>
          <w:bCs/>
        </w:rPr>
        <w:t>tiekėjo</w:t>
      </w:r>
      <w:r w:rsidR="00A81F99" w:rsidRPr="00A81F99">
        <w:rPr>
          <w:rFonts w:eastAsiaTheme="minorHAnsi" w:cstheme="minorHAnsi"/>
          <w:bCs/>
        </w:rPr>
        <w:t xml:space="preserve"> patirtas faktines išlaidas, reikalingas ir tiesiogiai susijusias su </w:t>
      </w:r>
      <w:r w:rsidR="00A81F99">
        <w:rPr>
          <w:rFonts w:eastAsiaTheme="minorHAnsi" w:cstheme="minorHAnsi"/>
          <w:bCs/>
        </w:rPr>
        <w:t>s</w:t>
      </w:r>
      <w:r w:rsidR="00A81F99" w:rsidRPr="00A81F99">
        <w:rPr>
          <w:rFonts w:eastAsiaTheme="minorHAnsi" w:cstheme="minorHAnsi"/>
          <w:bCs/>
        </w:rPr>
        <w:t>utarties vykdymu</w:t>
      </w:r>
      <w:r w:rsidR="004E3A51">
        <w:rPr>
          <w:rFonts w:eastAsiaTheme="minorHAnsi" w:cstheme="minorHAnsi"/>
          <w:bCs/>
        </w:rPr>
        <w:t xml:space="preserve"> komunikacijos/rinkodaros/viešųjų ryšių srityje</w:t>
      </w:r>
      <w:r w:rsidR="00A81F99" w:rsidRPr="00A81F99">
        <w:rPr>
          <w:rFonts w:eastAsiaTheme="minorHAnsi" w:cstheme="minorHAnsi"/>
          <w:bCs/>
        </w:rPr>
        <w:t xml:space="preserve">, kurias </w:t>
      </w:r>
      <w:r w:rsidR="005A7931">
        <w:rPr>
          <w:rFonts w:eastAsiaTheme="minorHAnsi" w:cstheme="minorHAnsi"/>
          <w:bCs/>
        </w:rPr>
        <w:t>tiekėjas</w:t>
      </w:r>
      <w:r w:rsidR="00A81F99" w:rsidRPr="00A81F99">
        <w:rPr>
          <w:rFonts w:eastAsiaTheme="minorHAnsi" w:cstheme="minorHAnsi"/>
          <w:bCs/>
        </w:rPr>
        <w:t xml:space="preserve"> patirs dėl trečiųjų šalių teikiamų paslaugų, numatytų </w:t>
      </w:r>
      <w:r w:rsidR="00A27B1A" w:rsidRPr="00117D17">
        <w:rPr>
          <w:rFonts w:eastAsiaTheme="minorHAnsi" w:cstheme="minorHAnsi"/>
          <w:bCs/>
        </w:rPr>
        <w:t>Pirkimo specialiųjų sąlygų</w:t>
      </w:r>
      <w:r w:rsidR="00A27B1A">
        <w:rPr>
          <w:rFonts w:eastAsiaTheme="minorHAnsi" w:cstheme="minorHAnsi"/>
          <w:bCs/>
        </w:rPr>
        <w:t xml:space="preserve"> 1 priede, atsiskaitoma </w:t>
      </w:r>
      <w:r w:rsidR="007850F2" w:rsidRPr="007850F2">
        <w:rPr>
          <w:rFonts w:eastAsiaTheme="minorHAnsi" w:cstheme="minorHAnsi"/>
          <w:bCs/>
        </w:rPr>
        <w:t>pagal tiekėjo pateiktas sąskaitas faktūras</w:t>
      </w:r>
      <w:r w:rsidR="00CC7F8D">
        <w:rPr>
          <w:rFonts w:eastAsiaTheme="minorHAnsi" w:cstheme="minorHAnsi"/>
          <w:bCs/>
        </w:rPr>
        <w:t>. Į</w:t>
      </w:r>
      <w:r w:rsidR="00CC7F8D" w:rsidRPr="00CC7F8D">
        <w:rPr>
          <w:rFonts w:eastAsiaTheme="minorHAnsi" w:cstheme="minorHAnsi"/>
          <w:bCs/>
        </w:rPr>
        <w:t xml:space="preserve"> faktiškai patirtas išlaidas negali būti įtrauktas tiekėjo pelnas</w:t>
      </w:r>
      <w:r w:rsidR="00CC7F8D">
        <w:rPr>
          <w:rFonts w:eastAsiaTheme="minorHAnsi" w:cstheme="minorHAnsi"/>
          <w:bCs/>
        </w:rPr>
        <w:t>.</w:t>
      </w:r>
      <w:r w:rsidR="00873371">
        <w:rPr>
          <w:rFonts w:eastAsiaTheme="minorHAnsi" w:cstheme="minorHAnsi"/>
          <w:bCs/>
        </w:rPr>
        <w:t xml:space="preserve"> S</w:t>
      </w:r>
      <w:r w:rsidR="00873371" w:rsidRPr="00873371">
        <w:rPr>
          <w:rFonts w:eastAsiaTheme="minorHAnsi" w:cstheme="minorHAnsi"/>
          <w:bCs/>
        </w:rPr>
        <w:t>utarties vykdymo metu priimami tiekėjo sprendimai, susiję su faktinėmis išlaidomis, su pirkimo vykdytoju turi būti derinami iš anksto.</w:t>
      </w:r>
    </w:p>
    <w:p w14:paraId="1BF84446" w14:textId="366E1DAD" w:rsidR="00ED28D2" w:rsidRDefault="00117D17" w:rsidP="00117D17">
      <w:pPr>
        <w:pStyle w:val="NoSpacing"/>
        <w:numPr>
          <w:ilvl w:val="2"/>
          <w:numId w:val="49"/>
        </w:numPr>
        <w:spacing w:line="20" w:lineRule="atLeast"/>
        <w:ind w:left="0" w:firstLine="709"/>
        <w:contextualSpacing/>
        <w:jc w:val="both"/>
        <w:rPr>
          <w:rFonts w:eastAsiaTheme="minorHAnsi" w:cstheme="minorHAnsi"/>
          <w:bCs/>
        </w:rPr>
      </w:pPr>
      <w:r w:rsidRPr="00117D17">
        <w:rPr>
          <w:rFonts w:eastAsiaTheme="minorHAnsi" w:cstheme="minorHAnsi"/>
          <w:bCs/>
        </w:rPr>
        <w:t xml:space="preserve">Pirkimo specialiųjų sąlygų </w:t>
      </w:r>
      <w:r w:rsidR="0009394E">
        <w:rPr>
          <w:rFonts w:eastAsiaTheme="minorHAnsi" w:cstheme="minorHAnsi"/>
          <w:bCs/>
        </w:rPr>
        <w:t>9</w:t>
      </w:r>
      <w:r w:rsidRPr="00117D17">
        <w:rPr>
          <w:rFonts w:eastAsiaTheme="minorHAnsi" w:cstheme="minorHAnsi"/>
          <w:bCs/>
        </w:rPr>
        <w:t xml:space="preserve"> priede nurodyta pasiūlymo palyginamoji kaina, pagal kurią bus nustatytas pirkimo laimėtojas </w:t>
      </w:r>
      <w:r w:rsidR="002A1CEA">
        <w:rPr>
          <w:rFonts w:eastAsiaTheme="minorHAnsi" w:cstheme="minorHAnsi"/>
          <w:bCs/>
        </w:rPr>
        <w:t>yra</w:t>
      </w:r>
      <w:r w:rsidRPr="00117D17">
        <w:rPr>
          <w:rFonts w:eastAsiaTheme="minorHAnsi" w:cstheme="minorHAnsi"/>
          <w:bCs/>
        </w:rPr>
        <w:t xml:space="preserve"> tiekėjo pasiūlyt</w:t>
      </w:r>
      <w:r w:rsidR="002A1CEA">
        <w:rPr>
          <w:rFonts w:eastAsiaTheme="minorHAnsi" w:cstheme="minorHAnsi"/>
          <w:bCs/>
        </w:rPr>
        <w:t>ų</w:t>
      </w:r>
      <w:r w:rsidRPr="00117D17">
        <w:rPr>
          <w:rFonts w:eastAsiaTheme="minorHAnsi" w:cstheme="minorHAnsi"/>
          <w:bCs/>
        </w:rPr>
        <w:t xml:space="preserve"> įkaini</w:t>
      </w:r>
      <w:r w:rsidR="002A1CEA">
        <w:rPr>
          <w:rFonts w:eastAsiaTheme="minorHAnsi" w:cstheme="minorHAnsi"/>
          <w:bCs/>
        </w:rPr>
        <w:t>ų</w:t>
      </w:r>
      <w:r w:rsidRPr="00117D17">
        <w:rPr>
          <w:rFonts w:eastAsiaTheme="minorHAnsi" w:cstheme="minorHAnsi"/>
          <w:bCs/>
        </w:rPr>
        <w:t>, padaugin</w:t>
      </w:r>
      <w:r w:rsidR="002A1CEA">
        <w:rPr>
          <w:rFonts w:eastAsiaTheme="minorHAnsi" w:cstheme="minorHAnsi"/>
          <w:bCs/>
        </w:rPr>
        <w:t>tų</w:t>
      </w:r>
      <w:r w:rsidRPr="00117D17">
        <w:rPr>
          <w:rFonts w:eastAsiaTheme="minorHAnsi" w:cstheme="minorHAnsi"/>
          <w:bCs/>
        </w:rPr>
        <w:t xml:space="preserve"> iš orientacinių (palyginamųjų) kiekių</w:t>
      </w:r>
      <w:r w:rsidR="002A1CEA">
        <w:rPr>
          <w:rFonts w:eastAsiaTheme="minorHAnsi" w:cstheme="minorHAnsi"/>
          <w:bCs/>
        </w:rPr>
        <w:t>,</w:t>
      </w:r>
      <w:r w:rsidRPr="00117D17">
        <w:rPr>
          <w:rFonts w:eastAsiaTheme="minorHAnsi" w:cstheme="minorHAnsi"/>
          <w:bCs/>
        </w:rPr>
        <w:t xml:space="preserve"> </w:t>
      </w:r>
      <w:r w:rsidR="002A1CEA">
        <w:rPr>
          <w:rFonts w:eastAsiaTheme="minorHAnsi" w:cstheme="minorHAnsi"/>
          <w:bCs/>
        </w:rPr>
        <w:t>sum</w:t>
      </w:r>
      <w:r w:rsidR="00F83489">
        <w:rPr>
          <w:rFonts w:eastAsiaTheme="minorHAnsi" w:cstheme="minorHAnsi"/>
          <w:bCs/>
        </w:rPr>
        <w:t>a</w:t>
      </w:r>
      <w:r w:rsidRPr="00117D17">
        <w:rPr>
          <w:rFonts w:eastAsiaTheme="minorHAnsi" w:cstheme="minorHAnsi"/>
          <w:bCs/>
        </w:rPr>
        <w:t xml:space="preserve">. Pirkimo specialiųjų sąlygų </w:t>
      </w:r>
      <w:r w:rsidR="0009394E">
        <w:rPr>
          <w:rFonts w:eastAsiaTheme="minorHAnsi" w:cstheme="minorHAnsi"/>
          <w:bCs/>
        </w:rPr>
        <w:t>9</w:t>
      </w:r>
      <w:r w:rsidRPr="00117D17">
        <w:rPr>
          <w:rFonts w:eastAsiaTheme="minorHAnsi" w:cstheme="minorHAnsi"/>
          <w:bCs/>
        </w:rPr>
        <w:t xml:space="preserve"> priede pateikti įkainiai bus įtraukiami į numatomą sudaryti sutartį, o pasiūlymo palyginamoji kaina bei prekių orientaciniai (palyginamieji) kiekiai yra skirti tik pasiūlymams palyginti ir į sutartį įtraukiami nebus</w:t>
      </w:r>
      <w:r w:rsidR="00F83489">
        <w:rPr>
          <w:rFonts w:eastAsiaTheme="minorHAnsi" w:cstheme="minorHAnsi"/>
          <w:bCs/>
        </w:rPr>
        <w:t>;</w:t>
      </w:r>
    </w:p>
    <w:p w14:paraId="3C97E24F" w14:textId="5C9C3CEE" w:rsidR="00F83489" w:rsidRDefault="0059425D" w:rsidP="00117D17">
      <w:pPr>
        <w:pStyle w:val="NoSpacing"/>
        <w:numPr>
          <w:ilvl w:val="2"/>
          <w:numId w:val="49"/>
        </w:numPr>
        <w:spacing w:line="20" w:lineRule="atLeast"/>
        <w:ind w:left="0" w:firstLine="709"/>
        <w:contextualSpacing/>
        <w:jc w:val="both"/>
        <w:rPr>
          <w:rFonts w:eastAsiaTheme="minorHAnsi" w:cstheme="minorHAnsi"/>
          <w:bCs/>
        </w:rPr>
      </w:pPr>
      <w:r w:rsidRPr="0059425D">
        <w:rPr>
          <w:rFonts w:eastAsiaTheme="minorHAnsi" w:cstheme="minorHAnsi"/>
          <w:bCs/>
        </w:rPr>
        <w:t>Pirkimo vertė ir maksimali sutarties kaina yra nurodyta pirkimo sąlygų priedo „Sutarties projekt</w:t>
      </w:r>
      <w:r>
        <w:rPr>
          <w:rFonts w:eastAsiaTheme="minorHAnsi" w:cstheme="minorHAnsi"/>
          <w:bCs/>
        </w:rPr>
        <w:t>as</w:t>
      </w:r>
      <w:r w:rsidRPr="0059425D">
        <w:rPr>
          <w:rFonts w:eastAsiaTheme="minorHAnsi" w:cstheme="minorHAnsi"/>
          <w:bCs/>
        </w:rPr>
        <w:t>“, o maksimali palyginamoji vertė, kurios tiekėjų pasiūlymų palyginamosios kainos negali viršyti, yra nustatyta ir užfiksuota perkančiosios organizacijos bei CVPIS pirkimo kortelės vidiniuose dokumentuose ir nebus atskleista.</w:t>
      </w:r>
    </w:p>
    <w:p w14:paraId="785DB238" w14:textId="30019978" w:rsidR="00693385" w:rsidRPr="00117D17" w:rsidRDefault="00693385" w:rsidP="00117D17">
      <w:pPr>
        <w:pStyle w:val="NoSpacing"/>
        <w:numPr>
          <w:ilvl w:val="2"/>
          <w:numId w:val="49"/>
        </w:numPr>
        <w:spacing w:line="20" w:lineRule="atLeast"/>
        <w:ind w:left="0" w:firstLine="709"/>
        <w:contextualSpacing/>
        <w:jc w:val="both"/>
        <w:rPr>
          <w:rFonts w:eastAsiaTheme="minorHAnsi" w:cstheme="minorHAnsi"/>
          <w:bCs/>
        </w:rPr>
      </w:pPr>
      <w:r w:rsidRPr="00693385">
        <w:rPr>
          <w:rFonts w:eastAsiaTheme="minorHAnsi" w:cstheme="minorHAnsi"/>
          <w:bCs/>
        </w:rPr>
        <w:t xml:space="preserve">Esant poreikiui, perkančioji organizacija gali įsigyti </w:t>
      </w:r>
      <w:r w:rsidR="00EA3980">
        <w:rPr>
          <w:rFonts w:eastAsiaTheme="minorHAnsi" w:cstheme="minorHAnsi"/>
          <w:bCs/>
        </w:rPr>
        <w:t>paslaugų</w:t>
      </w:r>
      <w:r w:rsidRPr="00693385">
        <w:rPr>
          <w:rFonts w:eastAsiaTheme="minorHAnsi" w:cstheme="minorHAnsi"/>
          <w:bCs/>
        </w:rPr>
        <w:t xml:space="preserve"> sąraše (priede Nr. 1 „Techninės specifikacijos“) nenurodytų, tačiau su pirkimo objektu susijusių paslaugų neviršijant 10 procentų pradinės sutarties vertės. Už </w:t>
      </w:r>
      <w:r w:rsidR="00E352CE">
        <w:rPr>
          <w:rFonts w:eastAsiaTheme="minorHAnsi" w:cstheme="minorHAnsi"/>
          <w:bCs/>
        </w:rPr>
        <w:t>paslaugų</w:t>
      </w:r>
      <w:r w:rsidRPr="00693385">
        <w:rPr>
          <w:rFonts w:eastAsiaTheme="minorHAnsi" w:cstheme="minorHAnsi"/>
          <w:bCs/>
        </w:rPr>
        <w:t xml:space="preserve"> sąraše (priede Nr. 1 „Techninės specifikacijos“)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678C44CA" w14:textId="6EB53055"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BFFF28C" w14:textId="77777777" w:rsidR="00C87AB8" w:rsidRPr="00B21525" w:rsidRDefault="00F57665" w:rsidP="00B21525">
      <w:pPr>
        <w:pStyle w:val="ListParagraph"/>
        <w:numPr>
          <w:ilvl w:val="1"/>
          <w:numId w:val="68"/>
        </w:numPr>
        <w:spacing w:after="0" w:line="240" w:lineRule="auto"/>
        <w:ind w:left="0" w:firstLine="690"/>
        <w:jc w:val="both"/>
        <w:rPr>
          <w:rFonts w:cstheme="minorHAnsi"/>
        </w:rPr>
      </w:pPr>
      <w:r w:rsidRPr="00063E6E">
        <w:rPr>
          <w:color w:val="000000" w:themeColor="text1"/>
        </w:rPr>
        <w:t>Ši pirkimo procedūra atliekama siekiant sudaryti sutartį</w:t>
      </w:r>
      <w:r w:rsidR="009A7D11" w:rsidRPr="00063E6E">
        <w:rPr>
          <w:color w:val="000000" w:themeColor="text1"/>
        </w:rPr>
        <w:t xml:space="preserve"> su tiekėju, kurio pasiūlymas</w:t>
      </w:r>
      <w:r w:rsidR="007B12FF" w:rsidRPr="00063E6E">
        <w:rPr>
          <w:color w:val="000000" w:themeColor="text1"/>
        </w:rPr>
        <w:t xml:space="preserve">, vadovaujantis </w:t>
      </w:r>
      <w:r w:rsidR="008F4194" w:rsidRPr="00063E6E">
        <w:rPr>
          <w:color w:val="000000" w:themeColor="text1"/>
        </w:rPr>
        <w:t>p</w:t>
      </w:r>
      <w:r w:rsidR="007B12FF" w:rsidRPr="00063E6E">
        <w:rPr>
          <w:color w:val="000000" w:themeColor="text1"/>
        </w:rPr>
        <w:t xml:space="preserve">irkimo </w:t>
      </w:r>
      <w:r w:rsidR="00207E40" w:rsidRPr="00063E6E">
        <w:rPr>
          <w:color w:val="000000" w:themeColor="text1"/>
        </w:rPr>
        <w:t>sąlygose</w:t>
      </w:r>
      <w:r w:rsidR="007B12FF" w:rsidRPr="00063E6E">
        <w:rPr>
          <w:color w:val="0070C0"/>
        </w:rPr>
        <w:t xml:space="preserve"> </w:t>
      </w:r>
      <w:r w:rsidR="007B12FF" w:rsidRPr="00063E6E">
        <w:rPr>
          <w:color w:val="000000" w:themeColor="text1"/>
        </w:rPr>
        <w:t>nustatyta tvarka</w:t>
      </w:r>
      <w:r w:rsidR="0023505D" w:rsidRPr="00063E6E">
        <w:rPr>
          <w:color w:val="000000" w:themeColor="text1"/>
        </w:rPr>
        <w:t>,</w:t>
      </w:r>
      <w:r w:rsidR="009A7D11" w:rsidRPr="00063E6E">
        <w:rPr>
          <w:color w:val="000000" w:themeColor="text1"/>
        </w:rPr>
        <w:t xml:space="preserve"> bus pripažintas laimėjęs</w:t>
      </w:r>
      <w:r w:rsidR="008933BC" w:rsidRPr="00063E6E">
        <w:rPr>
          <w:color w:val="000000" w:themeColor="text1"/>
        </w:rPr>
        <w:t>, o jei pirkimas skaidomas į dalis – su tiekėjais, kurių pasiūlymai bus pripažinti laimėję</w:t>
      </w:r>
      <w:r w:rsidR="00F065D6" w:rsidRPr="00063E6E">
        <w:rPr>
          <w:color w:val="000000" w:themeColor="text1"/>
        </w:rPr>
        <w:t xml:space="preserve">. </w:t>
      </w:r>
      <w:r w:rsidR="004B2DE4" w:rsidRPr="127DD6E8">
        <w:t xml:space="preserve">Sutarties sąlygos </w:t>
      </w:r>
      <w:r w:rsidR="004B2DE4" w:rsidRPr="00063E6E">
        <w:t xml:space="preserve">pateikiamos </w:t>
      </w:r>
      <w:r w:rsidR="007A5D9C" w:rsidRPr="00063E6E">
        <w:t>P</w:t>
      </w:r>
      <w:r w:rsidR="00551FA7" w:rsidRPr="00063E6E">
        <w:t xml:space="preserve">irkimo </w:t>
      </w:r>
      <w:r w:rsidR="00D86901" w:rsidRPr="00063E6E">
        <w:t>sąlygų priede „Sutarties projektas“</w:t>
      </w:r>
      <w:r w:rsidR="004B2DE4" w:rsidRPr="00063E6E">
        <w:t>.</w:t>
      </w:r>
      <w:bookmarkEnd w:id="3"/>
    </w:p>
    <w:p w14:paraId="07FF1A0E" w14:textId="77777777" w:rsidR="00B21525" w:rsidRDefault="00B21525" w:rsidP="00B21525">
      <w:pPr>
        <w:spacing w:after="0" w:line="240" w:lineRule="auto"/>
        <w:jc w:val="both"/>
        <w:rPr>
          <w:rFonts w:cstheme="minorHAnsi"/>
        </w:rPr>
      </w:pPr>
    </w:p>
    <w:p w14:paraId="0044AA1A" w14:textId="77777777" w:rsidR="00B21525" w:rsidRPr="00B21525" w:rsidRDefault="00B21525" w:rsidP="00B21525"/>
    <w:sectPr w:rsidR="00B21525" w:rsidRPr="00B21525" w:rsidSect="00B21525">
      <w:headerReference w:type="first" r:id="rId12"/>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E70E" w14:textId="77777777" w:rsidR="00A04096" w:rsidRDefault="00A04096" w:rsidP="00D05666">
      <w:r>
        <w:separator/>
      </w:r>
    </w:p>
  </w:endnote>
  <w:endnote w:type="continuationSeparator" w:id="0">
    <w:p w14:paraId="125362B5" w14:textId="77777777" w:rsidR="00A04096" w:rsidRDefault="00A04096" w:rsidP="00D05666">
      <w:r>
        <w:continuationSeparator/>
      </w:r>
    </w:p>
  </w:endnote>
  <w:endnote w:type="continuationNotice" w:id="1">
    <w:p w14:paraId="7696B53A" w14:textId="77777777" w:rsidR="00A04096" w:rsidRDefault="00A04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810E" w14:textId="77777777" w:rsidR="00A04096" w:rsidRDefault="00A04096" w:rsidP="00D05666">
      <w:r>
        <w:separator/>
      </w:r>
    </w:p>
  </w:footnote>
  <w:footnote w:type="continuationSeparator" w:id="0">
    <w:p w14:paraId="261B8F2B" w14:textId="77777777" w:rsidR="00A04096" w:rsidRDefault="00A04096" w:rsidP="00D05666">
      <w:r>
        <w:continuationSeparator/>
      </w:r>
    </w:p>
  </w:footnote>
  <w:footnote w:type="continuationNotice" w:id="1">
    <w:p w14:paraId="3F37978E" w14:textId="77777777" w:rsidR="00A04096" w:rsidRDefault="00A040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95D2" w14:textId="77777777" w:rsidR="00CA3B88" w:rsidRPr="00521D40" w:rsidRDefault="00CA3B88" w:rsidP="00CA3B88">
    <w:pPr>
      <w:pStyle w:val="Footer"/>
      <w:tabs>
        <w:tab w:val="left" w:pos="7513"/>
        <w:tab w:val="left" w:pos="9356"/>
      </w:tabs>
      <w:rPr>
        <w:rFonts w:ascii="Verdana" w:hAnsi="Verdana" w:cs="Calibri"/>
        <w:sz w:val="18"/>
        <w:szCs w:val="18"/>
      </w:rPr>
    </w:pPr>
    <w:r w:rsidRPr="00521D40">
      <w:rPr>
        <w:rFonts w:ascii="Verdana" w:hAnsi="Verdana" w:cs="Calibri"/>
        <w:noProof/>
        <w:sz w:val="18"/>
        <w:szCs w:val="18"/>
      </w:rPr>
      <w:drawing>
        <wp:anchor distT="0" distB="0" distL="114300" distR="114300" simplePos="0" relativeHeight="251662336" behindDoc="1" locked="0" layoutInCell="1" allowOverlap="1" wp14:anchorId="532A9DEF" wp14:editId="24F9C7BF">
          <wp:simplePos x="0" y="0"/>
          <wp:positionH relativeFrom="margin">
            <wp:align>right</wp:align>
          </wp:positionH>
          <wp:positionV relativeFrom="paragraph">
            <wp:posOffset>53</wp:posOffset>
          </wp:positionV>
          <wp:extent cx="1239392" cy="525942"/>
          <wp:effectExtent l="0" t="0" r="0" b="7620"/>
          <wp:wrapNone/>
          <wp:docPr id="1027955950" name="Picture 102795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1D70AFC6" wp14:editId="0713FA0D">
              <wp:simplePos x="0" y="0"/>
              <wp:positionH relativeFrom="page">
                <wp:posOffset>68580</wp:posOffset>
              </wp:positionH>
              <wp:positionV relativeFrom="paragraph">
                <wp:posOffset>-419100</wp:posOffset>
              </wp:positionV>
              <wp:extent cx="9493250" cy="106680"/>
              <wp:effectExtent l="0" t="0" r="12700" b="26670"/>
              <wp:wrapNone/>
              <wp:docPr id="8667374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93250" cy="1066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D82603" id="Rectangle 2" o:spid="_x0000_s1026" style="position:absolute;margin-left:5.4pt;margin-top:-33pt;width:747.5pt;height:8.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" fillcolor="#332a58" strokecolor="#1f3763 [1604]" strokeweight="1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246C8444" wp14:editId="721AD960">
          <wp:simplePos x="0" y="0"/>
          <wp:positionH relativeFrom="column">
            <wp:posOffset>8274050</wp:posOffset>
          </wp:positionH>
          <wp:positionV relativeFrom="paragraph">
            <wp:posOffset>-90805</wp:posOffset>
          </wp:positionV>
          <wp:extent cx="1239392" cy="525942"/>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0B122C51" wp14:editId="533ADD64">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69F06557" w14:textId="77777777" w:rsidR="00CA3B88" w:rsidRPr="00763B25" w:rsidRDefault="00CA3B88" w:rsidP="00CA3B88">
    <w:pPr>
      <w:pStyle w:val="tekstas"/>
      <w:ind w:firstLine="0"/>
      <w:jc w:val="center"/>
      <w:rPr>
        <w:sz w:val="2"/>
        <w:szCs w:val="2"/>
      </w:rPr>
    </w:pPr>
  </w:p>
  <w:p w14:paraId="78781E55" w14:textId="27AE5675" w:rsidR="00CA3B88" w:rsidRPr="00CA3B88" w:rsidRDefault="00CA3B88" w:rsidP="00CA3B88">
    <w:pPr>
      <w:pStyle w:val="Header"/>
      <w:tabs>
        <w:tab w:val="left" w:pos="2820"/>
        <w:tab w:val="center" w:pos="5953"/>
      </w:tabs>
      <w:spacing w:before="60" w:line="280" w:lineRule="exact"/>
      <w:rPr>
        <w:rFonts w:ascii="Garamond" w:hAnsi="Garamond"/>
        <w:b/>
        <w:color w:val="264A97"/>
        <w:sz w:val="26"/>
        <w:szCs w:val="26"/>
      </w:rPr>
    </w:pPr>
    <w:r>
      <w:rPr>
        <w:rFonts w:ascii="Garamond" w:hAnsi="Garamond"/>
        <w:b/>
        <w:color w:val="264A97"/>
        <w:sz w:val="26"/>
        <w:szCs w:val="26"/>
      </w:rPr>
      <w:tab/>
    </w:r>
    <w:r>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86CCBF1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B46"/>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5AA"/>
    <w:rsid w:val="00044728"/>
    <w:rsid w:val="00044B63"/>
    <w:rsid w:val="00044D8E"/>
    <w:rsid w:val="00044F08"/>
    <w:rsid w:val="000455B9"/>
    <w:rsid w:val="00045ED4"/>
    <w:rsid w:val="000461D0"/>
    <w:rsid w:val="00046367"/>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E6E"/>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40C"/>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D04"/>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94E"/>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17"/>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9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775"/>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9C"/>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09D"/>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5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CEE"/>
    <w:rsid w:val="001E3801"/>
    <w:rsid w:val="001E3D5A"/>
    <w:rsid w:val="001E4891"/>
    <w:rsid w:val="001E48EF"/>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43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8BA"/>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BCD"/>
    <w:rsid w:val="00294B97"/>
    <w:rsid w:val="00294BE3"/>
    <w:rsid w:val="002955C5"/>
    <w:rsid w:val="002960E2"/>
    <w:rsid w:val="002970CF"/>
    <w:rsid w:val="00297490"/>
    <w:rsid w:val="002974D4"/>
    <w:rsid w:val="002A00F8"/>
    <w:rsid w:val="002A1CEA"/>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F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46"/>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E44"/>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DA9"/>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738"/>
    <w:rsid w:val="003D5A05"/>
    <w:rsid w:val="003D5EC9"/>
    <w:rsid w:val="003D6258"/>
    <w:rsid w:val="003D6501"/>
    <w:rsid w:val="003D6BCA"/>
    <w:rsid w:val="003D6DF2"/>
    <w:rsid w:val="003D712C"/>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EBC"/>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62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619"/>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27"/>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A5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61"/>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94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94E"/>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25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31"/>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9E"/>
    <w:rsid w:val="005E4B18"/>
    <w:rsid w:val="005E4E02"/>
    <w:rsid w:val="005E5C65"/>
    <w:rsid w:val="005E5FE0"/>
    <w:rsid w:val="005E62F0"/>
    <w:rsid w:val="005E6C99"/>
    <w:rsid w:val="005E739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F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38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211"/>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2B"/>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8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273"/>
    <w:rsid w:val="0077554C"/>
    <w:rsid w:val="00775B59"/>
    <w:rsid w:val="00775FC3"/>
    <w:rsid w:val="007763E1"/>
    <w:rsid w:val="00777670"/>
    <w:rsid w:val="00777DC5"/>
    <w:rsid w:val="00780F8E"/>
    <w:rsid w:val="00781B9A"/>
    <w:rsid w:val="00782B3B"/>
    <w:rsid w:val="00782BF8"/>
    <w:rsid w:val="00782DCD"/>
    <w:rsid w:val="007834AA"/>
    <w:rsid w:val="00783536"/>
    <w:rsid w:val="00783C19"/>
    <w:rsid w:val="0078453C"/>
    <w:rsid w:val="007850F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93"/>
    <w:rsid w:val="007B3B8D"/>
    <w:rsid w:val="007B43A1"/>
    <w:rsid w:val="007B4DFE"/>
    <w:rsid w:val="007B52AF"/>
    <w:rsid w:val="007B53FD"/>
    <w:rsid w:val="007B6219"/>
    <w:rsid w:val="007B6F6D"/>
    <w:rsid w:val="007B732B"/>
    <w:rsid w:val="007B7651"/>
    <w:rsid w:val="007B773D"/>
    <w:rsid w:val="007C0612"/>
    <w:rsid w:val="007C0CAD"/>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FAF"/>
    <w:rsid w:val="007D4155"/>
    <w:rsid w:val="007D41C0"/>
    <w:rsid w:val="007D5985"/>
    <w:rsid w:val="007D5C61"/>
    <w:rsid w:val="007D60F9"/>
    <w:rsid w:val="007D64BF"/>
    <w:rsid w:val="007D6857"/>
    <w:rsid w:val="007D6D19"/>
    <w:rsid w:val="007D7326"/>
    <w:rsid w:val="007D7364"/>
    <w:rsid w:val="007D7B01"/>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4C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7E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37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BF"/>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452"/>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41B"/>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38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7CE"/>
    <w:rsid w:val="009501C3"/>
    <w:rsid w:val="009502BE"/>
    <w:rsid w:val="009502F5"/>
    <w:rsid w:val="0095251F"/>
    <w:rsid w:val="0095321C"/>
    <w:rsid w:val="00953D09"/>
    <w:rsid w:val="00953F2B"/>
    <w:rsid w:val="00954A8F"/>
    <w:rsid w:val="00955067"/>
    <w:rsid w:val="009550CD"/>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31"/>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93"/>
    <w:rsid w:val="009B6E32"/>
    <w:rsid w:val="009B6F95"/>
    <w:rsid w:val="009B711D"/>
    <w:rsid w:val="009C00DC"/>
    <w:rsid w:val="009C06DA"/>
    <w:rsid w:val="009C1155"/>
    <w:rsid w:val="009C19E0"/>
    <w:rsid w:val="009C1B9B"/>
    <w:rsid w:val="009C2357"/>
    <w:rsid w:val="009C2518"/>
    <w:rsid w:val="009C2F1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14"/>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F32"/>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96"/>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1A"/>
    <w:rsid w:val="00A30644"/>
    <w:rsid w:val="00A30DEC"/>
    <w:rsid w:val="00A3113F"/>
    <w:rsid w:val="00A31171"/>
    <w:rsid w:val="00A311DE"/>
    <w:rsid w:val="00A31436"/>
    <w:rsid w:val="00A322CD"/>
    <w:rsid w:val="00A32686"/>
    <w:rsid w:val="00A32BE9"/>
    <w:rsid w:val="00A32C66"/>
    <w:rsid w:val="00A32DFF"/>
    <w:rsid w:val="00A331FE"/>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99"/>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35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525"/>
    <w:rsid w:val="00B21AC5"/>
    <w:rsid w:val="00B21EFA"/>
    <w:rsid w:val="00B2239D"/>
    <w:rsid w:val="00B22538"/>
    <w:rsid w:val="00B24214"/>
    <w:rsid w:val="00B2459A"/>
    <w:rsid w:val="00B24708"/>
    <w:rsid w:val="00B24B49"/>
    <w:rsid w:val="00B24BB2"/>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975"/>
    <w:rsid w:val="00B34FE6"/>
    <w:rsid w:val="00B3551C"/>
    <w:rsid w:val="00B359A7"/>
    <w:rsid w:val="00B35FC1"/>
    <w:rsid w:val="00B368D9"/>
    <w:rsid w:val="00B3699E"/>
    <w:rsid w:val="00B37854"/>
    <w:rsid w:val="00B37D1A"/>
    <w:rsid w:val="00B40021"/>
    <w:rsid w:val="00B4080D"/>
    <w:rsid w:val="00B40DCB"/>
    <w:rsid w:val="00B41056"/>
    <w:rsid w:val="00B411DB"/>
    <w:rsid w:val="00B413C6"/>
    <w:rsid w:val="00B41C66"/>
    <w:rsid w:val="00B42273"/>
    <w:rsid w:val="00B424B6"/>
    <w:rsid w:val="00B43A30"/>
    <w:rsid w:val="00B4460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43B"/>
    <w:rsid w:val="00B64F95"/>
    <w:rsid w:val="00B6522C"/>
    <w:rsid w:val="00B65F97"/>
    <w:rsid w:val="00B669F2"/>
    <w:rsid w:val="00B66C39"/>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A4"/>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DC0"/>
    <w:rsid w:val="00BE4EF6"/>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08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2C3F"/>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2D4"/>
    <w:rsid w:val="00C643C7"/>
    <w:rsid w:val="00C6497D"/>
    <w:rsid w:val="00C64A65"/>
    <w:rsid w:val="00C6526E"/>
    <w:rsid w:val="00C654DD"/>
    <w:rsid w:val="00C65A50"/>
    <w:rsid w:val="00C65CAE"/>
    <w:rsid w:val="00C665FD"/>
    <w:rsid w:val="00C66C14"/>
    <w:rsid w:val="00C66C7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00"/>
    <w:rsid w:val="00C96406"/>
    <w:rsid w:val="00C96CEC"/>
    <w:rsid w:val="00C970BE"/>
    <w:rsid w:val="00C970C8"/>
    <w:rsid w:val="00CA02E5"/>
    <w:rsid w:val="00CA02FE"/>
    <w:rsid w:val="00CA0664"/>
    <w:rsid w:val="00CA1743"/>
    <w:rsid w:val="00CA237E"/>
    <w:rsid w:val="00CA3B8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D"/>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A2"/>
    <w:rsid w:val="00D134FE"/>
    <w:rsid w:val="00D137B6"/>
    <w:rsid w:val="00D14BB3"/>
    <w:rsid w:val="00D1501C"/>
    <w:rsid w:val="00D1581F"/>
    <w:rsid w:val="00D159D2"/>
    <w:rsid w:val="00D1609F"/>
    <w:rsid w:val="00D17945"/>
    <w:rsid w:val="00D17972"/>
    <w:rsid w:val="00D202BA"/>
    <w:rsid w:val="00D20B5F"/>
    <w:rsid w:val="00D22226"/>
    <w:rsid w:val="00D231F0"/>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4D7"/>
    <w:rsid w:val="00DB58DD"/>
    <w:rsid w:val="00DB693A"/>
    <w:rsid w:val="00DB6BB0"/>
    <w:rsid w:val="00DB6D53"/>
    <w:rsid w:val="00DB7E29"/>
    <w:rsid w:val="00DB7E75"/>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3"/>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8AB"/>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2CE"/>
    <w:rsid w:val="00E355F1"/>
    <w:rsid w:val="00E3566E"/>
    <w:rsid w:val="00E3567D"/>
    <w:rsid w:val="00E357B2"/>
    <w:rsid w:val="00E35F01"/>
    <w:rsid w:val="00E365AF"/>
    <w:rsid w:val="00E375BF"/>
    <w:rsid w:val="00E3782C"/>
    <w:rsid w:val="00E37A98"/>
    <w:rsid w:val="00E411F5"/>
    <w:rsid w:val="00E41326"/>
    <w:rsid w:val="00E41B4B"/>
    <w:rsid w:val="00E42587"/>
    <w:rsid w:val="00E42A6B"/>
    <w:rsid w:val="00E42AB8"/>
    <w:rsid w:val="00E42B7C"/>
    <w:rsid w:val="00E43E42"/>
    <w:rsid w:val="00E43FBD"/>
    <w:rsid w:val="00E448B7"/>
    <w:rsid w:val="00E50D81"/>
    <w:rsid w:val="00E50F51"/>
    <w:rsid w:val="00E50F94"/>
    <w:rsid w:val="00E520F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8D2"/>
    <w:rsid w:val="00ED2CE2"/>
    <w:rsid w:val="00ED2DE8"/>
    <w:rsid w:val="00ED315B"/>
    <w:rsid w:val="00ED33FC"/>
    <w:rsid w:val="00ED4A3A"/>
    <w:rsid w:val="00ED4CED"/>
    <w:rsid w:val="00ED4D6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46C"/>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572"/>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694"/>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5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2F"/>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489"/>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8A"/>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Normal"/>
    <w:rsid w:val="001E48EF"/>
    <w:pPr>
      <w:spacing w:after="0" w:line="240" w:lineRule="auto"/>
      <w:ind w:firstLine="720"/>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ovacijuagentur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10180</Words>
  <Characters>5803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Karolis Urbanavičius</cp:lastModifiedBy>
  <cp:revision>99</cp:revision>
  <dcterms:created xsi:type="dcterms:W3CDTF">2024-04-25T05:38:00Z</dcterms:created>
  <dcterms:modified xsi:type="dcterms:W3CDTF">2025-01-22T08:56:00Z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