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04BC7287" w:rsidR="00901DFC" w:rsidRPr="00DF4AB9" w:rsidRDefault="00BC0B25" w:rsidP="00DF4AB9">
      <w:pPr>
        <w:pStyle w:val="Pagrindinistekstas"/>
        <w:tabs>
          <w:tab w:val="left" w:pos="3969"/>
        </w:tabs>
        <w:jc w:val="center"/>
        <w:rPr>
          <w:rStyle w:val="PagrindinistekstasDiagrama"/>
          <w:b/>
          <w:bCs/>
          <w:sz w:val="24"/>
          <w:szCs w:val="24"/>
          <w:lang w:bidi="en-US"/>
        </w:rPr>
      </w:pPr>
      <w:r w:rsidRPr="00DF4AB9">
        <w:rPr>
          <w:rStyle w:val="PagrindinistekstasDiagrama"/>
          <w:b/>
          <w:bCs/>
          <w:sz w:val="24"/>
          <w:szCs w:val="24"/>
          <w:lang w:bidi="en-US"/>
        </w:rPr>
        <w:t>VP-</w:t>
      </w:r>
      <w:r w:rsidR="00404F38">
        <w:rPr>
          <w:rStyle w:val="PagrindinistekstasDiagrama"/>
          <w:b/>
          <w:bCs/>
          <w:sz w:val="24"/>
          <w:szCs w:val="24"/>
          <w:lang w:bidi="en-US"/>
        </w:rPr>
        <w:t>2792 DARBUOTOJŲ SVEIKATOS DRAUDIMO</w:t>
      </w:r>
      <w:r w:rsidR="00DF4AB9" w:rsidRPr="00DF4AB9">
        <w:rPr>
          <w:b/>
          <w:bCs/>
          <w:sz w:val="24"/>
          <w:szCs w:val="24"/>
          <w:lang w:bidi="en-US"/>
        </w:rPr>
        <w:t xml:space="preserve"> PASLAUGOS</w:t>
      </w:r>
    </w:p>
    <w:p w14:paraId="48F400BD" w14:textId="3F5899E6" w:rsidR="00E22439" w:rsidRPr="00DF4AB9" w:rsidRDefault="00D20A00" w:rsidP="00901DFC">
      <w:pPr>
        <w:pStyle w:val="Pagrindinistekstas"/>
        <w:tabs>
          <w:tab w:val="left" w:pos="3969"/>
        </w:tabs>
        <w:ind w:firstLine="0"/>
        <w:jc w:val="center"/>
        <w:rPr>
          <w:rStyle w:val="Heading1"/>
          <w:b w:val="0"/>
          <w:bCs w:val="0"/>
          <w:sz w:val="24"/>
          <w:szCs w:val="24"/>
        </w:rPr>
      </w:pPr>
      <w:r w:rsidRPr="00DF4AB9">
        <w:rPr>
          <w:rStyle w:val="Heading1"/>
          <w:sz w:val="24"/>
          <w:szCs w:val="24"/>
          <w:lang w:eastAsia="en-US" w:bidi="en-US"/>
        </w:rPr>
        <w:t>ATVIRO KONKURSO</w:t>
      </w:r>
      <w:r w:rsidR="00A10CAD" w:rsidRPr="00DF4AB9">
        <w:rPr>
          <w:rStyle w:val="Heading1"/>
          <w:sz w:val="24"/>
          <w:szCs w:val="24"/>
          <w:lang w:eastAsia="en-US" w:bidi="en-US"/>
        </w:rPr>
        <w:t xml:space="preserve"> (TARPTAUTINIO PIRKIMO)</w:t>
      </w:r>
      <w:r w:rsidRPr="00DF4AB9">
        <w:rPr>
          <w:rStyle w:val="Heading1"/>
          <w:sz w:val="24"/>
          <w:szCs w:val="24"/>
          <w:lang w:eastAsia="en-US" w:bidi="en-US"/>
        </w:rPr>
        <w:t xml:space="preserve"> </w:t>
      </w:r>
      <w:r w:rsidRPr="00DF4AB9">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E476C4" w:rsidR="00E22439" w:rsidRDefault="00AE6F10" w:rsidP="00232C18">
      <w:pPr>
        <w:pStyle w:val="Pagrindinistekstas"/>
        <w:ind w:firstLine="0"/>
        <w:jc w:val="both"/>
        <w:rPr>
          <w:rStyle w:val="PagrindinistekstasDiagrama"/>
          <w:sz w:val="24"/>
          <w:szCs w:val="24"/>
          <w:lang w:eastAsia="en-US" w:bidi="en-US"/>
        </w:rPr>
      </w:pPr>
      <w:bookmarkStart w:id="0" w:name="bookmark3"/>
      <w:r w:rsidRPr="00902CFF">
        <w:rPr>
          <w:rStyle w:val="PagrindinistekstasDiagrama"/>
          <w:sz w:val="24"/>
          <w:szCs w:val="24"/>
          <w:lang w:eastAsia="en-US" w:bidi="en-US"/>
        </w:rPr>
        <w:t xml:space="preserve">4 priedas. </w:t>
      </w:r>
      <w:r w:rsidR="00382950">
        <w:rPr>
          <w:rStyle w:val="PagrindinistekstasDiagrama"/>
          <w:sz w:val="24"/>
          <w:szCs w:val="24"/>
          <w:lang w:eastAsia="en-US" w:bidi="en-US"/>
        </w:rPr>
        <w:t>S</w:t>
      </w:r>
      <w:r w:rsidRPr="00902CFF">
        <w:rPr>
          <w:rStyle w:val="PagrindinistekstasDiagrama"/>
          <w:sz w:val="24"/>
          <w:szCs w:val="24"/>
          <w:lang w:eastAsia="en-US" w:bidi="en-US"/>
        </w:rPr>
        <w:t>utarties projektas</w:t>
      </w:r>
      <w:bookmarkEnd w:id="0"/>
      <w:r w:rsidR="00382950">
        <w:rPr>
          <w:rStyle w:val="PagrindinistekstasDiagrama"/>
          <w:sz w:val="24"/>
          <w:szCs w:val="24"/>
          <w:lang w:eastAsia="en-US" w:bidi="en-US"/>
        </w:rPr>
        <w:t xml:space="preserve"> </w:t>
      </w:r>
      <w:r w:rsidR="00382950" w:rsidRPr="0092525A">
        <w:rPr>
          <w:rStyle w:val="PagrindinistekstasDiagrama"/>
          <w:sz w:val="24"/>
          <w:szCs w:val="24"/>
          <w:lang w:eastAsia="en-US" w:bidi="en-US"/>
        </w:rPr>
        <w:t>su priedu</w:t>
      </w:r>
      <w:r w:rsidR="00232C18" w:rsidRPr="0092525A">
        <w:rPr>
          <w:rStyle w:val="PagrindinistekstasDiagrama"/>
          <w:sz w:val="24"/>
          <w:szCs w:val="24"/>
          <w:lang w:eastAsia="en-US" w:bidi="en-US"/>
        </w:rPr>
        <w:t>;</w:t>
      </w:r>
    </w:p>
    <w:p w14:paraId="04F6ADDA" w14:textId="3D0A9EAD" w:rsidR="00C76842" w:rsidRDefault="00C7684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5 priedas. Deklaracija dėl tiekėjo atsakingų asmenų</w:t>
      </w:r>
      <w:r w:rsidR="00AE4EE9">
        <w:rPr>
          <w:rStyle w:val="PagrindinistekstasDiagrama"/>
          <w:sz w:val="24"/>
          <w:szCs w:val="24"/>
          <w:lang w:eastAsia="en-US" w:bidi="en-US"/>
        </w:rPr>
        <w:t>;</w:t>
      </w:r>
    </w:p>
    <w:p w14:paraId="11891B41" w14:textId="441F0AA3" w:rsidR="00AE4EE9" w:rsidRDefault="00AE4EE9" w:rsidP="005F4212">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6 priedas. </w:t>
      </w:r>
      <w:r w:rsidR="004558EF">
        <w:rPr>
          <w:rStyle w:val="PagrindinistekstasDiagrama"/>
          <w:sz w:val="24"/>
          <w:szCs w:val="24"/>
          <w:lang w:eastAsia="en-US" w:bidi="en-US"/>
        </w:rPr>
        <w:t>Deklaracija dėl atitikimo nacionalinio saugumo reikalavimams</w:t>
      </w:r>
      <w:r w:rsidR="004C6E25">
        <w:rPr>
          <w:rStyle w:val="PagrindinistekstasDiagrama"/>
          <w:sz w:val="24"/>
          <w:szCs w:val="24"/>
          <w:lang w:eastAsia="en-US" w:bidi="en-US"/>
        </w:rPr>
        <w:t>;</w:t>
      </w:r>
    </w:p>
    <w:p w14:paraId="5EE158DE" w14:textId="69B50525" w:rsidR="004C6E25" w:rsidRDefault="004C6E25" w:rsidP="005F4212">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7 priedas. </w:t>
      </w:r>
      <w:r w:rsidR="00404F38">
        <w:rPr>
          <w:rStyle w:val="PagrindinistekstasDiagrama"/>
          <w:sz w:val="24"/>
          <w:szCs w:val="24"/>
          <w:lang w:eastAsia="en-US" w:bidi="en-US"/>
        </w:rPr>
        <w:t>Asmens duomenų tvarkymo sutartis.</w:t>
      </w: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665CDA5E" w14:textId="25F51817" w:rsidR="00B40CBF" w:rsidRPr="00F55F1C" w:rsidRDefault="00B40CBF"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53480158" w14:textId="203FB7F3" w:rsidR="00AB6D2C" w:rsidRPr="00DF4AB9" w:rsidRDefault="00D20A00" w:rsidP="004A34CE">
      <w:pPr>
        <w:pStyle w:val="Pagrindinistekstas"/>
        <w:numPr>
          <w:ilvl w:val="1"/>
          <w:numId w:val="2"/>
        </w:numPr>
        <w:tabs>
          <w:tab w:val="left" w:pos="1045"/>
        </w:tabs>
        <w:ind w:firstLine="560"/>
        <w:jc w:val="both"/>
        <w:rPr>
          <w:rStyle w:val="PagrindinistekstasDiagrama"/>
          <w:b/>
          <w:bCs/>
        </w:rPr>
      </w:pPr>
      <w:r w:rsidRPr="00DF4AB9">
        <w:rPr>
          <w:rStyle w:val="PagrindinistekstasDiagrama"/>
          <w:sz w:val="24"/>
          <w:szCs w:val="24"/>
        </w:rPr>
        <w:t xml:space="preserve">Valstybės įmonė Turto bankas, adresas Kęstučio g. 45, Vilnius, įmonės kodas 112021042 (toliau - Perkančioji organizacija), numato pirkti </w:t>
      </w:r>
      <w:r w:rsidR="009E239D" w:rsidRPr="00DF4AB9">
        <w:rPr>
          <w:rStyle w:val="PagrindinistekstasDiagrama"/>
          <w:sz w:val="24"/>
          <w:szCs w:val="24"/>
        </w:rPr>
        <w:t xml:space="preserve">paslaugas – </w:t>
      </w:r>
      <w:bookmarkStart w:id="2" w:name="_Hlk167915916"/>
      <w:r w:rsidR="00404F38">
        <w:rPr>
          <w:b/>
          <w:bCs/>
        </w:rPr>
        <w:t>Darbuotojų sveikatos draudimo</w:t>
      </w:r>
      <w:r w:rsidR="00DF4AB9" w:rsidRPr="00DF4AB9">
        <w:rPr>
          <w:b/>
          <w:bCs/>
        </w:rPr>
        <w:t xml:space="preserve"> </w:t>
      </w:r>
      <w:r w:rsidR="0098311F" w:rsidRPr="00DF4AB9">
        <w:rPr>
          <w:b/>
          <w:bCs/>
        </w:rPr>
        <w:t>paslaugos.</w:t>
      </w:r>
    </w:p>
    <w:bookmarkEnd w:id="2"/>
    <w:p w14:paraId="6E4C5FB8" w14:textId="113FAFCD" w:rsidR="00E22439" w:rsidRPr="00AB6D2C" w:rsidRDefault="00D20A00" w:rsidP="00CF7E73">
      <w:pPr>
        <w:pStyle w:val="Pagrindinistekstas"/>
        <w:numPr>
          <w:ilvl w:val="1"/>
          <w:numId w:val="2"/>
        </w:numPr>
        <w:tabs>
          <w:tab w:val="left" w:pos="1045"/>
        </w:tabs>
        <w:ind w:firstLine="560"/>
        <w:jc w:val="both"/>
        <w:rPr>
          <w:sz w:val="24"/>
          <w:szCs w:val="24"/>
        </w:rPr>
      </w:pPr>
      <w:r w:rsidRPr="00942900">
        <w:rPr>
          <w:rStyle w:val="PagrindinistekstasDiagrama"/>
          <w:sz w:val="24"/>
          <w:szCs w:val="24"/>
        </w:rPr>
        <w:t>Vartojamos pagrindinės sąvokos</w:t>
      </w:r>
      <w:r w:rsidRPr="00AB6D2C">
        <w:rPr>
          <w:rStyle w:val="PagrindinistekstasDiagrama"/>
          <w:sz w:val="24"/>
          <w:szCs w:val="24"/>
        </w:rPr>
        <w:t>, apibrėžtos Lietuvos Respublikos viešųjų pirkimų įstatyme (toliau - Viešųjų pirkimų įstatymas).</w:t>
      </w:r>
    </w:p>
    <w:p w14:paraId="0300F887" w14:textId="77777777" w:rsidR="00E22439" w:rsidRPr="00F55F1C" w:rsidRDefault="00D20A00" w:rsidP="00B36CF8">
      <w:pPr>
        <w:pStyle w:val="Pagrindinistekstas"/>
        <w:numPr>
          <w:ilvl w:val="1"/>
          <w:numId w:val="2"/>
        </w:numPr>
        <w:tabs>
          <w:tab w:val="left" w:pos="1054"/>
        </w:tabs>
        <w:ind w:firstLine="560"/>
        <w:jc w:val="both"/>
        <w:rPr>
          <w:sz w:val="24"/>
          <w:szCs w:val="24"/>
        </w:rPr>
      </w:pPr>
      <w:r w:rsidRPr="00F55F1C">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F55F1C" w:rsidRDefault="00D20A00" w:rsidP="00B36CF8">
      <w:pPr>
        <w:pStyle w:val="Pagrindinistekstas"/>
        <w:numPr>
          <w:ilvl w:val="1"/>
          <w:numId w:val="2"/>
        </w:numPr>
        <w:tabs>
          <w:tab w:val="left" w:pos="1059"/>
        </w:tabs>
        <w:ind w:firstLine="560"/>
        <w:jc w:val="both"/>
        <w:rPr>
          <w:sz w:val="24"/>
          <w:szCs w:val="24"/>
        </w:rPr>
      </w:pPr>
      <w:r w:rsidRPr="00F55F1C">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Šis pirkimas nėra rezervuotas pagal Viešųjų pirkimų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9"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0"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1"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008A3DD2"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r w:rsidR="0016238C">
        <w:rPr>
          <w:rStyle w:val="PagrindinistekstasDiagrama"/>
          <w:sz w:val="24"/>
          <w:szCs w:val="24"/>
        </w:rPr>
        <w:t>V</w:t>
      </w:r>
      <w:r w:rsidRPr="00F55F1C">
        <w:rPr>
          <w:rStyle w:val="PagrindinistekstasDiagrama"/>
          <w:sz w:val="24"/>
          <w:szCs w:val="24"/>
        </w:rPr>
        <w:t xml:space="preserve">iešųjų pirkimų skyriaus </w:t>
      </w:r>
      <w:r w:rsidR="00550A86">
        <w:rPr>
          <w:rStyle w:val="PagrindinistekstasDiagrama"/>
          <w:sz w:val="24"/>
          <w:szCs w:val="24"/>
        </w:rPr>
        <w:t xml:space="preserve">vyriausioji </w:t>
      </w:r>
      <w:r w:rsidRPr="00F55F1C">
        <w:rPr>
          <w:rStyle w:val="PagrindinistekstasDiagrama"/>
          <w:sz w:val="24"/>
          <w:szCs w:val="24"/>
        </w:rPr>
        <w:t xml:space="preserve">viešųjų pirkimų specialistė </w:t>
      </w:r>
      <w:r w:rsidR="00B36CF8" w:rsidRPr="00F55F1C">
        <w:rPr>
          <w:rStyle w:val="PagrindinistekstasDiagrama"/>
          <w:sz w:val="24"/>
          <w:szCs w:val="24"/>
        </w:rPr>
        <w:t>Liubov Lavrinovič</w:t>
      </w:r>
      <w:r w:rsidRPr="00F55F1C">
        <w:rPr>
          <w:rStyle w:val="PagrindinistekstasDiagrama"/>
          <w:sz w:val="24"/>
          <w:szCs w:val="24"/>
        </w:rPr>
        <w:t>, tel. +370 6</w:t>
      </w:r>
      <w:r w:rsidR="00B36CF8" w:rsidRPr="00F55F1C">
        <w:rPr>
          <w:rStyle w:val="PagrindinistekstasDiagrama"/>
          <w:sz w:val="24"/>
          <w:szCs w:val="24"/>
        </w:rPr>
        <w:t>49</w:t>
      </w:r>
      <w:r w:rsidRPr="00F55F1C">
        <w:rPr>
          <w:rStyle w:val="PagrindinistekstasDiagrama"/>
          <w:sz w:val="24"/>
          <w:szCs w:val="24"/>
        </w:rPr>
        <w:t xml:space="preserve"> </w:t>
      </w:r>
      <w:r w:rsidR="00B36CF8" w:rsidRPr="00F55F1C">
        <w:rPr>
          <w:rStyle w:val="PagrindinistekstasDiagrama"/>
          <w:sz w:val="24"/>
          <w:szCs w:val="24"/>
        </w:rPr>
        <w:t>43960</w:t>
      </w:r>
      <w:r w:rsidRPr="00F55F1C">
        <w:rPr>
          <w:rStyle w:val="PagrindinistekstasDiagrama"/>
          <w:sz w:val="24"/>
          <w:szCs w:val="24"/>
        </w:rPr>
        <w:t>, el</w:t>
      </w:r>
      <w:r w:rsidR="00F4698E">
        <w:rPr>
          <w:rStyle w:val="PagrindinistekstasDiagrama"/>
          <w:sz w:val="24"/>
          <w:szCs w:val="24"/>
        </w:rPr>
        <w:t>.</w:t>
      </w:r>
      <w:r w:rsidRPr="00F55F1C">
        <w:rPr>
          <w:rStyle w:val="PagrindinistekstasDiagrama"/>
          <w:sz w:val="24"/>
          <w:szCs w:val="24"/>
        </w:rPr>
        <w:t xml:space="preserve"> paštas </w:t>
      </w:r>
      <w:hyperlink r:id="rId12" w:history="1">
        <w:r w:rsidR="005624D2" w:rsidRPr="007B00E2">
          <w:rPr>
            <w:rStyle w:val="Hipersaitas"/>
            <w:sz w:val="24"/>
            <w:szCs w:val="24"/>
          </w:rPr>
          <w:t xml:space="preserve"> </w:t>
        </w:r>
        <w:r w:rsidR="005624D2" w:rsidRPr="007B00E2">
          <w:rPr>
            <w:rStyle w:val="Hipersaitas"/>
            <w:sz w:val="24"/>
            <w:szCs w:val="24"/>
            <w:lang w:eastAsia="en-US" w:bidi="en-US"/>
          </w:rPr>
          <w:t>Liubov.Lavrinovic@turtas.lt.</w:t>
        </w:r>
      </w:hyperlink>
      <w:bookmarkEnd w:id="3"/>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4478683E" w:rsidR="0098311F" w:rsidRPr="00673C51" w:rsidRDefault="00D20A00" w:rsidP="00673C51">
      <w:pPr>
        <w:pStyle w:val="Pagrindinistekstas"/>
        <w:numPr>
          <w:ilvl w:val="1"/>
          <w:numId w:val="2"/>
        </w:numPr>
        <w:tabs>
          <w:tab w:val="left" w:pos="1024"/>
        </w:tabs>
        <w:ind w:firstLine="560"/>
        <w:jc w:val="both"/>
        <w:rPr>
          <w:b/>
          <w:bCs/>
        </w:rPr>
      </w:pPr>
      <w:bookmarkStart w:id="5" w:name="bookmark9"/>
      <w:r w:rsidRPr="00F55F1C">
        <w:rPr>
          <w:rStyle w:val="PagrindinistekstasDiagrama"/>
          <w:sz w:val="24"/>
          <w:szCs w:val="24"/>
        </w:rPr>
        <w:t>Pirkimo objektas</w:t>
      </w:r>
      <w:r w:rsidR="00DA5B11">
        <w:rPr>
          <w:rStyle w:val="PagrindinistekstasDiagrama"/>
          <w:b/>
          <w:bCs/>
          <w:sz w:val="24"/>
          <w:szCs w:val="24"/>
        </w:rPr>
        <w:t xml:space="preserve"> </w:t>
      </w:r>
      <w:r w:rsidR="00DA5B11" w:rsidRPr="00AB6D2C">
        <w:rPr>
          <w:rStyle w:val="PagrindinistekstasDiagrama"/>
          <w:sz w:val="24"/>
          <w:szCs w:val="24"/>
        </w:rPr>
        <w:t xml:space="preserve">– </w:t>
      </w:r>
      <w:r w:rsidR="0098311F">
        <w:rPr>
          <w:b/>
          <w:bCs/>
          <w:sz w:val="24"/>
          <w:szCs w:val="24"/>
        </w:rPr>
        <w:t xml:space="preserve"> </w:t>
      </w:r>
      <w:r w:rsidR="00673C51">
        <w:rPr>
          <w:b/>
          <w:bCs/>
        </w:rPr>
        <w:t>Darbuotojų sveikatos draudimo</w:t>
      </w:r>
      <w:r w:rsidR="00673C51" w:rsidRPr="00DF4AB9">
        <w:rPr>
          <w:b/>
          <w:bCs/>
        </w:rPr>
        <w:t xml:space="preserve"> </w:t>
      </w:r>
      <w:r w:rsidR="0098311F" w:rsidRPr="00673C51">
        <w:rPr>
          <w:b/>
          <w:bCs/>
        </w:rPr>
        <w:t>paslaugos</w:t>
      </w:r>
      <w:r w:rsidR="00901DFC" w:rsidRPr="00673C51">
        <w:rPr>
          <w:rStyle w:val="PagrindinistekstasDiagrama"/>
          <w:b/>
          <w:bCs/>
          <w:sz w:val="24"/>
          <w:szCs w:val="24"/>
          <w:lang w:bidi="en-US"/>
        </w:rPr>
        <w:t xml:space="preserve"> </w:t>
      </w:r>
      <w:r w:rsidRPr="00673C51">
        <w:rPr>
          <w:rStyle w:val="PagrindinistekstasDiagrama"/>
          <w:sz w:val="24"/>
          <w:szCs w:val="24"/>
        </w:rPr>
        <w:t>(toliau - pirkimas), kuri</w:t>
      </w:r>
      <w:r w:rsidR="0079522F" w:rsidRPr="00673C51">
        <w:rPr>
          <w:rStyle w:val="PagrindinistekstasDiagrama"/>
          <w:sz w:val="24"/>
          <w:szCs w:val="24"/>
        </w:rPr>
        <w:t>o</w:t>
      </w:r>
      <w:r w:rsidRPr="00673C51">
        <w:rPr>
          <w:rStyle w:val="PagrindinistekstasDiagrama"/>
          <w:sz w:val="24"/>
          <w:szCs w:val="24"/>
        </w:rPr>
        <w:t>s detalizuot</w:t>
      </w:r>
      <w:r w:rsidR="0079522F" w:rsidRPr="00673C51">
        <w:rPr>
          <w:rStyle w:val="PagrindinistekstasDiagrama"/>
          <w:sz w:val="24"/>
          <w:szCs w:val="24"/>
        </w:rPr>
        <w:t>o</w:t>
      </w:r>
      <w:r w:rsidRPr="00673C51">
        <w:rPr>
          <w:rStyle w:val="PagrindinistekstasDiagrama"/>
          <w:sz w:val="24"/>
          <w:szCs w:val="24"/>
        </w:rPr>
        <w:t>s techninėje specifikacijoje</w:t>
      </w:r>
      <w:r w:rsidR="009E239D" w:rsidRPr="00673C51">
        <w:rPr>
          <w:rStyle w:val="PagrindinistekstasDiagrama"/>
          <w:sz w:val="24"/>
          <w:szCs w:val="24"/>
        </w:rPr>
        <w:t xml:space="preserve"> 2 </w:t>
      </w:r>
      <w:r w:rsidRPr="00673C51">
        <w:rPr>
          <w:rStyle w:val="PagrindinistekstasDiagrama"/>
          <w:sz w:val="24"/>
          <w:szCs w:val="24"/>
        </w:rPr>
        <w:t>pried</w:t>
      </w:r>
      <w:r w:rsidR="009E239D" w:rsidRPr="00673C51">
        <w:rPr>
          <w:rStyle w:val="PagrindinistekstasDiagrama"/>
          <w:sz w:val="24"/>
          <w:szCs w:val="24"/>
        </w:rPr>
        <w:t>e</w:t>
      </w:r>
      <w:r w:rsidRPr="00673C51">
        <w:rPr>
          <w:rStyle w:val="PagrindinistekstasDiagrama"/>
          <w:sz w:val="24"/>
          <w:szCs w:val="24"/>
        </w:rPr>
        <w:t>.</w:t>
      </w:r>
      <w:bookmarkEnd w:id="5"/>
      <w:r w:rsidR="007C747A" w:rsidRPr="00673C51">
        <w:rPr>
          <w:sz w:val="24"/>
          <w:szCs w:val="24"/>
        </w:rPr>
        <w:t xml:space="preserve"> </w:t>
      </w:r>
    </w:p>
    <w:p w14:paraId="6E3665C6" w14:textId="42B395B3" w:rsid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Paslaugų teikimo terminas –</w:t>
      </w:r>
      <w:r w:rsidR="004C6E25" w:rsidRPr="004C6E25">
        <w:rPr>
          <w:rFonts w:eastAsia="Courier New" w:cs="Courier New"/>
          <w:sz w:val="24"/>
          <w:szCs w:val="24"/>
        </w:rPr>
        <w:t xml:space="preserve"> </w:t>
      </w:r>
      <w:r w:rsidR="000B569C">
        <w:rPr>
          <w:iCs/>
          <w:color w:val="000000" w:themeColor="text1"/>
          <w:sz w:val="24"/>
        </w:rPr>
        <w:t xml:space="preserve">12 </w:t>
      </w:r>
      <w:r w:rsidR="004C6E25" w:rsidRPr="004C6E25">
        <w:rPr>
          <w:iCs/>
          <w:color w:val="000000" w:themeColor="text1"/>
          <w:sz w:val="24"/>
        </w:rPr>
        <w:t>(</w:t>
      </w:r>
      <w:r w:rsidR="000B569C">
        <w:rPr>
          <w:iCs/>
          <w:color w:val="000000" w:themeColor="text1"/>
          <w:sz w:val="24"/>
        </w:rPr>
        <w:t>dvylika</w:t>
      </w:r>
      <w:r w:rsidR="004C6E25" w:rsidRPr="004C6E25">
        <w:rPr>
          <w:iCs/>
          <w:color w:val="000000" w:themeColor="text1"/>
          <w:sz w:val="24"/>
        </w:rPr>
        <w:t>) mėnesi</w:t>
      </w:r>
      <w:r w:rsidR="000B569C">
        <w:rPr>
          <w:iCs/>
          <w:color w:val="000000" w:themeColor="text1"/>
          <w:sz w:val="24"/>
        </w:rPr>
        <w:t>ų</w:t>
      </w:r>
      <w:r w:rsidR="002C680E" w:rsidRPr="002C680E">
        <w:rPr>
          <w:color w:val="000000" w:themeColor="text1"/>
          <w:sz w:val="24"/>
        </w:rPr>
        <w:t>.</w:t>
      </w:r>
    </w:p>
    <w:p w14:paraId="7405A36D" w14:textId="7E82CDB7" w:rsidR="00376FF6" w:rsidRPr="000B569C" w:rsidRDefault="0098311F" w:rsidP="0098311F">
      <w:pPr>
        <w:pStyle w:val="Pagrindinistekstas"/>
        <w:numPr>
          <w:ilvl w:val="1"/>
          <w:numId w:val="2"/>
        </w:numPr>
        <w:tabs>
          <w:tab w:val="left" w:pos="1024"/>
        </w:tabs>
        <w:ind w:firstLine="560"/>
        <w:jc w:val="both"/>
        <w:rPr>
          <w:rStyle w:val="normaltextrun"/>
          <w:b/>
          <w:bCs/>
        </w:rPr>
      </w:pPr>
      <w:r w:rsidRPr="0098311F">
        <w:rPr>
          <w:rStyle w:val="PagrindinistekstasDiagrama"/>
          <w:sz w:val="24"/>
          <w:szCs w:val="24"/>
        </w:rPr>
        <w:t>Pirkimo objektas į pirkimo objekto dalis neskaidomas.</w:t>
      </w:r>
      <w:r w:rsidRPr="0098311F">
        <w:rPr>
          <w:rStyle w:val="normaltextrun"/>
          <w:sz w:val="24"/>
          <w:szCs w:val="24"/>
          <w:shd w:val="clear" w:color="auto" w:fill="FFFFFF"/>
        </w:rPr>
        <w:t xml:space="preserve"> Tiekėjas pateikdamas pasiūlymą turi siūlyti visą pirkimo objekto kiekį/apimtį.</w:t>
      </w:r>
      <w:r w:rsidR="00DF4AB9">
        <w:rPr>
          <w:rStyle w:val="normaltextrun"/>
          <w:sz w:val="24"/>
          <w:szCs w:val="24"/>
          <w:shd w:val="clear" w:color="auto" w:fill="FFFFFF"/>
        </w:rPr>
        <w:t xml:space="preserve"> </w:t>
      </w:r>
      <w:r w:rsidRPr="0098311F">
        <w:rPr>
          <w:rStyle w:val="normaltextrun"/>
          <w:sz w:val="24"/>
          <w:szCs w:val="24"/>
          <w:shd w:val="clear" w:color="auto" w:fill="FFFFFF"/>
        </w:rPr>
        <w:t xml:space="preserve">Pirkimo techninėje specifikacijoje nurodytos paslaugos yra vienarūšės, paslaugas atliekant keliems skirtingiems tiekėjams perkančiajai organizacijai būtų apsunkintas sutartinių įsipareigojimų vykdymas, skirtingų pirkimo objektų dalių </w:t>
      </w:r>
      <w:r w:rsidRPr="0098311F">
        <w:rPr>
          <w:rStyle w:val="normaltextrun"/>
          <w:color w:val="auto"/>
          <w:sz w:val="24"/>
          <w:szCs w:val="24"/>
          <w:shd w:val="clear" w:color="auto" w:fill="FFFFFF"/>
        </w:rPr>
        <w:t>vykdytojų koordinavimas ir tai keltų riziką ne tik netinkamai įvykdyti paslaugų pirkimo sutartį, tačiau ir paslaugų pirkimu siekiamas tikslas būtų iš viso nepasiektas</w:t>
      </w:r>
      <w:r w:rsidR="002C680E">
        <w:rPr>
          <w:rStyle w:val="normaltextrun"/>
          <w:color w:val="auto"/>
          <w:sz w:val="24"/>
          <w:szCs w:val="24"/>
          <w:shd w:val="clear" w:color="auto" w:fill="FFFFFF"/>
        </w:rPr>
        <w:t>.</w:t>
      </w:r>
    </w:p>
    <w:p w14:paraId="4E9A4266" w14:textId="77777777" w:rsidR="000B569C" w:rsidRPr="0098311F" w:rsidRDefault="000B569C" w:rsidP="000B569C">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 xml:space="preserve">Perkančiosios organizacijos ir tiekėjo bendravimas vyksta tik CVP IS priemonėmis, </w:t>
      </w:r>
      <w:r w:rsidRPr="00F55F1C">
        <w:rPr>
          <w:rStyle w:val="PagrindinistekstasDiagrama"/>
          <w:sz w:val="24"/>
          <w:szCs w:val="24"/>
        </w:rPr>
        <w:lastRenderedPageBreak/>
        <w:t>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3"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60BB1512"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lastRenderedPageBreak/>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2C94" w14:textId="77777777" w:rsidR="00DF3245" w:rsidRPr="00F463F5" w:rsidRDefault="00DF3245" w:rsidP="006702DE">
            <w:pPr>
              <w:pStyle w:val="Betarp"/>
              <w:jc w:val="both"/>
              <w:rPr>
                <w:rFonts w:ascii="Times New Roman" w:hAnsi="Times New Roman" w:cs="Times New Roman"/>
                <w:b/>
                <w:bCs/>
                <w:sz w:val="22"/>
                <w:szCs w:val="22"/>
                <w:lang w:eastAsia="en-US"/>
              </w:rPr>
            </w:pPr>
            <w:r w:rsidRPr="009E121F">
              <w:rPr>
                <w:rFonts w:ascii="Times New Roman" w:hAnsi="Times New Roman" w:cs="Times New Roman"/>
                <w:sz w:val="22"/>
                <w:szCs w:val="22"/>
                <w:lang w:eastAsia="en-US"/>
              </w:rPr>
              <w:t xml:space="preserve">Perkančioji organizacija pašalina tiekėją iš pirkimo procedūros, jeigu sužino, kad </w:t>
            </w:r>
            <w:r>
              <w:rPr>
                <w:rFonts w:ascii="Times New Roman" w:hAnsi="Times New Roman" w:cs="Times New Roman"/>
                <w:sz w:val="22"/>
                <w:szCs w:val="22"/>
                <w:lang w:eastAsia="en-US"/>
              </w:rPr>
              <w:t>t</w:t>
            </w:r>
            <w:r w:rsidRPr="00F463F5">
              <w:rPr>
                <w:rFonts w:ascii="Times New Roman" w:hAnsi="Times New Roman" w:cs="Times New Roman"/>
                <w:sz w:val="22"/>
                <w:szCs w:val="22"/>
                <w:lang w:eastAsia="en-US"/>
              </w:rPr>
              <w:t>iekėjas arba jo atsakingas asmuo, nurodytas VPĮ 46 straipsnio 2 dalies 2 punkte, nuteistas už šią nusikalstamą veiką:</w:t>
            </w:r>
          </w:p>
          <w:p w14:paraId="0286F95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dalyvavimą nusikalstamame susivienijime, jo organizavimą ar vadovavimą jam;</w:t>
            </w:r>
          </w:p>
          <w:p w14:paraId="0F1854B4"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kyšininkavimą, prekybą poveikiu, papirkimą;</w:t>
            </w:r>
          </w:p>
          <w:p w14:paraId="3376258E"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8B90D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4) nusikalstamą bankrotą;</w:t>
            </w:r>
          </w:p>
          <w:p w14:paraId="4340D3FC"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5) teroristinį ir su teroristine veikla susijusį nusikaltimą;</w:t>
            </w:r>
          </w:p>
          <w:p w14:paraId="29114DC1"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6) nusikalstamu būdu gauto turto legalizavimą;</w:t>
            </w:r>
          </w:p>
          <w:p w14:paraId="17E0AB79"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7) prekybą žmonėmis, vaiko pirkimą arba pardavimą;</w:t>
            </w:r>
          </w:p>
          <w:p w14:paraId="211F09F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CD12E1" w14:textId="77777777" w:rsidR="00DF3245" w:rsidRPr="00F463F5" w:rsidRDefault="00DF3245" w:rsidP="006702DE">
            <w:pPr>
              <w:pStyle w:val="Betarp"/>
              <w:jc w:val="both"/>
              <w:rPr>
                <w:rFonts w:ascii="Times New Roman" w:hAnsi="Times New Roman" w:cs="Times New Roman"/>
                <w:b/>
                <w:bCs/>
                <w:sz w:val="22"/>
                <w:szCs w:val="22"/>
                <w:lang w:eastAsia="en-US"/>
              </w:rPr>
            </w:pPr>
          </w:p>
          <w:p w14:paraId="5C5A21A5"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arba jo atsakingas asmuo nuteistas už aukščiau nurodytą nusikalstamą veiką, kai dėl:</w:t>
            </w:r>
          </w:p>
          <w:p w14:paraId="08C9A3F7" w14:textId="77777777" w:rsidR="00DF3245" w:rsidRPr="00F463F5" w:rsidRDefault="00DF3245" w:rsidP="006702DE">
            <w:pPr>
              <w:pStyle w:val="Betarp"/>
              <w:jc w:val="both"/>
              <w:rPr>
                <w:rFonts w:ascii="Times New Roman" w:hAnsi="Times New Roman" w:cs="Times New Roman"/>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AA3F939" w14:textId="17E459CA"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2) tiekėjo, kuris yra juridinis asmuo, kita organizacija ar jos</w:t>
            </w:r>
            <w:r w:rsidR="00901DFC">
              <w:rPr>
                <w:rFonts w:ascii="Times New Roman" w:hAnsi="Times New Roman" w:cs="Times New Roman"/>
                <w:sz w:val="22"/>
                <w:szCs w:val="22"/>
                <w:lang w:eastAsia="en-US"/>
              </w:rPr>
              <w:t xml:space="preserve"> struktūrinis</w:t>
            </w:r>
            <w:r w:rsidRPr="00F463F5">
              <w:rPr>
                <w:rFonts w:ascii="Times New Roman" w:hAnsi="Times New Roman" w:cs="Times New Roman"/>
                <w:sz w:val="22"/>
                <w:szCs w:val="22"/>
                <w:lang w:eastAsia="en-US"/>
              </w:rPr>
              <w:t xml:space="preserve"> padalinys, </w:t>
            </w:r>
            <w:r w:rsidRPr="00F463F5">
              <w:rPr>
                <w:rFonts w:ascii="Times New Roman" w:hAnsi="Times New Roman" w:cs="Times New Roman"/>
                <w:sz w:val="22"/>
                <w:szCs w:val="22"/>
                <w:lang w:eastAsia="en-US"/>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9CC5EA" w14:textId="1A5D448D"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tiekėjo, kuris yra juridinis asmuo, kita organizacija ar jos</w:t>
            </w:r>
            <w:r w:rsidR="00901DFC">
              <w:rPr>
                <w:rFonts w:ascii="Times New Roman" w:hAnsi="Times New Roman" w:cs="Times New Roman"/>
                <w:bCs/>
                <w:sz w:val="22"/>
                <w:szCs w:val="22"/>
                <w:lang w:eastAsia="en-US"/>
              </w:rPr>
              <w:t xml:space="preserve"> </w:t>
            </w:r>
            <w:r w:rsidR="00901DFC">
              <w:rPr>
                <w:rFonts w:ascii="Times New Roman" w:hAnsi="Times New Roman" w:cs="Times New Roman"/>
                <w:sz w:val="22"/>
                <w:szCs w:val="22"/>
                <w:lang w:eastAsia="en-US"/>
              </w:rPr>
              <w:t>struktūrinis</w:t>
            </w:r>
            <w:r w:rsidRPr="00F463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lastRenderedPageBreak/>
              <w:t>Iš Lietuvoje įsteigtų subjektų reikalaujama:</w:t>
            </w:r>
          </w:p>
          <w:p w14:paraId="43FB5871"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išrašo iš teismo sprendimo arba</w:t>
            </w:r>
          </w:p>
          <w:p w14:paraId="1C7CC64A"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Informatikos ir ryšių departamento prie Vidaus reikalų ministerijos pažymos, arba</w:t>
            </w:r>
          </w:p>
          <w:p w14:paraId="79CFB32F"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F463F5" w:rsidRDefault="00DF3245" w:rsidP="006702DE">
            <w:pPr>
              <w:pStyle w:val="Betarp"/>
              <w:jc w:val="both"/>
              <w:rPr>
                <w:rFonts w:ascii="Times New Roman" w:hAnsi="Times New Roman" w:cs="Times New Roman"/>
                <w:sz w:val="22"/>
                <w:szCs w:val="22"/>
                <w:lang w:eastAsia="en-US"/>
              </w:rPr>
            </w:pPr>
          </w:p>
          <w:p w14:paraId="74B1AEB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5F88F746"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1"/>
            </w:r>
            <w:r w:rsidRPr="00F463F5">
              <w:rPr>
                <w:rFonts w:ascii="Times New Roman" w:hAnsi="Times New Roman" w:cs="Times New Roman"/>
                <w:sz w:val="22"/>
                <w:szCs w:val="22"/>
              </w:rPr>
              <w:t>.</w:t>
            </w:r>
          </w:p>
          <w:p w14:paraId="2483333D" w14:textId="77777777" w:rsidR="00DF3245" w:rsidRPr="00F463F5" w:rsidRDefault="00DF3245" w:rsidP="006702DE">
            <w:pPr>
              <w:pStyle w:val="Betarp"/>
              <w:jc w:val="both"/>
              <w:rPr>
                <w:rFonts w:ascii="Times New Roman" w:hAnsi="Times New Roman" w:cs="Times New Roman"/>
                <w:sz w:val="22"/>
                <w:szCs w:val="22"/>
              </w:rPr>
            </w:pPr>
          </w:p>
          <w:p w14:paraId="585179D5" w14:textId="77777777" w:rsidR="00DF3245" w:rsidRPr="00F463F5" w:rsidRDefault="00DF3245" w:rsidP="006702DE">
            <w:pPr>
              <w:pStyle w:val="Betarp"/>
              <w:jc w:val="both"/>
              <w:rPr>
                <w:rFonts w:ascii="Times New Roman" w:hAnsi="Times New Roman" w:cs="Times New Roman"/>
                <w:color w:val="7030A0"/>
                <w:sz w:val="22"/>
                <w:szCs w:val="22"/>
              </w:rPr>
            </w:pPr>
            <w:r w:rsidRPr="00F463F5">
              <w:rPr>
                <w:rFonts w:ascii="Times New Roman" w:hAnsi="Times New Roman" w:cs="Times New Roman"/>
                <w:sz w:val="22"/>
                <w:szCs w:val="22"/>
              </w:rPr>
              <w:t xml:space="preserve">Nurodyti dokumentai turi būti išduoti ne anksčiau kaip 180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w:t>
            </w:r>
            <w:r w:rsidRPr="00F463F5">
              <w:rPr>
                <w:rFonts w:ascii="Times New Roman" w:hAnsi="Times New Roman" w:cs="Times New Roman"/>
                <w:i/>
                <w:iCs/>
                <w:color w:val="000000" w:themeColor="text1"/>
                <w:sz w:val="22"/>
                <w:szCs w:val="22"/>
              </w:rPr>
              <w:t xml:space="preserve"> </w:t>
            </w:r>
          </w:p>
          <w:p w14:paraId="48BBD5F1" w14:textId="77777777" w:rsidR="00DF3245" w:rsidRPr="00F463F5" w:rsidRDefault="00DF3245" w:rsidP="006702DE">
            <w:pPr>
              <w:pStyle w:val="Betarp"/>
              <w:jc w:val="both"/>
              <w:rPr>
                <w:rFonts w:ascii="Times New Roman" w:hAnsi="Times New Roman" w:cs="Times New Roman"/>
                <w:b/>
                <w:bCs/>
                <w:sz w:val="22"/>
                <w:szCs w:val="22"/>
              </w:rPr>
            </w:pPr>
          </w:p>
          <w:p w14:paraId="690B582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Default="00DF3245" w:rsidP="006702DE">
            <w:pPr>
              <w:pStyle w:val="Betarp"/>
              <w:jc w:val="both"/>
              <w:rPr>
                <w:rFonts w:ascii="Times New Roman" w:hAnsi="Times New Roman" w:cs="Times New Roman"/>
                <w:b/>
                <w:bCs/>
                <w:sz w:val="22"/>
                <w:szCs w:val="22"/>
              </w:rPr>
            </w:pPr>
          </w:p>
          <w:p w14:paraId="4F3A0832" w14:textId="1C94A80E" w:rsidR="002E696C" w:rsidRPr="002E696C" w:rsidRDefault="002E696C" w:rsidP="002E696C">
            <w:pPr>
              <w:pStyle w:val="Betarp"/>
              <w:jc w:val="both"/>
              <w:rPr>
                <w:rFonts w:ascii="Times New Roman" w:hAnsi="Times New Roman" w:cs="Times New Roman"/>
                <w:sz w:val="22"/>
              </w:rPr>
            </w:pPr>
            <w:r w:rsidRPr="002E696C">
              <w:rPr>
                <w:rFonts w:ascii="Times New Roman" w:hAnsi="Times New Roman" w:cs="Times New Roman"/>
                <w:b/>
                <w:bCs/>
                <w:sz w:val="22"/>
              </w:rPr>
              <w:t>Deklaracija dėl tiekėjo atsakingų asmenų</w:t>
            </w:r>
            <w:r w:rsidRPr="002E696C">
              <w:rPr>
                <w:rFonts w:ascii="Times New Roman" w:hAnsi="Times New Roman" w:cs="Times New Roman"/>
                <w:sz w:val="22"/>
              </w:rPr>
              <w:t xml:space="preserve"> (</w:t>
            </w:r>
            <w:r w:rsidR="005847E0">
              <w:rPr>
                <w:rFonts w:ascii="Times New Roman" w:hAnsi="Times New Roman" w:cs="Times New Roman"/>
                <w:sz w:val="22"/>
              </w:rPr>
              <w:t>už</w:t>
            </w:r>
            <w:r w:rsidRPr="002E696C">
              <w:rPr>
                <w:rFonts w:ascii="Times New Roman" w:hAnsi="Times New Roman" w:cs="Times New Roman"/>
                <w:sz w:val="22"/>
              </w:rPr>
              <w:t>pildoma</w:t>
            </w:r>
            <w:r w:rsidR="005847E0">
              <w:rPr>
                <w:rFonts w:ascii="Times New Roman" w:hAnsi="Times New Roman" w:cs="Times New Roman"/>
                <w:sz w:val="22"/>
              </w:rPr>
              <w:t>s</w:t>
            </w:r>
            <w:r w:rsidR="000044EB">
              <w:rPr>
                <w:rFonts w:ascii="Times New Roman" w:hAnsi="Times New Roman" w:cs="Times New Roman"/>
                <w:sz w:val="22"/>
              </w:rPr>
              <w:t xml:space="preserve"> </w:t>
            </w:r>
            <w:r w:rsidR="003E3C36">
              <w:rPr>
                <w:rFonts w:ascii="Times New Roman" w:hAnsi="Times New Roman" w:cs="Times New Roman"/>
                <w:sz w:val="22"/>
              </w:rPr>
              <w:t>5</w:t>
            </w:r>
            <w:r w:rsidRPr="002E696C">
              <w:rPr>
                <w:rFonts w:ascii="Times New Roman" w:hAnsi="Times New Roman" w:cs="Times New Roman"/>
                <w:sz w:val="22"/>
              </w:rPr>
              <w:t xml:space="preserve"> pried</w:t>
            </w:r>
            <w:r w:rsidR="005847E0">
              <w:rPr>
                <w:rFonts w:ascii="Times New Roman" w:hAnsi="Times New Roman" w:cs="Times New Roman"/>
                <w:sz w:val="22"/>
              </w:rPr>
              <w:t>as</w:t>
            </w:r>
            <w:r w:rsidRPr="002E696C">
              <w:rPr>
                <w:rFonts w:ascii="Times New Roman" w:hAnsi="Times New Roman" w:cs="Times New Roman"/>
                <w:sz w:val="22"/>
              </w:rPr>
              <w:t>)</w:t>
            </w:r>
          </w:p>
          <w:p w14:paraId="0059384B" w14:textId="77777777" w:rsidR="002E696C" w:rsidRPr="002E696C" w:rsidRDefault="002E696C" w:rsidP="002E696C">
            <w:pPr>
              <w:pStyle w:val="Betarp"/>
              <w:jc w:val="both"/>
              <w:rPr>
                <w:rFonts w:ascii="Times New Roman" w:hAnsi="Times New Roman" w:cs="Times New Roman"/>
                <w:b/>
                <w:bCs/>
                <w:sz w:val="22"/>
              </w:rPr>
            </w:pPr>
          </w:p>
          <w:p w14:paraId="79D13C5B" w14:textId="77777777" w:rsidR="002E696C" w:rsidRPr="002E696C" w:rsidRDefault="002E696C" w:rsidP="002E696C">
            <w:pPr>
              <w:pStyle w:val="Betarp"/>
              <w:jc w:val="both"/>
              <w:rPr>
                <w:rFonts w:ascii="Times New Roman" w:hAnsi="Times New Roman" w:cs="Times New Roman"/>
                <w:i/>
                <w:sz w:val="22"/>
              </w:rPr>
            </w:pPr>
            <w:r w:rsidRPr="002E696C">
              <w:rPr>
                <w:rFonts w:ascii="Times New Roman" w:hAnsi="Times New Roman" w:cs="Times New Roman"/>
                <w:b/>
                <w:bCs/>
                <w:sz w:val="22"/>
              </w:rPr>
              <w:t xml:space="preserve">Pastaba. </w:t>
            </w:r>
            <w:r w:rsidRPr="002E696C">
              <w:rPr>
                <w:rFonts w:ascii="Times New Roman" w:hAnsi="Times New Roman" w:cs="Times New Roman"/>
                <w:i/>
                <w:sz w:val="22"/>
              </w:rPr>
              <w:t>Jei deklaracijoje</w:t>
            </w:r>
            <w:r w:rsidRPr="002E696C">
              <w:rPr>
                <w:rFonts w:ascii="Times New Roman" w:hAnsi="Times New Roman" w:cs="Times New Roman"/>
                <w:b/>
                <w:i/>
                <w:sz w:val="22"/>
              </w:rPr>
              <w:t xml:space="preserve"> </w:t>
            </w:r>
            <w:r w:rsidRPr="002E696C">
              <w:rPr>
                <w:rFonts w:ascii="Times New Roman" w:hAnsi="Times New Roman" w:cs="Times New Roman"/>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F463F5" w:rsidRDefault="002E696C" w:rsidP="006702DE">
            <w:pPr>
              <w:pStyle w:val="Betarp"/>
              <w:jc w:val="both"/>
              <w:rPr>
                <w:rFonts w:ascii="Times New Roman" w:hAnsi="Times New Roman" w:cs="Times New Roman"/>
                <w:b/>
                <w:bCs/>
                <w:sz w:val="22"/>
                <w:szCs w:val="22"/>
              </w:rPr>
            </w:pPr>
          </w:p>
        </w:tc>
      </w:tr>
      <w:tr w:rsidR="001F650A" w:rsidRPr="00F463F5" w14:paraId="6EBA325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1E23" w14:textId="5857E20D" w:rsidR="001F650A" w:rsidRPr="000C2DEB" w:rsidRDefault="001F650A" w:rsidP="006702DE">
            <w:pPr>
              <w:pStyle w:val="Betarp"/>
              <w:rPr>
                <w:rFonts w:ascii="Times New Roman" w:hAnsi="Times New Roman" w:cs="Times New Roman"/>
                <w:sz w:val="22"/>
                <w:szCs w:val="22"/>
              </w:rPr>
            </w:pPr>
            <w:r>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90825" w14:textId="1B70765D" w:rsidR="001F650A" w:rsidRPr="009E121F" w:rsidRDefault="001F650A" w:rsidP="006702DE">
            <w:pPr>
              <w:pStyle w:val="Betarp"/>
              <w:jc w:val="both"/>
              <w:rPr>
                <w:rFonts w:ascii="Times New Roman" w:hAnsi="Times New Roman" w:cs="Times New Roman"/>
                <w:sz w:val="22"/>
                <w:szCs w:val="22"/>
                <w:lang w:eastAsia="en-US"/>
              </w:rPr>
            </w:pPr>
            <w:r w:rsidRPr="001F650A">
              <w:rPr>
                <w:rFonts w:ascii="Times New Roman" w:hAnsi="Times New Roman" w:cs="Times New Roman"/>
                <w:sz w:val="22"/>
                <w:szCs w:val="22"/>
                <w:lang w:eastAsia="en-US" w:bidi="lt-LT"/>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A4EB4" w14:textId="0209B5A5" w:rsidR="001F650A" w:rsidRPr="00F463F5" w:rsidRDefault="001F650A" w:rsidP="006702DE">
            <w:pPr>
              <w:pStyle w:val="Betarp"/>
              <w:jc w:val="both"/>
              <w:rPr>
                <w:rFonts w:ascii="Times New Roman" w:hAnsi="Times New Roman" w:cs="Times New Roman"/>
                <w:sz w:val="22"/>
                <w:szCs w:val="22"/>
                <w:lang w:eastAsia="en-US"/>
              </w:rPr>
            </w:pPr>
            <w:r w:rsidRPr="001F650A">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031740C6"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w:t>
            </w:r>
            <w:r w:rsidR="001F650A">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lastRenderedPageBreak/>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441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lastRenderedPageBreak/>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 xml:space="preserve">Jei dokumentas išduotas anksčiau, tačiau jame nurodytas galiojimo terminas ilgesnis nei pašalinimo </w:t>
            </w:r>
            <w:r w:rsidRPr="00F463F5">
              <w:rPr>
                <w:rFonts w:ascii="Times New Roman" w:hAnsi="Times New Roman" w:cs="Times New Roman"/>
                <w:bCs/>
                <w:sz w:val="22"/>
                <w:szCs w:val="22"/>
              </w:rPr>
              <w:lastRenderedPageBreak/>
              <w:t>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1DB14CB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F650A">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56001F90"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F650A">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54003304"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F650A">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1631F18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F650A">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F463F5">
              <w:rPr>
                <w:rFonts w:ascii="Times New Roman" w:hAnsi="Times New Roman" w:cs="Times New Roman"/>
                <w:bCs/>
                <w:sz w:val="22"/>
                <w:szCs w:val="22"/>
              </w:rPr>
              <w:lastRenderedPageBreak/>
              <w:t>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5">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7B7BFF31"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F650A">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3572DA75"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F650A">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6"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17"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6202E7F0"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F650A">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19"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2F6B0A2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F650A">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0"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5F711205"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F650A">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1"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7DC5329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w:t>
      </w:r>
      <w:r w:rsidR="001F650A">
        <w:rPr>
          <w:rStyle w:val="PagrindinistekstasDiagrama"/>
          <w:sz w:val="24"/>
          <w:szCs w:val="24"/>
        </w:rPr>
        <w:t>4</w:t>
      </w:r>
      <w:r w:rsidRPr="00F55F1C">
        <w:rPr>
          <w:rStyle w:val="PagrindinistekstasDiagrama"/>
          <w:sz w:val="24"/>
          <w:szCs w:val="24"/>
        </w:rPr>
        <w:t>.</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8C569E">
        <w:rPr>
          <w:rStyle w:val="PagrindinistekstasDiagrama"/>
          <w:sz w:val="24"/>
          <w:szCs w:val="24"/>
        </w:rPr>
        <w:t>2</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615D75F5"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w:t>
      </w:r>
      <w:r w:rsidR="001F650A">
        <w:rPr>
          <w:rStyle w:val="PagrindinistekstasDiagrama"/>
          <w:sz w:val="24"/>
          <w:szCs w:val="24"/>
        </w:rPr>
        <w:t>4</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8C569E">
        <w:rPr>
          <w:rStyle w:val="PagrindinistekstasDiagrama"/>
          <w:sz w:val="24"/>
          <w:szCs w:val="24"/>
        </w:rPr>
        <w:t>2</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4" w:name="bookmark19"/>
      <w:r w:rsidRPr="00F55F1C">
        <w:rPr>
          <w:rStyle w:val="Heading1"/>
          <w:b/>
          <w:bCs/>
          <w:sz w:val="24"/>
          <w:szCs w:val="24"/>
        </w:rPr>
        <w:lastRenderedPageBreak/>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14:paraId="035E9F2D" w14:textId="77777777" w:rsidR="004C6E25" w:rsidRDefault="004C6E25" w:rsidP="004C6E25">
      <w:pPr>
        <w:pStyle w:val="Sraopastraipa"/>
        <w:numPr>
          <w:ilvl w:val="1"/>
          <w:numId w:val="2"/>
        </w:numPr>
        <w:ind w:left="142" w:firstLine="425"/>
        <w:rPr>
          <w:rFonts w:ascii="Times New Roman" w:eastAsia="Times New Roman" w:hAnsi="Times New Roman" w:cs="Times New Roman"/>
          <w:lang w:eastAsia="en-US" w:bidi="ar-SA"/>
        </w:rPr>
      </w:pPr>
      <w:r w:rsidRPr="004C6E25">
        <w:rPr>
          <w:rFonts w:ascii="Times New Roman" w:eastAsia="Times New Roman" w:hAnsi="Times New Roman" w:cs="Times New Roman"/>
          <w:lang w:eastAsia="en-US" w:bidi="ar-SA"/>
        </w:rPr>
        <w:t>Tiekėjas,  dalyvaujantis  pirkime  turi  atitikti  šiuos  reikalavimus  (kvalifikacija  turi  būti  įgyta iki pasiūlymo pateikimo termino pabaigos):</w:t>
      </w:r>
    </w:p>
    <w:tbl>
      <w:tblPr>
        <w:tblW w:w="5000" w:type="pct"/>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11"/>
        <w:gridCol w:w="1827"/>
        <w:gridCol w:w="3509"/>
        <w:gridCol w:w="3672"/>
      </w:tblGrid>
      <w:tr w:rsidR="00DF4AB9" w:rsidRPr="00DF4AB9" w14:paraId="4161137E" w14:textId="77777777" w:rsidTr="001F650A">
        <w:tc>
          <w:tcPr>
            <w:tcW w:w="363" w:type="pct"/>
            <w:tcBorders>
              <w:top w:val="single" w:sz="4" w:space="0" w:color="000001"/>
              <w:left w:val="single" w:sz="4" w:space="0" w:color="000001"/>
              <w:right w:val="single" w:sz="4" w:space="0" w:color="000001"/>
            </w:tcBorders>
            <w:shd w:val="clear" w:color="auto" w:fill="auto"/>
            <w:tcMar>
              <w:left w:w="108" w:type="dxa"/>
            </w:tcMar>
          </w:tcPr>
          <w:p w14:paraId="41721066"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Eil. Nr.</w:t>
            </w:r>
          </w:p>
        </w:tc>
        <w:tc>
          <w:tcPr>
            <w:tcW w:w="941" w:type="pct"/>
            <w:tcBorders>
              <w:top w:val="single" w:sz="4" w:space="0" w:color="000001"/>
              <w:left w:val="single" w:sz="4" w:space="0" w:color="000001"/>
              <w:right w:val="single" w:sz="4" w:space="0" w:color="000001"/>
            </w:tcBorders>
            <w:shd w:val="clear" w:color="auto" w:fill="auto"/>
            <w:tcMar>
              <w:left w:w="108" w:type="dxa"/>
            </w:tcMar>
          </w:tcPr>
          <w:p w14:paraId="4FEBF36B"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Kvalifikacijos reikalavimai</w:t>
            </w:r>
          </w:p>
        </w:tc>
        <w:tc>
          <w:tcPr>
            <w:tcW w:w="1806" w:type="pct"/>
            <w:tcBorders>
              <w:top w:val="single" w:sz="4" w:space="0" w:color="000001"/>
              <w:left w:val="single" w:sz="4" w:space="0" w:color="000001"/>
              <w:right w:val="single" w:sz="4" w:space="0" w:color="000001"/>
            </w:tcBorders>
            <w:shd w:val="clear" w:color="auto" w:fill="auto"/>
            <w:tcMar>
              <w:left w:w="108" w:type="dxa"/>
            </w:tcMar>
          </w:tcPr>
          <w:p w14:paraId="29E62BF6"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Kvalifikacijos reikalavimus įrodantys dokumentai*</w:t>
            </w:r>
          </w:p>
        </w:tc>
        <w:tc>
          <w:tcPr>
            <w:tcW w:w="1889" w:type="pct"/>
            <w:tcBorders>
              <w:top w:val="single" w:sz="4" w:space="0" w:color="000001"/>
              <w:left w:val="single" w:sz="4" w:space="0" w:color="000001"/>
              <w:bottom w:val="nil"/>
              <w:right w:val="single" w:sz="4" w:space="0" w:color="000001"/>
            </w:tcBorders>
          </w:tcPr>
          <w:p w14:paraId="7E3138E8"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Subjektas, kuris turi atitikti reikalavimą</w:t>
            </w:r>
          </w:p>
        </w:tc>
      </w:tr>
      <w:tr w:rsidR="00DF4AB9" w:rsidRPr="00DF4AB9" w14:paraId="28087B95" w14:textId="77777777" w:rsidTr="001F650A">
        <w:trPr>
          <w:trHeight w:val="309"/>
        </w:trPr>
        <w:tc>
          <w:tcPr>
            <w:tcW w:w="363" w:type="pct"/>
            <w:tcBorders>
              <w:left w:val="single" w:sz="4" w:space="0" w:color="000001"/>
              <w:bottom w:val="single" w:sz="4" w:space="0" w:color="000001"/>
              <w:right w:val="single" w:sz="4" w:space="0" w:color="000001"/>
            </w:tcBorders>
            <w:shd w:val="clear" w:color="auto" w:fill="D9D9D9"/>
            <w:tcMar>
              <w:left w:w="108" w:type="dxa"/>
            </w:tcMar>
          </w:tcPr>
          <w:p w14:paraId="4435A250" w14:textId="77777777" w:rsidR="00DF4AB9" w:rsidRPr="00DF4AB9" w:rsidRDefault="00DF4AB9" w:rsidP="00DF4AB9">
            <w:pPr>
              <w:suppressAutoHyphens/>
              <w:jc w:val="both"/>
              <w:rPr>
                <w:rFonts w:ascii="Times New Roman" w:eastAsia="Calibri" w:hAnsi="Times New Roman" w:cs="Times New Roman"/>
                <w:color w:val="auto"/>
                <w:sz w:val="22"/>
                <w:szCs w:val="22"/>
                <w:lang w:eastAsia="en-US" w:bidi="ar-SA"/>
              </w:rPr>
            </w:pPr>
          </w:p>
        </w:tc>
        <w:tc>
          <w:tcPr>
            <w:tcW w:w="4637" w:type="pct"/>
            <w:gridSpan w:val="3"/>
            <w:tcBorders>
              <w:left w:val="single" w:sz="4" w:space="0" w:color="000001"/>
              <w:bottom w:val="single" w:sz="4" w:space="0" w:color="000001"/>
              <w:right w:val="single" w:sz="4" w:space="0" w:color="000001"/>
            </w:tcBorders>
            <w:shd w:val="clear" w:color="auto" w:fill="D9D9D9"/>
            <w:tcMar>
              <w:left w:w="108" w:type="dxa"/>
            </w:tcMar>
          </w:tcPr>
          <w:p w14:paraId="58A0B339" w14:textId="1C20091E" w:rsidR="00DF4AB9" w:rsidRPr="00DF4AB9" w:rsidRDefault="00DF4AB9" w:rsidP="00DF4AB9">
            <w:pPr>
              <w:suppressAutoHyphens/>
              <w:jc w:val="center"/>
              <w:rPr>
                <w:rFonts w:ascii="Times New Roman" w:eastAsia="Calibri" w:hAnsi="Times New Roman" w:cs="Times New Roman"/>
                <w:color w:val="auto"/>
                <w:sz w:val="22"/>
                <w:szCs w:val="22"/>
                <w:lang w:eastAsia="en-US" w:bidi="ar-SA"/>
              </w:rPr>
            </w:pPr>
            <w:r w:rsidRPr="00DF4AB9">
              <w:rPr>
                <w:rFonts w:ascii="Times New Roman" w:eastAsia="Calibri" w:hAnsi="Times New Roman" w:cs="Times New Roman"/>
                <w:b/>
                <w:i/>
                <w:color w:val="auto"/>
                <w:sz w:val="22"/>
                <w:szCs w:val="22"/>
                <w:lang w:eastAsia="en-US" w:bidi="ar-SA"/>
              </w:rPr>
              <w:t>T</w:t>
            </w:r>
            <w:r w:rsidR="00232C8C">
              <w:rPr>
                <w:rFonts w:ascii="Times New Roman" w:eastAsia="Calibri" w:hAnsi="Times New Roman" w:cs="Times New Roman"/>
                <w:b/>
                <w:i/>
                <w:color w:val="auto"/>
                <w:sz w:val="22"/>
                <w:szCs w:val="22"/>
                <w:lang w:eastAsia="en-US" w:bidi="ar-SA"/>
              </w:rPr>
              <w:t>eisė verstis veikla</w:t>
            </w:r>
          </w:p>
        </w:tc>
      </w:tr>
      <w:tr w:rsidR="001F650A" w:rsidRPr="00DF4AB9" w14:paraId="12847C7C" w14:textId="77777777" w:rsidTr="001F650A">
        <w:tc>
          <w:tcPr>
            <w:tcW w:w="36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879CFDA" w14:textId="67CA062A" w:rsidR="001F650A" w:rsidRPr="00DF4AB9" w:rsidRDefault="001F650A" w:rsidP="001F650A">
            <w:pPr>
              <w:widowControl/>
              <w:suppressAutoHyphens/>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6.1.</w:t>
            </w:r>
            <w:r w:rsidRPr="00DF4AB9">
              <w:rPr>
                <w:rFonts w:ascii="Times New Roman" w:eastAsia="Times New Roman" w:hAnsi="Times New Roman" w:cs="Times New Roman"/>
                <w:color w:val="auto"/>
                <w:sz w:val="22"/>
                <w:szCs w:val="22"/>
                <w:lang w:eastAsia="en-US" w:bidi="ar-SA"/>
              </w:rPr>
              <w:t>1.</w:t>
            </w:r>
          </w:p>
        </w:tc>
        <w:tc>
          <w:tcPr>
            <w:tcW w:w="941" w:type="pct"/>
            <w:shd w:val="clear" w:color="auto" w:fill="auto"/>
            <w:tcMar>
              <w:left w:w="108" w:type="dxa"/>
            </w:tcMar>
          </w:tcPr>
          <w:p w14:paraId="146D78F6" w14:textId="1AAD0718" w:rsidR="001F650A" w:rsidRPr="00DF4AB9" w:rsidRDefault="001F650A" w:rsidP="001F650A">
            <w:pPr>
              <w:widowControl/>
              <w:suppressAutoHyphens/>
              <w:jc w:val="both"/>
              <w:rPr>
                <w:rFonts w:ascii="Times New Roman" w:eastAsia="Calibri" w:hAnsi="Times New Roman" w:cs="Times New Roman"/>
                <w:sz w:val="22"/>
                <w:szCs w:val="22"/>
                <w:lang w:eastAsia="en-US" w:bidi="ar-SA"/>
              </w:rPr>
            </w:pPr>
            <w:r w:rsidRPr="00F55F1C">
              <w:rPr>
                <w:rFonts w:ascii="Times New Roman" w:eastAsia="Calibri" w:hAnsi="Times New Roman" w:cs="Times New Roman"/>
              </w:rPr>
              <w:t>Tiekėjas turi teisę teikti perkamas paslaugas t. y. verstis veikla, reikalinga Sutarčiai vykdyti.</w:t>
            </w:r>
          </w:p>
        </w:tc>
        <w:tc>
          <w:tcPr>
            <w:tcW w:w="1806" w:type="pct"/>
            <w:shd w:val="clear" w:color="auto" w:fill="auto"/>
            <w:tcMar>
              <w:left w:w="108" w:type="dxa"/>
            </w:tcMar>
          </w:tcPr>
          <w:p w14:paraId="28E44388" w14:textId="45AB8A33" w:rsidR="001F650A" w:rsidRPr="00F55F1C" w:rsidRDefault="001F650A" w:rsidP="00232C8C">
            <w:pPr>
              <w:pStyle w:val="Sraopastraipa"/>
              <w:tabs>
                <w:tab w:val="left" w:pos="476"/>
              </w:tabs>
              <w:ind w:left="31"/>
              <w:jc w:val="both"/>
              <w:rPr>
                <w:rFonts w:ascii="Times New Roman" w:eastAsia="Calibri" w:hAnsi="Times New Roman" w:cs="Times New Roman"/>
              </w:rPr>
            </w:pPr>
            <w:r w:rsidRPr="00F55F1C">
              <w:rPr>
                <w:rFonts w:ascii="Times New Roman" w:eastAsia="Calibri" w:hAnsi="Times New Roman" w:cs="Times New Roman"/>
              </w:rPr>
              <w:t>Lietuvos Banko išduotos draudimo veiklos licencijos arba atitinkamos užsienio šalies institucijos išduoto dokumento, suteikiančio teisę vykdyti perkamas draudimo paslaugas</w:t>
            </w:r>
            <w:r w:rsidR="00232C8C">
              <w:rPr>
                <w:rFonts w:ascii="Times New Roman" w:eastAsia="Calibri" w:hAnsi="Times New Roman" w:cs="Times New Roman"/>
              </w:rPr>
              <w:t xml:space="preserve"> kopija.</w:t>
            </w:r>
          </w:p>
          <w:p w14:paraId="57FF87C1" w14:textId="66B83DCD" w:rsidR="001F650A" w:rsidRPr="00F55F1C" w:rsidRDefault="001F650A" w:rsidP="001F650A">
            <w:pPr>
              <w:pStyle w:val="Sraopastraipa"/>
              <w:tabs>
                <w:tab w:val="left" w:pos="314"/>
              </w:tabs>
              <w:ind w:left="31"/>
              <w:jc w:val="both"/>
              <w:rPr>
                <w:rFonts w:ascii="Times New Roman" w:eastAsia="Calibri" w:hAnsi="Times New Roman" w:cs="Times New Roman"/>
              </w:rPr>
            </w:pPr>
            <w:r w:rsidRPr="00F55F1C">
              <w:rPr>
                <w:rFonts w:ascii="Times New Roman" w:eastAsia="Calibri" w:hAnsi="Times New Roman" w:cs="Times New Roman"/>
              </w:rPr>
              <w:t>Dokumentai - jų kopijos arba nuorodos į nacionalines duomenų bazes bet kurioje valstybėje narėje, prie kurių pirkimo vykdytojas turės galimybę tiesiogiai ir neatlygintinai prisijung</w:t>
            </w:r>
            <w:r w:rsidR="00232C8C">
              <w:rPr>
                <w:rFonts w:ascii="Times New Roman" w:eastAsia="Calibri" w:hAnsi="Times New Roman" w:cs="Times New Roman"/>
              </w:rPr>
              <w:t>t</w:t>
            </w:r>
            <w:r w:rsidRPr="00F55F1C">
              <w:rPr>
                <w:rFonts w:ascii="Times New Roman" w:eastAsia="Calibri" w:hAnsi="Times New Roman" w:cs="Times New Roman"/>
              </w:rPr>
              <w:t>i ir susipažinti su reikalaujamais dokumentais ir (ar) informacija</w:t>
            </w:r>
            <w:r w:rsidR="00232C8C">
              <w:rPr>
                <w:rFonts w:ascii="Times New Roman" w:eastAsia="Calibri" w:hAnsi="Times New Roman" w:cs="Times New Roman"/>
              </w:rPr>
              <w:t>.</w:t>
            </w:r>
          </w:p>
          <w:p w14:paraId="0107DEAB" w14:textId="40AD9CC3" w:rsidR="001F650A" w:rsidRPr="00232C8C" w:rsidRDefault="00232C8C" w:rsidP="00232C8C">
            <w:pPr>
              <w:tabs>
                <w:tab w:val="left" w:pos="51"/>
                <w:tab w:val="left" w:pos="476"/>
              </w:tabs>
              <w:jc w:val="both"/>
              <w:rPr>
                <w:rFonts w:ascii="Times New Roman" w:eastAsia="Calibri" w:hAnsi="Times New Roman" w:cs="Times New Roman"/>
              </w:rPr>
            </w:pPr>
            <w:r>
              <w:rPr>
                <w:rFonts w:ascii="Times New Roman" w:eastAsia="Calibri" w:hAnsi="Times New Roman" w:cs="Times New Roman"/>
              </w:rPr>
              <w:t>J</w:t>
            </w:r>
            <w:r w:rsidR="001F650A" w:rsidRPr="00232C8C">
              <w:rPr>
                <w:rFonts w:ascii="Times New Roman" w:eastAsia="Calibri" w:hAnsi="Times New Roman" w:cs="Times New Roman"/>
              </w:rPr>
              <w:t>eigu verstis atitinkama veikla yra privalomi leidimai, licencijos, atestatai ar kiti dokumentai – atitinkamų dokumentų – licencijų, leidimų, atestatų ar kitų pirkimo sutarčiai vykdyti privalomų dokumentų, kopijos</w:t>
            </w:r>
            <w:r>
              <w:rPr>
                <w:rFonts w:ascii="Times New Roman" w:eastAsia="Calibri" w:hAnsi="Times New Roman" w:cs="Times New Roman"/>
              </w:rPr>
              <w:t xml:space="preserve">. </w:t>
            </w:r>
          </w:p>
          <w:p w14:paraId="25F5FAA6" w14:textId="77777777" w:rsidR="001F650A" w:rsidRPr="00F55F1C" w:rsidRDefault="001F650A" w:rsidP="001F650A">
            <w:pPr>
              <w:pStyle w:val="Sraopastraipa"/>
              <w:tabs>
                <w:tab w:val="left" w:pos="314"/>
              </w:tabs>
              <w:ind w:left="31"/>
              <w:jc w:val="both"/>
              <w:rPr>
                <w:rFonts w:ascii="Times New Roman" w:eastAsia="Calibri" w:hAnsi="Times New Roman" w:cs="Times New Roman"/>
              </w:rPr>
            </w:pPr>
          </w:p>
          <w:p w14:paraId="3F1BE9F9" w14:textId="498A3BFB" w:rsidR="001F650A" w:rsidRPr="00DF4AB9" w:rsidRDefault="001F650A" w:rsidP="001F650A">
            <w:pPr>
              <w:suppressAutoHyphens/>
              <w:jc w:val="both"/>
              <w:rPr>
                <w:rFonts w:ascii="Times New Roman" w:eastAsia="Calibri" w:hAnsi="Times New Roman" w:cs="Times New Roman"/>
                <w:color w:val="auto"/>
                <w:sz w:val="22"/>
                <w:szCs w:val="22"/>
                <w:lang w:eastAsia="en-US" w:bidi="ar-SA"/>
              </w:rPr>
            </w:pPr>
          </w:p>
        </w:tc>
        <w:tc>
          <w:tcPr>
            <w:tcW w:w="1889" w:type="pct"/>
            <w:tcBorders>
              <w:top w:val="single" w:sz="4" w:space="0" w:color="000001"/>
              <w:left w:val="single" w:sz="4" w:space="0" w:color="000001"/>
              <w:bottom w:val="single" w:sz="4" w:space="0" w:color="auto"/>
              <w:right w:val="single" w:sz="4" w:space="0" w:color="000001"/>
            </w:tcBorders>
          </w:tcPr>
          <w:p w14:paraId="28248DE0" w14:textId="77777777" w:rsidR="001F650A" w:rsidRPr="00F55F1C" w:rsidRDefault="001F650A" w:rsidP="00E719E7">
            <w:pPr>
              <w:pStyle w:val="Sraopastraipa"/>
              <w:numPr>
                <w:ilvl w:val="0"/>
                <w:numId w:val="14"/>
              </w:numPr>
              <w:tabs>
                <w:tab w:val="left" w:pos="513"/>
              </w:tabs>
              <w:ind w:left="88" w:firstLine="0"/>
              <w:jc w:val="both"/>
              <w:rPr>
                <w:rFonts w:ascii="Times New Roman" w:eastAsia="Calibri" w:hAnsi="Times New Roman" w:cs="Times New Roman"/>
              </w:rPr>
            </w:pPr>
            <w:r w:rsidRPr="00F55F1C">
              <w:rPr>
                <w:rFonts w:ascii="Times New Roman" w:eastAsia="Calibri" w:hAnsi="Times New Roman" w:cs="Times New Roman"/>
              </w:rPr>
              <w:t>Jeigu pasiūlymą teikia ūkio subjektų grupė – reikalavimą turi atitikti kiekvienas ūkio subjektų grupės narys (-iai), pagal jų prisiimamus įsipareigojimus pirkimo sutarčiai vykdyti;</w:t>
            </w:r>
          </w:p>
          <w:p w14:paraId="62154404" w14:textId="77777777" w:rsidR="00E719E7" w:rsidRDefault="001F650A" w:rsidP="00E719E7">
            <w:pPr>
              <w:pStyle w:val="Sraopastraipa"/>
              <w:numPr>
                <w:ilvl w:val="0"/>
                <w:numId w:val="14"/>
              </w:numPr>
              <w:tabs>
                <w:tab w:val="left" w:pos="513"/>
              </w:tabs>
              <w:ind w:left="88" w:firstLine="0"/>
              <w:jc w:val="both"/>
              <w:rPr>
                <w:rFonts w:ascii="Times New Roman" w:eastAsia="Calibri" w:hAnsi="Times New Roman" w:cs="Times New Roman"/>
              </w:rPr>
            </w:pPr>
            <w:r w:rsidRPr="00F55F1C">
              <w:rPr>
                <w:rFonts w:ascii="Times New Roman" w:eastAsia="Calibri" w:hAnsi="Times New Roman" w:cs="Times New Roman"/>
              </w:rPr>
              <w:t>tiekėjas gali remtis kitų ūkio subjektų pajėgumais tik tuomet, kai tie subjektai, kurių pajėgumais buvo pasiremta, patys tieks prekes, teiks paslaugas ar atliks darbus, kuriems reikia jų pajėgumų;</w:t>
            </w:r>
          </w:p>
          <w:p w14:paraId="7A39B292" w14:textId="4D0C0B2B" w:rsidR="001F650A" w:rsidRPr="00E719E7" w:rsidRDefault="001F650A" w:rsidP="00E719E7">
            <w:pPr>
              <w:pStyle w:val="Sraopastraipa"/>
              <w:numPr>
                <w:ilvl w:val="0"/>
                <w:numId w:val="14"/>
              </w:numPr>
              <w:tabs>
                <w:tab w:val="left" w:pos="513"/>
              </w:tabs>
              <w:ind w:left="88" w:firstLine="0"/>
              <w:jc w:val="both"/>
              <w:rPr>
                <w:rFonts w:ascii="Times New Roman" w:eastAsia="Calibri" w:hAnsi="Times New Roman" w:cs="Times New Roman"/>
              </w:rPr>
            </w:pPr>
            <w:r w:rsidRPr="00E719E7">
              <w:rPr>
                <w:rFonts w:ascii="Times New Roman" w:eastAsia="Calibri" w:hAnsi="Times New Roman" w:cs="Times New Roman"/>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tc>
      </w:tr>
    </w:tbl>
    <w:p w14:paraId="393899BD" w14:textId="77777777" w:rsidR="004C6E25" w:rsidRPr="004C6E25" w:rsidRDefault="004C6E25" w:rsidP="004C6E25">
      <w:pPr>
        <w:pStyle w:val="Sraopastraipa"/>
        <w:rPr>
          <w:rFonts w:ascii="Times New Roman" w:eastAsia="Times New Roman" w:hAnsi="Times New Roman" w:cs="Times New Roman"/>
          <w:lang w:eastAsia="en-US" w:bidi="ar-SA"/>
        </w:rPr>
      </w:pPr>
    </w:p>
    <w:p w14:paraId="41885F72"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Pr="00534C40"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1A2B093D" w14:textId="3F757EB4" w:rsidR="00534C40" w:rsidRPr="00EA7770" w:rsidRDefault="00534C40" w:rsidP="00EA7770">
      <w:pPr>
        <w:pStyle w:val="Sraopastraipa"/>
        <w:widowControl/>
        <w:numPr>
          <w:ilvl w:val="1"/>
          <w:numId w:val="2"/>
        </w:numPr>
        <w:ind w:left="0" w:firstLine="567"/>
        <w:jc w:val="both"/>
        <w:rPr>
          <w:rFonts w:ascii="Times New Roman" w:hAnsi="Times New Roman" w:cs="Times New Roman"/>
        </w:rPr>
      </w:pPr>
      <w:r w:rsidRPr="00EA7770">
        <w:rPr>
          <w:rFonts w:ascii="Times New Roman" w:eastAsia="Arial" w:hAnsi="Times New Roman" w:cs="Times New Roman"/>
        </w:rPr>
        <w:lastRenderedPageBreak/>
        <w:t xml:space="preserve">Pirkimui taikomos </w:t>
      </w:r>
      <w:r w:rsidR="007E1A01" w:rsidRPr="007E1A01">
        <w:rPr>
          <w:rFonts w:ascii="Times New Roman" w:eastAsia="Arial" w:hAnsi="Times New Roman" w:cs="Times New Roman"/>
        </w:rPr>
        <w:t>Tarybos reglament</w:t>
      </w:r>
      <w:r w:rsidR="007E1A01">
        <w:rPr>
          <w:rFonts w:ascii="Times New Roman" w:eastAsia="Arial" w:hAnsi="Times New Roman" w:cs="Times New Roman"/>
        </w:rPr>
        <w:t>o</w:t>
      </w:r>
      <w:r w:rsidR="007E1A01" w:rsidRPr="007E1A01">
        <w:rPr>
          <w:rFonts w:ascii="Times New Roman" w:eastAsia="Arial" w:hAnsi="Times New Roman" w:cs="Times New Roman"/>
        </w:rPr>
        <w:t xml:space="preserve"> (ES) 2022/576 2022 m. balandžio 8 d. kuriuo iš dalies keičiamas Reglamentas (ES) Nr. 833/2014 dėl ribojamųjų priemonių atsižvelgiant į Rusijos veiksmus, kuriais destabilizuojama padėtis Ukrainoje</w:t>
      </w:r>
      <w:r w:rsidR="007E1A01">
        <w:rPr>
          <w:rFonts w:ascii="Times New Roman" w:eastAsia="Arial" w:hAnsi="Times New Roman" w:cs="Times New Roman"/>
        </w:rPr>
        <w:t xml:space="preserve"> (toliau – </w:t>
      </w:r>
      <w:r w:rsidRPr="007E1A01">
        <w:rPr>
          <w:rFonts w:ascii="Times New Roman" w:eastAsia="Arial" w:hAnsi="Times New Roman" w:cs="Times New Roman"/>
        </w:rPr>
        <w:t>Reglament</w:t>
      </w:r>
      <w:r w:rsidR="007E1A01">
        <w:rPr>
          <w:rFonts w:ascii="Times New Roman" w:eastAsia="Arial" w:hAnsi="Times New Roman" w:cs="Times New Roman"/>
        </w:rPr>
        <w:t xml:space="preserve">as) </w:t>
      </w:r>
      <w:r w:rsidRPr="00EA7770">
        <w:rPr>
          <w:rFonts w:ascii="Times New Roman" w:eastAsia="Arial" w:hAnsi="Times New Roman" w:cs="Times New Roman"/>
        </w:rPr>
        <w:t xml:space="preserve"> nuostatos. Kartu su Pa</w:t>
      </w:r>
      <w:r>
        <w:rPr>
          <w:rFonts w:ascii="Times New Roman" w:eastAsia="Arial" w:hAnsi="Times New Roman" w:cs="Times New Roman"/>
        </w:rPr>
        <w:t>siūlymu Tiekėjas</w:t>
      </w:r>
      <w:r w:rsidRPr="00EA7770">
        <w:rPr>
          <w:rFonts w:ascii="Times New Roman" w:eastAsia="Arial" w:hAnsi="Times New Roman" w:cs="Times New Roman"/>
        </w:rPr>
        <w:t xml:space="preserve"> turi pateikti užpildytą deklaraciją dėl (ne)atitikties Reglamento nuostatoms (pirkimo sąlygų </w:t>
      </w:r>
      <w:r w:rsidR="00624A66" w:rsidRPr="00D85EF1">
        <w:rPr>
          <w:rFonts w:ascii="Times New Roman" w:eastAsia="Arial" w:hAnsi="Times New Roman" w:cs="Times New Roman"/>
          <w:b/>
          <w:bCs/>
        </w:rPr>
        <w:t>6</w:t>
      </w:r>
      <w:r w:rsidRPr="00D85EF1">
        <w:rPr>
          <w:rFonts w:ascii="Times New Roman" w:eastAsia="Arial" w:hAnsi="Times New Roman" w:cs="Times New Roman"/>
          <w:b/>
          <w:bCs/>
        </w:rPr>
        <w:t xml:space="preserve"> priedas</w:t>
      </w:r>
      <w:r w:rsidRPr="00EA7770">
        <w:rPr>
          <w:rFonts w:ascii="Times New Roman" w:eastAsia="Arial" w:hAnsi="Times New Roman" w:cs="Times New Roman"/>
        </w:rPr>
        <w:t xml:space="preserve">). Kilus abejonių dėl tiekėjo (ne)atitikties Reglamento nuostatoms, </w:t>
      </w:r>
      <w:bookmarkStart w:id="15" w:name="_Hlk185229839"/>
      <w:r w:rsidRPr="00EA7770">
        <w:rPr>
          <w:rFonts w:ascii="Times New Roman" w:eastAsia="Arial" w:hAnsi="Times New Roman" w:cs="Times New Roman"/>
        </w:rPr>
        <w:t xml:space="preserve">Perkančioji organizacija </w:t>
      </w:r>
      <w:bookmarkEnd w:id="15"/>
      <w:r w:rsidRPr="00EA7770">
        <w:rPr>
          <w:rFonts w:ascii="Times New Roman" w:eastAsia="Arial" w:hAnsi="Times New Roman" w:cs="Times New Roman"/>
        </w:rPr>
        <w:t>iš galimo laimėtojo prašys pateikti dokumentus, įrodančius deklaracijoje pateiktų duomenų teisingumą.</w:t>
      </w:r>
    </w:p>
    <w:p w14:paraId="000E3B36" w14:textId="5390E5DF" w:rsidR="00534C40" w:rsidRPr="00EA7770" w:rsidRDefault="00534C40" w:rsidP="00EA7770">
      <w:pPr>
        <w:pStyle w:val="Sraopastraipa"/>
        <w:widowControl/>
        <w:numPr>
          <w:ilvl w:val="1"/>
          <w:numId w:val="2"/>
        </w:numPr>
        <w:ind w:left="0" w:firstLine="567"/>
        <w:jc w:val="both"/>
        <w:rPr>
          <w:rFonts w:ascii="Times New Roman" w:hAnsi="Times New Roman" w:cs="Times New Roman"/>
        </w:rPr>
      </w:pPr>
      <w:r w:rsidRPr="00EA7770">
        <w:rPr>
          <w:rFonts w:ascii="Times New Roman" w:hAnsi="Times New Roman" w:cs="Times New Roman"/>
        </w:rPr>
        <w:t>Perkančioji organizacija nusta</w:t>
      </w:r>
      <w:r w:rsidR="004C64F1">
        <w:rPr>
          <w:rFonts w:ascii="Times New Roman" w:hAnsi="Times New Roman" w:cs="Times New Roman"/>
        </w:rPr>
        <w:t>čiusi</w:t>
      </w:r>
      <w:r w:rsidRPr="00EA7770">
        <w:rPr>
          <w:rFonts w:ascii="Times New Roman" w:hAnsi="Times New Roman" w:cs="Times New Roman"/>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3D02361F" w14:textId="1E17E5FD" w:rsidR="00534C40" w:rsidRPr="00EA7770" w:rsidRDefault="00534C40" w:rsidP="00EA7770">
      <w:pPr>
        <w:pStyle w:val="Sraopastraipa"/>
        <w:widowControl/>
        <w:numPr>
          <w:ilvl w:val="1"/>
          <w:numId w:val="2"/>
        </w:numPr>
        <w:ind w:left="0" w:firstLine="567"/>
        <w:jc w:val="both"/>
        <w:rPr>
          <w:rFonts w:ascii="Times New Roman" w:eastAsia="Calibri" w:hAnsi="Times New Roman" w:cs="Times New Roman"/>
        </w:rPr>
      </w:pPr>
      <w:r w:rsidRPr="00EA7770">
        <w:rPr>
          <w:rFonts w:ascii="Times New Roman" w:eastAsia="Calibri" w:hAnsi="Times New Roman" w:cs="Times New Roman"/>
        </w:rPr>
        <w:t xml:space="preserve"> </w:t>
      </w:r>
      <w:r w:rsidRPr="00EA7770">
        <w:rPr>
          <w:rFonts w:ascii="Times New Roman" w:eastAsia="Arial" w:hAnsi="Times New Roman" w:cs="Times New Roman"/>
        </w:rPr>
        <w:t>Perkančioji organizacija atmes tiekėjo Pasiūlymą, jei bus tenkinama bent viena VPĮ 45 straipsnio 2</w:t>
      </w:r>
      <w:r w:rsidRPr="00EA7770">
        <w:rPr>
          <w:rFonts w:ascii="Times New Roman" w:eastAsia="Arial" w:hAnsi="Times New Roman" w:cs="Times New Roman"/>
          <w:vertAlign w:val="superscript"/>
        </w:rPr>
        <w:t xml:space="preserve">1 </w:t>
      </w:r>
      <w:r w:rsidRPr="00EA7770">
        <w:rPr>
          <w:rFonts w:ascii="Times New Roman" w:eastAsia="Arial" w:hAnsi="Times New Roman" w:cs="Times New Roman"/>
        </w:rPr>
        <w:t>dalies 1-3 punktuose nurodytų sąlygų. Tiekėjas kartu su Pasiūlymu turi pateikti užp</w:t>
      </w:r>
      <w:r w:rsidR="00EA7770" w:rsidRPr="00EA7770">
        <w:rPr>
          <w:rFonts w:ascii="Times New Roman" w:eastAsia="Arial" w:hAnsi="Times New Roman" w:cs="Times New Roman"/>
        </w:rPr>
        <w:t>i</w:t>
      </w:r>
      <w:r w:rsidRPr="00EA7770">
        <w:rPr>
          <w:rFonts w:ascii="Times New Roman" w:eastAsia="Arial" w:hAnsi="Times New Roman" w:cs="Times New Roman"/>
        </w:rPr>
        <w:t>ldyt</w:t>
      </w:r>
      <w:r w:rsidR="00EA7770" w:rsidRPr="00EA7770">
        <w:rPr>
          <w:rFonts w:ascii="Times New Roman" w:eastAsia="Arial" w:hAnsi="Times New Roman" w:cs="Times New Roman"/>
        </w:rPr>
        <w:t>ą</w:t>
      </w:r>
      <w:r w:rsidRPr="00EA7770">
        <w:rPr>
          <w:rFonts w:ascii="Times New Roman" w:eastAsia="Arial" w:hAnsi="Times New Roman" w:cs="Times New Roman"/>
        </w:rPr>
        <w:t xml:space="preserve"> deklaraciją (pirkimo sąlygų </w:t>
      </w:r>
      <w:r w:rsidR="00624A66" w:rsidRPr="00D85EF1">
        <w:rPr>
          <w:rFonts w:ascii="Times New Roman" w:eastAsia="Arial" w:hAnsi="Times New Roman" w:cs="Times New Roman"/>
          <w:b/>
          <w:bCs/>
        </w:rPr>
        <w:t>6</w:t>
      </w:r>
      <w:r w:rsidRPr="00D85EF1">
        <w:rPr>
          <w:rFonts w:ascii="Times New Roman" w:eastAsia="Arial" w:hAnsi="Times New Roman" w:cs="Times New Roman"/>
          <w:b/>
          <w:bCs/>
        </w:rPr>
        <w:t xml:space="preserve"> priedas</w:t>
      </w:r>
      <w:r w:rsidRPr="00EA7770">
        <w:rPr>
          <w:rFonts w:ascii="Times New Roman" w:eastAsia="Arial" w:hAnsi="Times New Roman" w:cs="Times New Roman"/>
        </w:rPr>
        <w:t>).</w:t>
      </w:r>
    </w:p>
    <w:p w14:paraId="35800EFE" w14:textId="242E8229" w:rsidR="00534C40" w:rsidRDefault="00534C40" w:rsidP="00534C40">
      <w:pPr>
        <w:pStyle w:val="Stilius2"/>
        <w:numPr>
          <w:ilvl w:val="1"/>
          <w:numId w:val="2"/>
        </w:numPr>
        <w:ind w:firstLine="454"/>
        <w:rPr>
          <w:sz w:val="24"/>
          <w:szCs w:val="24"/>
          <w:lang w:val="lt-LT"/>
        </w:rPr>
      </w:pPr>
      <w:r>
        <w:rPr>
          <w:sz w:val="24"/>
          <w:szCs w:val="24"/>
          <w:lang w:val="lt-LT"/>
        </w:rPr>
        <w:t>Perkančiajai organizacijai</w:t>
      </w:r>
      <w:r w:rsidRPr="00EA7770">
        <w:rPr>
          <w:sz w:val="24"/>
          <w:szCs w:val="24"/>
          <w:lang w:val="lt-LT"/>
        </w:rPr>
        <w:t xml:space="preserve"> kilus abejonių dėl deklaracijoje nurodytos informacijos teisingumo, ji prašys ekonomiškai naudingiausią pasiūlymą pateikusio tiekėjo pateikti šioje deklaracijoje nurodytą informaciją patvirtinančius, VPĮ 51 straipsnio 12 dalyje nurodytus ar kitus </w:t>
      </w:r>
      <w:r w:rsidRPr="00534C40">
        <w:rPr>
          <w:sz w:val="24"/>
          <w:szCs w:val="24"/>
          <w:lang w:val="lt-LT"/>
        </w:rPr>
        <w:t xml:space="preserve">Perkančioji organizacija </w:t>
      </w:r>
      <w:r w:rsidRPr="00EA7770">
        <w:rPr>
          <w:sz w:val="24"/>
          <w:szCs w:val="24"/>
          <w:lang w:val="lt-LT"/>
        </w:rPr>
        <w:t xml:space="preserve">priimtinus, dokumentus. Tokių dokumentų </w:t>
      </w:r>
      <w:r w:rsidRPr="00534C40">
        <w:rPr>
          <w:sz w:val="24"/>
          <w:szCs w:val="24"/>
          <w:lang w:val="lt-LT"/>
        </w:rPr>
        <w:t xml:space="preserve">Perkančioji organizacija </w:t>
      </w:r>
      <w:r w:rsidRPr="00EA7770">
        <w:rPr>
          <w:sz w:val="24"/>
          <w:szCs w:val="24"/>
          <w:lang w:val="lt-LT"/>
        </w:rPr>
        <w:t>gali prašyti bet kuriuo pirkimo procedūros metu siekdamas užtikrinti tinkamą Pirkimo procedūros atlikimą</w:t>
      </w:r>
      <w:r>
        <w:rPr>
          <w:sz w:val="24"/>
          <w:szCs w:val="24"/>
          <w:lang w:val="lt-LT"/>
        </w:rPr>
        <w:t>.</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6"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6"/>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lastRenderedPageBreak/>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7"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7"/>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8" w:name="bookmark25"/>
      <w:r w:rsidRPr="00F55F1C">
        <w:rPr>
          <w:rStyle w:val="Heading1"/>
          <w:b/>
          <w:bCs/>
          <w:sz w:val="24"/>
          <w:szCs w:val="24"/>
        </w:rPr>
        <w:t>TIEKĖJŲ GRUPĖS DALYVAVIMAS PIRKIMO PROCEDŪROSE</w:t>
      </w:r>
      <w:bookmarkEnd w:id="18"/>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9"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9"/>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20"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20"/>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2"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3"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Pasiūlymai turi būti rengiami lietuvių kalba. Jei atitinkami dokumentai yra išduoti kita </w:t>
      </w:r>
      <w:r w:rsidRPr="00F55F1C">
        <w:rPr>
          <w:rStyle w:val="PagrindinistekstasDiagrama"/>
          <w:sz w:val="24"/>
          <w:szCs w:val="24"/>
        </w:rPr>
        <w:lastRenderedPageBreak/>
        <w:t>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1"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1"/>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2" w:name="bookmark32"/>
      <w:r w:rsidRPr="00F55F1C">
        <w:rPr>
          <w:rStyle w:val="Heading1"/>
          <w:sz w:val="24"/>
          <w:szCs w:val="24"/>
        </w:rPr>
        <w:t>Reikalavimai dokumentams, pagrindžiantiems reikalavimus tiekėjams</w:t>
      </w:r>
      <w:bookmarkEnd w:id="22"/>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4"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w:t>
      </w:r>
      <w:r w:rsidRPr="00F55F1C">
        <w:rPr>
          <w:rStyle w:val="PagrindinistekstasDiagrama"/>
          <w:sz w:val="24"/>
          <w:szCs w:val="24"/>
          <w:lang w:eastAsia="en-US" w:bidi="en-US"/>
        </w:rPr>
        <w:lastRenderedPageBreak/>
        <w:t xml:space="preserve">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 xml:space="preserve">(Apostille)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(Apostille).</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3"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3"/>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4"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4"/>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6769594C"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 xml:space="preserve">parašu) pasiūlymą,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5D4035CA" w14:textId="1CA66D6D" w:rsidR="001C027E" w:rsidRPr="00F55F1C" w:rsidRDefault="001C027E" w:rsidP="0065367A">
      <w:pPr>
        <w:pStyle w:val="Pagrindinistekstas"/>
        <w:numPr>
          <w:ilvl w:val="2"/>
          <w:numId w:val="2"/>
        </w:numPr>
        <w:tabs>
          <w:tab w:val="left" w:pos="1276"/>
        </w:tabs>
        <w:ind w:firstLine="580"/>
        <w:jc w:val="both"/>
        <w:rPr>
          <w:sz w:val="24"/>
          <w:szCs w:val="24"/>
        </w:rPr>
      </w:pPr>
      <w:r>
        <w:rPr>
          <w:sz w:val="24"/>
          <w:szCs w:val="24"/>
        </w:rPr>
        <w:t>D</w:t>
      </w:r>
      <w:r w:rsidRPr="001C027E">
        <w:rPr>
          <w:sz w:val="24"/>
          <w:szCs w:val="24"/>
        </w:rPr>
        <w:t xml:space="preserve">eklaracija dėl atitikties </w:t>
      </w:r>
      <w:r w:rsidR="004558EF">
        <w:rPr>
          <w:sz w:val="24"/>
          <w:szCs w:val="24"/>
        </w:rPr>
        <w:t>nacionalinio saugumo reikalavimams</w:t>
      </w:r>
      <w:r>
        <w:rPr>
          <w:sz w:val="24"/>
          <w:szCs w:val="24"/>
        </w:rPr>
        <w:t xml:space="preserve"> (pirkimo sąlygų </w:t>
      </w:r>
      <w:r w:rsidRPr="001C027E">
        <w:rPr>
          <w:b/>
          <w:bCs/>
          <w:sz w:val="24"/>
          <w:szCs w:val="24"/>
        </w:rPr>
        <w:t>6 priedas</w:t>
      </w:r>
      <w:r>
        <w:rPr>
          <w:sz w:val="24"/>
          <w:szCs w:val="24"/>
        </w:rPr>
        <w:t>);</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5" w:name="bookmark38"/>
      <w:bookmarkStart w:id="26" w:name="bookmark37"/>
      <w:r w:rsidRPr="00F55F1C">
        <w:rPr>
          <w:rStyle w:val="Heading1"/>
          <w:b/>
          <w:bCs/>
          <w:sz w:val="24"/>
          <w:szCs w:val="24"/>
        </w:rPr>
        <w:t>PASIŪLYMŲ GALIOJIMAS IR PASIŪLYMŲ GALIOJIMO UŽTIKRINIMO REIKALAVIMAI</w:t>
      </w:r>
      <w:bookmarkEnd w:id="25"/>
      <w:bookmarkEnd w:id="26"/>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7"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7"/>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8" w:name="bookmark41"/>
      <w:r w:rsidRPr="00F55F1C">
        <w:rPr>
          <w:rStyle w:val="Heading1"/>
          <w:b/>
          <w:bCs/>
          <w:sz w:val="24"/>
          <w:szCs w:val="24"/>
        </w:rPr>
        <w:t>PASIŪLYMŲ ŠIFRAVIMAS</w:t>
      </w:r>
      <w:bookmarkEnd w:id="28"/>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lastRenderedPageBreak/>
        <w:t>pasiūlymo kaina). Instrukcija, kaip tiekėjui užšifruoti pasiūlymą galima rasti paspaudus šią</w:t>
      </w:r>
      <w:hyperlink r:id="rId25"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9"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9"/>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30"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30"/>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1"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1"/>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lastRenderedPageBreak/>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2" w:name="bookmark48"/>
      <w:r w:rsidRPr="00F55F1C">
        <w:rPr>
          <w:rStyle w:val="Heading1"/>
          <w:b/>
          <w:bCs/>
          <w:sz w:val="24"/>
          <w:szCs w:val="24"/>
        </w:rPr>
        <w:t>PASIŪLYMŲ NAGRINĖJIMAS IR PALYGINIMAS</w:t>
      </w:r>
      <w:bookmarkEnd w:id="32"/>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6"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lastRenderedPageBreak/>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3"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3"/>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4"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4"/>
    </w:p>
    <w:p w14:paraId="731CC4BF" w14:textId="6CA7E4F4" w:rsidR="00CD38D3" w:rsidRDefault="00CD38D3" w:rsidP="00642342">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00E719E7" w:rsidRPr="00BD19C4">
        <w:rPr>
          <w:rStyle w:val="PagrindinistekstasDiagrama"/>
          <w:b/>
          <w:bCs/>
          <w:sz w:val="24"/>
          <w:szCs w:val="24"/>
        </w:rPr>
        <w:t xml:space="preserve">kainos ir kokybės santykį, </w:t>
      </w:r>
      <w:r w:rsidR="00E719E7" w:rsidRPr="00BD19C4">
        <w:rPr>
          <w:rFonts w:eastAsia="Calibri"/>
          <w:sz w:val="24"/>
          <w:szCs w:val="24"/>
        </w:rPr>
        <w:t>tačiau tiekėjai konkuruoja ir ekonomiškai naudingiausias pasiūlymas išrenkamas tik kokybės kriterijaus pagrindu</w:t>
      </w:r>
      <w:r w:rsidR="00E719E7" w:rsidRPr="004924F4">
        <w:rPr>
          <w:rFonts w:eastAsia="Calibri"/>
        </w:rPr>
        <w:t>.</w:t>
      </w:r>
      <w:r w:rsidR="00E719E7" w:rsidRPr="00CD32CD">
        <w:t xml:space="preserve"> </w:t>
      </w:r>
      <w:r w:rsidR="00E719E7" w:rsidRPr="00CD32CD">
        <w:rPr>
          <w:rStyle w:val="PagrindinistekstasDiagrama"/>
          <w:sz w:val="24"/>
          <w:szCs w:val="24"/>
        </w:rPr>
        <w:t>Ekonomiškai naudingiausias pasiūlymas bus laikomas tas pasiūlymas, kurio kokybės kriterijus (</w:t>
      </w:r>
      <w:r w:rsidR="00642342">
        <w:rPr>
          <w:rStyle w:val="PagrindinistekstasDiagrama"/>
          <w:sz w:val="24"/>
          <w:szCs w:val="24"/>
        </w:rPr>
        <w:t>visų tiekėjo siūlomų sveikatos programų nauda</w:t>
      </w:r>
      <w:r w:rsidR="007704A1">
        <w:rPr>
          <w:rStyle w:val="PagrindinistekstasDiagrama"/>
          <w:sz w:val="24"/>
          <w:szCs w:val="24"/>
        </w:rPr>
        <w:t xml:space="preserve"> darbuotojui</w:t>
      </w:r>
      <w:r w:rsidR="00642342">
        <w:rPr>
          <w:rStyle w:val="PagrindinistekstasDiagrama"/>
          <w:sz w:val="24"/>
          <w:szCs w:val="24"/>
        </w:rPr>
        <w:t xml:space="preserve"> - P</w:t>
      </w:r>
      <w:r w:rsidR="00E719E7" w:rsidRPr="00CD32CD">
        <w:rPr>
          <w:rStyle w:val="PagrindinistekstasDiagrama"/>
          <w:sz w:val="24"/>
          <w:szCs w:val="24"/>
        </w:rPr>
        <w:t>) turės didžiausią P dydį.</w:t>
      </w:r>
      <w:r w:rsidR="00043E7F">
        <w:rPr>
          <w:rStyle w:val="PagrindinistekstasDiagrama"/>
          <w:sz w:val="24"/>
          <w:szCs w:val="24"/>
        </w:rPr>
        <w:t xml:space="preserve"> </w:t>
      </w:r>
      <w:r w:rsidR="00043E7F" w:rsidRPr="00043E7F">
        <w:rPr>
          <w:rStyle w:val="PagrindinistekstasDiagrama"/>
          <w:sz w:val="24"/>
          <w:szCs w:val="24"/>
        </w:rPr>
        <w:t>Tiekėjo I</w:t>
      </w:r>
      <w:r w:rsidR="00874D4B">
        <w:rPr>
          <w:rStyle w:val="PagrindinistekstasDiagrama"/>
          <w:sz w:val="24"/>
          <w:szCs w:val="24"/>
        </w:rPr>
        <w:t xml:space="preserve">, </w:t>
      </w:r>
      <w:r w:rsidR="00043E7F" w:rsidRPr="00043E7F">
        <w:rPr>
          <w:rStyle w:val="PagrindinistekstasDiagrama"/>
          <w:sz w:val="24"/>
          <w:szCs w:val="24"/>
        </w:rPr>
        <w:t>II</w:t>
      </w:r>
      <w:r w:rsidR="00874D4B">
        <w:rPr>
          <w:rStyle w:val="PagrindinistekstasDiagrama"/>
          <w:sz w:val="24"/>
          <w:szCs w:val="24"/>
        </w:rPr>
        <w:t xml:space="preserve"> ir III</w:t>
      </w:r>
      <w:r w:rsidR="00043E7F" w:rsidRPr="00043E7F">
        <w:rPr>
          <w:rStyle w:val="PagrindinistekstasDiagrama"/>
          <w:sz w:val="24"/>
          <w:szCs w:val="24"/>
        </w:rPr>
        <w:t xml:space="preserve"> varianto siūloma sveikatos programų nauda darbuotojui turi turėti vienoda išraišką eurais</w:t>
      </w:r>
      <w:r w:rsidR="00043E7F">
        <w:rPr>
          <w:rStyle w:val="PagrindinistekstasDiagrama"/>
          <w:sz w:val="24"/>
          <w:szCs w:val="24"/>
        </w:rPr>
        <w:t xml:space="preserve">,  t. y. </w:t>
      </w:r>
      <w:r w:rsidR="00043E7F" w:rsidRPr="00043E7F">
        <w:rPr>
          <w:rStyle w:val="PagrindinistekstasDiagrama"/>
          <w:b/>
          <w:bCs/>
          <w:sz w:val="24"/>
          <w:szCs w:val="24"/>
        </w:rPr>
        <w:t>P=P</w:t>
      </w:r>
      <w:r w:rsidR="00043E7F" w:rsidRPr="00043E7F">
        <w:rPr>
          <w:rStyle w:val="PagrindinistekstasDiagrama"/>
          <w:b/>
          <w:bCs/>
          <w:sz w:val="24"/>
          <w:szCs w:val="24"/>
          <w:vertAlign w:val="subscript"/>
        </w:rPr>
        <w:t>1</w:t>
      </w:r>
      <w:r w:rsidR="00043E7F" w:rsidRPr="00043E7F">
        <w:rPr>
          <w:rStyle w:val="PagrindinistekstasDiagrama"/>
          <w:b/>
          <w:bCs/>
          <w:sz w:val="24"/>
          <w:szCs w:val="24"/>
        </w:rPr>
        <w:t>=P</w:t>
      </w:r>
      <w:r w:rsidR="00043E7F" w:rsidRPr="00043E7F">
        <w:rPr>
          <w:rStyle w:val="PagrindinistekstasDiagrama"/>
          <w:b/>
          <w:bCs/>
          <w:sz w:val="24"/>
          <w:szCs w:val="24"/>
          <w:vertAlign w:val="subscript"/>
        </w:rPr>
        <w:t>2</w:t>
      </w:r>
      <w:r w:rsidR="004E2DF4">
        <w:rPr>
          <w:rStyle w:val="PagrindinistekstasDiagrama"/>
          <w:b/>
          <w:bCs/>
          <w:sz w:val="24"/>
          <w:szCs w:val="24"/>
        </w:rPr>
        <w:t>=P</w:t>
      </w:r>
      <w:r w:rsidR="004E2DF4">
        <w:rPr>
          <w:rStyle w:val="PagrindinistekstasDiagrama"/>
          <w:b/>
          <w:bCs/>
          <w:sz w:val="24"/>
          <w:szCs w:val="24"/>
          <w:vertAlign w:val="subscript"/>
        </w:rPr>
        <w:t>3</w:t>
      </w:r>
      <w:r w:rsidR="00043E7F" w:rsidRPr="00043E7F">
        <w:rPr>
          <w:rStyle w:val="PagrindinistekstasDiagrama"/>
          <w:sz w:val="24"/>
          <w:szCs w:val="24"/>
        </w:rPr>
        <w:t xml:space="preserve">, o </w:t>
      </w:r>
      <w:r w:rsidR="00642342" w:rsidRPr="00043E7F">
        <w:rPr>
          <w:rStyle w:val="PagrindinistekstasDiagrama"/>
          <w:sz w:val="24"/>
          <w:szCs w:val="24"/>
        </w:rPr>
        <w:t xml:space="preserve">P dydis apskaičiuojamas sekančiai: </w:t>
      </w:r>
      <w:r w:rsidR="00043E7F" w:rsidRPr="00043E7F">
        <w:rPr>
          <w:rStyle w:val="PagrindinistekstasDiagrama"/>
          <w:b/>
          <w:bCs/>
          <w:sz w:val="24"/>
          <w:szCs w:val="24"/>
        </w:rPr>
        <w:t>P=</w:t>
      </w:r>
      <w:r w:rsidR="00642342" w:rsidRPr="00043E7F">
        <w:rPr>
          <w:rStyle w:val="PagrindinistekstasDiagrama"/>
          <w:b/>
          <w:bCs/>
          <w:sz w:val="24"/>
          <w:szCs w:val="24"/>
        </w:rPr>
        <w:t>∑(X * Y proc.)</w:t>
      </w:r>
      <w:r w:rsidR="00874D4B">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5"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5"/>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6"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6"/>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w:t>
      </w:r>
      <w:r w:rsidRPr="00227040">
        <w:rPr>
          <w:sz w:val="24"/>
          <w:szCs w:val="24"/>
        </w:rPr>
        <w:lastRenderedPageBreak/>
        <w:t>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7"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7"/>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2BE98CD7" w14:textId="612AE8F2" w:rsidR="00872255" w:rsidRPr="00872255" w:rsidRDefault="00872255" w:rsidP="00872255">
      <w:pPr>
        <w:pStyle w:val="Pagrindinistekstas"/>
        <w:numPr>
          <w:ilvl w:val="2"/>
          <w:numId w:val="2"/>
        </w:numPr>
        <w:tabs>
          <w:tab w:val="left" w:pos="1276"/>
        </w:tabs>
        <w:ind w:firstLine="567"/>
        <w:jc w:val="both"/>
        <w:rPr>
          <w:rStyle w:val="PagrindinistekstasDiagrama"/>
          <w:color w:val="auto"/>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p>
    <w:p w14:paraId="39CCEE2C" w14:textId="256B3DFF" w:rsidR="00872255" w:rsidRPr="00872255" w:rsidRDefault="00872255" w:rsidP="00872255">
      <w:pPr>
        <w:pStyle w:val="Pagrindinistekstas"/>
        <w:numPr>
          <w:ilvl w:val="2"/>
          <w:numId w:val="2"/>
        </w:numPr>
        <w:tabs>
          <w:tab w:val="left" w:pos="1276"/>
        </w:tabs>
        <w:ind w:firstLine="567"/>
        <w:jc w:val="both"/>
        <w:rPr>
          <w:rStyle w:val="PagrindinistekstasDiagrama"/>
          <w:color w:val="auto"/>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p>
    <w:p w14:paraId="0109D419" w14:textId="2B65577D" w:rsidR="00872255" w:rsidRDefault="00872255" w:rsidP="00872255">
      <w:pPr>
        <w:pStyle w:val="Pagrindinistekstas"/>
        <w:numPr>
          <w:ilvl w:val="2"/>
          <w:numId w:val="2"/>
        </w:numPr>
        <w:tabs>
          <w:tab w:val="left" w:pos="1276"/>
        </w:tabs>
        <w:ind w:firstLine="580"/>
        <w:jc w:val="both"/>
        <w:rPr>
          <w:rStyle w:val="PagrindinistekstasDiagrama"/>
          <w:color w:val="auto"/>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21100746" w14:textId="77777777" w:rsidR="0009473A" w:rsidRDefault="00D20A00" w:rsidP="0009473A">
      <w:pPr>
        <w:pStyle w:val="Pagrindinistekstas"/>
        <w:numPr>
          <w:ilvl w:val="2"/>
          <w:numId w:val="2"/>
        </w:numPr>
        <w:tabs>
          <w:tab w:val="left" w:pos="1297"/>
        </w:tabs>
        <w:ind w:firstLine="580"/>
        <w:jc w:val="both"/>
        <w:rPr>
          <w:rStyle w:val="PagrindinistekstasDiagrama"/>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65C3D446" w14:textId="12E053CA" w:rsidR="0009473A" w:rsidRPr="00F118D4" w:rsidRDefault="0009473A" w:rsidP="0009473A">
      <w:pPr>
        <w:pStyle w:val="Pagrindinistekstas"/>
        <w:numPr>
          <w:ilvl w:val="2"/>
          <w:numId w:val="2"/>
        </w:numPr>
        <w:tabs>
          <w:tab w:val="left" w:pos="1302"/>
        </w:tabs>
        <w:ind w:firstLine="580"/>
        <w:jc w:val="both"/>
        <w:rPr>
          <w:sz w:val="28"/>
          <w:szCs w:val="28"/>
        </w:rPr>
      </w:pPr>
      <w:r w:rsidRPr="00F118D4">
        <w:rPr>
          <w:sz w:val="24"/>
          <w:szCs w:val="24"/>
        </w:rPr>
        <w:t xml:space="preserve">tiekėjas pasiūlė per didelius, viršijančius 7 priede nurodytus maksimalius galimus įkainius. </w:t>
      </w:r>
    </w:p>
    <w:p w14:paraId="3B3A7827" w14:textId="3845B880" w:rsidR="00E22439" w:rsidRPr="0009473A" w:rsidRDefault="00D20A00" w:rsidP="0009473A">
      <w:pPr>
        <w:pStyle w:val="Pagrindinistekstas"/>
        <w:numPr>
          <w:ilvl w:val="2"/>
          <w:numId w:val="2"/>
        </w:numPr>
        <w:tabs>
          <w:tab w:val="left" w:pos="1302"/>
        </w:tabs>
        <w:ind w:firstLine="580"/>
        <w:jc w:val="both"/>
        <w:rPr>
          <w:sz w:val="24"/>
          <w:szCs w:val="24"/>
        </w:rPr>
      </w:pPr>
      <w:r w:rsidRPr="0009473A">
        <w:rPr>
          <w:rStyle w:val="PagrindinistekstasDiagrama"/>
          <w:sz w:val="24"/>
          <w:szCs w:val="24"/>
          <w:lang w:eastAsia="en-US" w:bidi="en-US"/>
        </w:rPr>
        <w:t xml:space="preserve">pateiktame </w:t>
      </w:r>
      <w:r w:rsidRPr="0009473A">
        <w:rPr>
          <w:rStyle w:val="PagrindinistekstasDiagrama"/>
          <w:sz w:val="24"/>
          <w:szCs w:val="24"/>
        </w:rPr>
        <w:t xml:space="preserve">pasiūlyme </w:t>
      </w:r>
      <w:r w:rsidRPr="0009473A">
        <w:rPr>
          <w:rStyle w:val="PagrindinistekstasDiagrama"/>
          <w:sz w:val="24"/>
          <w:szCs w:val="24"/>
          <w:lang w:eastAsia="en-US" w:bidi="en-US"/>
        </w:rPr>
        <w:t xml:space="preserve">nurodyta kaina yra </w:t>
      </w:r>
      <w:r w:rsidRPr="0009473A">
        <w:rPr>
          <w:rStyle w:val="PagrindinistekstasDiagrama"/>
          <w:sz w:val="24"/>
          <w:szCs w:val="24"/>
        </w:rPr>
        <w:t xml:space="preserve">neįprastai maža </w:t>
      </w:r>
      <w:r w:rsidRPr="0009473A">
        <w:rPr>
          <w:rStyle w:val="PagrindinistekstasDiagrama"/>
          <w:sz w:val="24"/>
          <w:szCs w:val="24"/>
          <w:lang w:eastAsia="en-US" w:bidi="en-US"/>
        </w:rPr>
        <w:t xml:space="preserve">ir dalyvis, </w:t>
      </w:r>
      <w:r w:rsidRPr="0009473A">
        <w:rPr>
          <w:rStyle w:val="PagrindinistekstasDiagrama"/>
          <w:sz w:val="24"/>
          <w:szCs w:val="24"/>
        </w:rPr>
        <w:t xml:space="preserve">Perkančiosios </w:t>
      </w:r>
      <w:r w:rsidRPr="0009473A">
        <w:rPr>
          <w:rStyle w:val="PagrindinistekstasDiagrama"/>
          <w:sz w:val="24"/>
          <w:szCs w:val="24"/>
          <w:lang w:eastAsia="en-US" w:bidi="en-US"/>
        </w:rPr>
        <w:t xml:space="preserve">organizacijos </w:t>
      </w:r>
      <w:r w:rsidRPr="0009473A">
        <w:rPr>
          <w:rStyle w:val="PagrindinistekstasDiagrama"/>
          <w:sz w:val="24"/>
          <w:szCs w:val="24"/>
        </w:rPr>
        <w:t xml:space="preserve">prašymu, </w:t>
      </w:r>
      <w:r w:rsidRPr="0009473A">
        <w:rPr>
          <w:rStyle w:val="PagrindinistekstasDiagrama"/>
          <w:sz w:val="24"/>
          <w:szCs w:val="24"/>
          <w:lang w:eastAsia="en-US" w:bidi="en-US"/>
        </w:rPr>
        <w:t xml:space="preserve">per </w:t>
      </w:r>
      <w:r w:rsidRPr="0009473A">
        <w:rPr>
          <w:rStyle w:val="PagrindinistekstasDiagrama"/>
          <w:sz w:val="24"/>
          <w:szCs w:val="24"/>
        </w:rPr>
        <w:t xml:space="preserve">nurodytą terminą </w:t>
      </w:r>
      <w:r w:rsidRPr="0009473A">
        <w:rPr>
          <w:rStyle w:val="PagrindinistekstasDiagrama"/>
          <w:sz w:val="24"/>
          <w:szCs w:val="24"/>
          <w:lang w:eastAsia="en-US" w:bidi="en-US"/>
        </w:rPr>
        <w:t xml:space="preserve">nepateikia </w:t>
      </w:r>
      <w:r w:rsidRPr="0009473A">
        <w:rPr>
          <w:rStyle w:val="PagrindinistekstasDiagrama"/>
          <w:sz w:val="24"/>
          <w:szCs w:val="24"/>
        </w:rPr>
        <w:t xml:space="preserve">tinkamų </w:t>
      </w:r>
      <w:r w:rsidRPr="0009473A">
        <w:rPr>
          <w:rStyle w:val="PagrindinistekstasDiagrama"/>
          <w:sz w:val="24"/>
          <w:szCs w:val="24"/>
          <w:lang w:eastAsia="en-US" w:bidi="en-US"/>
        </w:rPr>
        <w:t xml:space="preserve">kainos </w:t>
      </w:r>
      <w:r w:rsidRPr="0009473A">
        <w:rPr>
          <w:rStyle w:val="PagrindinistekstasDiagrama"/>
          <w:sz w:val="24"/>
          <w:szCs w:val="24"/>
        </w:rPr>
        <w:t xml:space="preserve">pagrįstumo įrodymų </w:t>
      </w:r>
      <w:r w:rsidRPr="0009473A">
        <w:rPr>
          <w:rStyle w:val="PagrindinistekstasDiagrama"/>
          <w:sz w:val="24"/>
          <w:szCs w:val="24"/>
          <w:lang w:eastAsia="en-US" w:bidi="en-US"/>
        </w:rPr>
        <w:t xml:space="preserve">arba kitaip </w:t>
      </w:r>
      <w:r w:rsidRPr="0009473A">
        <w:rPr>
          <w:rStyle w:val="PagrindinistekstasDiagrama"/>
          <w:sz w:val="24"/>
          <w:szCs w:val="24"/>
        </w:rPr>
        <w:t xml:space="preserve">nepagrindžia neįprastai mažos </w:t>
      </w:r>
      <w:r w:rsidRPr="0009473A">
        <w:rPr>
          <w:rStyle w:val="PagrindinistekstasDiagrama"/>
          <w:sz w:val="24"/>
          <w:szCs w:val="24"/>
          <w:lang w:eastAsia="en-US" w:bidi="en-US"/>
        </w:rPr>
        <w:t>kainos;</w:t>
      </w:r>
    </w:p>
    <w:p w14:paraId="4D204F40" w14:textId="77777777" w:rsidR="00E22439" w:rsidRPr="00F55F1C" w:rsidRDefault="00D20A00" w:rsidP="0009473A">
      <w:pPr>
        <w:pStyle w:val="Pagrindinistekstas"/>
        <w:numPr>
          <w:ilvl w:val="2"/>
          <w:numId w:val="2"/>
        </w:numPr>
        <w:tabs>
          <w:tab w:val="left" w:pos="1297"/>
          <w:tab w:val="left" w:pos="1560"/>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09473A">
      <w:pPr>
        <w:pStyle w:val="Pagrindinistekstas"/>
        <w:numPr>
          <w:ilvl w:val="2"/>
          <w:numId w:val="2"/>
        </w:numPr>
        <w:tabs>
          <w:tab w:val="left" w:pos="1297"/>
          <w:tab w:val="left" w:pos="1560"/>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8"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8"/>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9" w:name="bookmark59"/>
      <w:r w:rsidRPr="00F55F1C">
        <w:rPr>
          <w:rStyle w:val="Heading1"/>
          <w:b/>
          <w:bCs/>
          <w:sz w:val="24"/>
          <w:szCs w:val="24"/>
          <w:lang w:eastAsia="en-US" w:bidi="en-US"/>
        </w:rPr>
        <w:lastRenderedPageBreak/>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9"/>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40"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40"/>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1"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1"/>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2"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w:t>
      </w:r>
      <w:r w:rsidRPr="00F55F1C">
        <w:rPr>
          <w:rStyle w:val="PagrindinistekstasDiagrama"/>
          <w:sz w:val="24"/>
          <w:szCs w:val="24"/>
          <w:lang w:eastAsia="en-US" w:bidi="en-US"/>
        </w:rPr>
        <w:lastRenderedPageBreak/>
        <w:t xml:space="preserve">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2"/>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3"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3"/>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4"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4"/>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5" w:name="bookmark68"/>
      <w:r w:rsidRPr="00F55F1C">
        <w:rPr>
          <w:rStyle w:val="Heading1"/>
          <w:b/>
          <w:bCs/>
          <w:sz w:val="24"/>
          <w:szCs w:val="24"/>
        </w:rPr>
        <w:t>BAIGIAMOSIOS NUOSTATOS</w:t>
      </w:r>
      <w:bookmarkEnd w:id="45"/>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6" w:name="_1_priedas"/>
      <w:bookmarkStart w:id="47" w:name="_2_priedas"/>
      <w:bookmarkStart w:id="48" w:name="_4_priedas"/>
      <w:bookmarkStart w:id="49" w:name="_SUTARTIES_ĮVYKDYMO_užtikrinimo"/>
      <w:bookmarkEnd w:id="46"/>
      <w:bookmarkEnd w:id="47"/>
      <w:bookmarkEnd w:id="48"/>
      <w:bookmarkEnd w:id="49"/>
    </w:p>
    <w:p w14:paraId="6A3E159D" w14:textId="566CB5FC" w:rsidR="00400052" w:rsidRPr="00400052" w:rsidRDefault="00400052"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w:t>
      </w:r>
      <w:r w:rsidRPr="00400052">
        <w:rPr>
          <w:sz w:val="24"/>
          <w:szCs w:val="24"/>
        </w:rPr>
        <w:lastRenderedPageBreak/>
        <w:t xml:space="preserve">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7" w:history="1">
        <w:r w:rsidRPr="00400052">
          <w:rPr>
            <w:rStyle w:val="Hipersaitas"/>
            <w:sz w:val="24"/>
            <w:szCs w:val="24"/>
          </w:rPr>
          <w:t>https://turtas.lt/asmens-duomenu-apsauga/</w:t>
        </w:r>
      </w:hyperlink>
      <w:r w:rsidRPr="00400052">
        <w:rPr>
          <w:sz w:val="24"/>
          <w:szCs w:val="24"/>
        </w:rPr>
        <w:t>. Informaciją apie asmens duomenų tvarkymą galima rasti dokumente „Valstybės įmonės Turto banko asmens duomenų tvarkymo taisyklės“ (</w:t>
      </w:r>
      <w:hyperlink r:id="rId28" w:history="1">
        <w:r w:rsidR="00434696" w:rsidRPr="001B7EEB">
          <w:rPr>
            <w:rStyle w:val="Hipersaitas"/>
            <w:lang w:bidi="lt-LT"/>
          </w:rPr>
          <w:t>https://turtas.lt/wp-content/uploads/2023/11/valstybes-imones-t</w:t>
        </w:r>
        <w:r w:rsidR="00434696" w:rsidRPr="001B7EEB">
          <w:rPr>
            <w:rStyle w:val="Hipersaitas"/>
            <w:lang w:bidi="lt-LT"/>
          </w:rPr>
          <w:t>u</w:t>
        </w:r>
        <w:r w:rsidR="00434696" w:rsidRPr="001B7EEB">
          <w:rPr>
            <w:rStyle w:val="Hipersaitas"/>
            <w:lang w:bidi="lt-LT"/>
          </w:rPr>
          <w:t>rto-banko-asmens-duomenu-tvarkymo-taisykles-1.pdf</w:t>
        </w:r>
      </w:hyperlink>
      <w:r w:rsidRPr="00400052">
        <w:rPr>
          <w:sz w:val="24"/>
          <w:szCs w:val="24"/>
        </w:rPr>
        <w:t>), o su turimomis teisėmis ir jų įgyvendinimo tvarka galima susipažinti dokumente „Duomenų subjektų teisių įgyvendinimo Valstybės įmonėje Turto banke tvarkos aprašas“ (</w:t>
      </w:r>
      <w:hyperlink r:id="rId29" w:history="1"/>
      <w:hyperlink r:id="rId30" w:history="1">
        <w:r w:rsidR="00A70833" w:rsidRPr="001B7EEB">
          <w:rPr>
            <w:rStyle w:val="Hipersaitas"/>
            <w:lang w:bidi="lt-LT"/>
          </w:rPr>
          <w:t>https://turtas.lt/wp-content/uploads/2025/01/duomenu-subjektu-te</w:t>
        </w:r>
        <w:r w:rsidR="00A70833" w:rsidRPr="001B7EEB">
          <w:rPr>
            <w:rStyle w:val="Hipersaitas"/>
            <w:lang w:bidi="lt-LT"/>
          </w:rPr>
          <w:t>i</w:t>
        </w:r>
        <w:r w:rsidR="00A70833" w:rsidRPr="001B7EEB">
          <w:rPr>
            <w:rStyle w:val="Hipersaitas"/>
            <w:lang w:bidi="lt-LT"/>
          </w:rPr>
          <w:t>siu-igyvendinimo-valstybes-imoneje-turto-banke-tvarkos-aprasas.docx</w:t>
        </w:r>
      </w:hyperlink>
      <w:r w:rsidR="00A70833">
        <w:rPr>
          <w:lang w:bidi="lt-LT"/>
        </w:rPr>
        <w:t xml:space="preserve"> </w:t>
      </w:r>
      <w:r w:rsidRPr="00400052">
        <w:rPr>
          <w:sz w:val="24"/>
          <w:szCs w:val="24"/>
        </w:rPr>
        <w:t>). Vadovaujantis Valstybės įmonės Turto banko dokumentacijos planu – nurodytu tikslu ir pagrindu tvarkomi asmens duomenys saugomi 5 metus (pirkimo pabaigos).</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1"/>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EB57" w14:textId="77777777" w:rsidR="000124EF" w:rsidRDefault="000124EF">
      <w:r>
        <w:separator/>
      </w:r>
    </w:p>
  </w:endnote>
  <w:endnote w:type="continuationSeparator" w:id="0">
    <w:p w14:paraId="3F719BA8" w14:textId="77777777" w:rsidR="000124EF" w:rsidRDefault="0001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D7E4" w14:textId="77777777" w:rsidR="000124EF" w:rsidRDefault="000124EF">
      <w:r>
        <w:separator/>
      </w:r>
    </w:p>
  </w:footnote>
  <w:footnote w:type="continuationSeparator" w:id="0">
    <w:p w14:paraId="682A363B" w14:textId="77777777" w:rsidR="000124EF" w:rsidRDefault="000124EF">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30"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3"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4"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7"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8"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9"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31"/>
  </w:num>
  <w:num w:numId="2" w16cid:durableId="248779942">
    <w:abstractNumId w:val="27"/>
  </w:num>
  <w:num w:numId="3" w16cid:durableId="22288642">
    <w:abstractNumId w:val="3"/>
  </w:num>
  <w:num w:numId="4" w16cid:durableId="1997997311">
    <w:abstractNumId w:val="19"/>
  </w:num>
  <w:num w:numId="5" w16cid:durableId="2039424881">
    <w:abstractNumId w:val="50"/>
  </w:num>
  <w:num w:numId="6" w16cid:durableId="949052580">
    <w:abstractNumId w:val="6"/>
  </w:num>
  <w:num w:numId="7" w16cid:durableId="597324823">
    <w:abstractNumId w:val="35"/>
  </w:num>
  <w:num w:numId="8" w16cid:durableId="197089446">
    <w:abstractNumId w:val="2"/>
  </w:num>
  <w:num w:numId="9" w16cid:durableId="68504156">
    <w:abstractNumId w:val="23"/>
  </w:num>
  <w:num w:numId="10" w16cid:durableId="1285623469">
    <w:abstractNumId w:val="42"/>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2"/>
  </w:num>
  <w:num w:numId="16" w16cid:durableId="1465274695">
    <w:abstractNumId w:val="48"/>
  </w:num>
  <w:num w:numId="17" w16cid:durableId="1413235073">
    <w:abstractNumId w:val="11"/>
  </w:num>
  <w:num w:numId="18" w16cid:durableId="1131752494">
    <w:abstractNumId w:val="47"/>
  </w:num>
  <w:num w:numId="19" w16cid:durableId="770320639">
    <w:abstractNumId w:val="21"/>
  </w:num>
  <w:num w:numId="20" w16cid:durableId="1950045507">
    <w:abstractNumId w:val="37"/>
  </w:num>
  <w:num w:numId="21" w16cid:durableId="847409531">
    <w:abstractNumId w:val="29"/>
  </w:num>
  <w:num w:numId="22" w16cid:durableId="1030106660">
    <w:abstractNumId w:val="13"/>
  </w:num>
  <w:num w:numId="23" w16cid:durableId="1535656602">
    <w:abstractNumId w:val="24"/>
  </w:num>
  <w:num w:numId="24" w16cid:durableId="1075007168">
    <w:abstractNumId w:val="36"/>
  </w:num>
  <w:num w:numId="25" w16cid:durableId="1467552777">
    <w:abstractNumId w:val="33"/>
  </w:num>
  <w:num w:numId="26" w16cid:durableId="1738093264">
    <w:abstractNumId w:val="18"/>
  </w:num>
  <w:num w:numId="27" w16cid:durableId="218909194">
    <w:abstractNumId w:val="44"/>
  </w:num>
  <w:num w:numId="28" w16cid:durableId="488137234">
    <w:abstractNumId w:val="38"/>
  </w:num>
  <w:num w:numId="29" w16cid:durableId="701514441">
    <w:abstractNumId w:val="41"/>
  </w:num>
  <w:num w:numId="30" w16cid:durableId="1450658191">
    <w:abstractNumId w:val="45"/>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4"/>
  </w:num>
  <w:num w:numId="37" w16cid:durableId="1872257798">
    <w:abstractNumId w:val="15"/>
  </w:num>
  <w:num w:numId="38" w16cid:durableId="559442784">
    <w:abstractNumId w:val="43"/>
  </w:num>
  <w:num w:numId="39" w16cid:durableId="1205632201">
    <w:abstractNumId w:val="22"/>
  </w:num>
  <w:num w:numId="40" w16cid:durableId="1883252185">
    <w:abstractNumId w:val="39"/>
  </w:num>
  <w:num w:numId="41" w16cid:durableId="801266093">
    <w:abstractNumId w:val="40"/>
  </w:num>
  <w:num w:numId="42" w16cid:durableId="729154651">
    <w:abstractNumId w:val="10"/>
  </w:num>
  <w:num w:numId="43" w16cid:durableId="521817993">
    <w:abstractNumId w:val="20"/>
  </w:num>
  <w:num w:numId="44" w16cid:durableId="284428572">
    <w:abstractNumId w:val="8"/>
  </w:num>
  <w:num w:numId="45" w16cid:durableId="1622955516">
    <w:abstractNumId w:val="46"/>
  </w:num>
  <w:num w:numId="46" w16cid:durableId="31544792">
    <w:abstractNumId w:val="49"/>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 w:numId="51" w16cid:durableId="430973840">
    <w:abstractNumId w:val="28"/>
  </w:num>
  <w:num w:numId="52" w16cid:durableId="19966876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4EF"/>
    <w:rsid w:val="00012B4F"/>
    <w:rsid w:val="0001436B"/>
    <w:rsid w:val="000155C5"/>
    <w:rsid w:val="000177ED"/>
    <w:rsid w:val="00024227"/>
    <w:rsid w:val="00025DA6"/>
    <w:rsid w:val="0003461E"/>
    <w:rsid w:val="000355BF"/>
    <w:rsid w:val="00041688"/>
    <w:rsid w:val="00043DAD"/>
    <w:rsid w:val="00043E7F"/>
    <w:rsid w:val="0004501C"/>
    <w:rsid w:val="000470ED"/>
    <w:rsid w:val="00050573"/>
    <w:rsid w:val="00052363"/>
    <w:rsid w:val="00060589"/>
    <w:rsid w:val="00060A70"/>
    <w:rsid w:val="00062159"/>
    <w:rsid w:val="00063CF7"/>
    <w:rsid w:val="00080BD5"/>
    <w:rsid w:val="00087FA2"/>
    <w:rsid w:val="0009473A"/>
    <w:rsid w:val="000A0666"/>
    <w:rsid w:val="000A4F42"/>
    <w:rsid w:val="000A55AA"/>
    <w:rsid w:val="000B569C"/>
    <w:rsid w:val="000B584D"/>
    <w:rsid w:val="000C03AB"/>
    <w:rsid w:val="000C0BE3"/>
    <w:rsid w:val="000D358E"/>
    <w:rsid w:val="000E73C0"/>
    <w:rsid w:val="000F25B8"/>
    <w:rsid w:val="000F5671"/>
    <w:rsid w:val="000F5F91"/>
    <w:rsid w:val="0010049A"/>
    <w:rsid w:val="00105601"/>
    <w:rsid w:val="001070B6"/>
    <w:rsid w:val="001129A9"/>
    <w:rsid w:val="0014319E"/>
    <w:rsid w:val="00160675"/>
    <w:rsid w:val="001617AA"/>
    <w:rsid w:val="0016238C"/>
    <w:rsid w:val="00166110"/>
    <w:rsid w:val="00167BBD"/>
    <w:rsid w:val="001848EC"/>
    <w:rsid w:val="001907F4"/>
    <w:rsid w:val="001A2543"/>
    <w:rsid w:val="001A4C88"/>
    <w:rsid w:val="001A4E87"/>
    <w:rsid w:val="001B041E"/>
    <w:rsid w:val="001B0C56"/>
    <w:rsid w:val="001B372A"/>
    <w:rsid w:val="001B44C4"/>
    <w:rsid w:val="001B48E8"/>
    <w:rsid w:val="001B7BDA"/>
    <w:rsid w:val="001C027E"/>
    <w:rsid w:val="001C063F"/>
    <w:rsid w:val="001C46CB"/>
    <w:rsid w:val="001D0CE1"/>
    <w:rsid w:val="001D2553"/>
    <w:rsid w:val="001D3542"/>
    <w:rsid w:val="001D6154"/>
    <w:rsid w:val="001E39A0"/>
    <w:rsid w:val="001E3FDD"/>
    <w:rsid w:val="001F014F"/>
    <w:rsid w:val="001F4929"/>
    <w:rsid w:val="001F650A"/>
    <w:rsid w:val="001F79EC"/>
    <w:rsid w:val="0020287C"/>
    <w:rsid w:val="0021024D"/>
    <w:rsid w:val="0021028B"/>
    <w:rsid w:val="00210394"/>
    <w:rsid w:val="00226BD2"/>
    <w:rsid w:val="00227040"/>
    <w:rsid w:val="00231A57"/>
    <w:rsid w:val="00232C18"/>
    <w:rsid w:val="00232C8C"/>
    <w:rsid w:val="00235CCE"/>
    <w:rsid w:val="002429F6"/>
    <w:rsid w:val="00246AB2"/>
    <w:rsid w:val="0024773F"/>
    <w:rsid w:val="00247858"/>
    <w:rsid w:val="00250ACD"/>
    <w:rsid w:val="00251763"/>
    <w:rsid w:val="002661A0"/>
    <w:rsid w:val="00270864"/>
    <w:rsid w:val="00271866"/>
    <w:rsid w:val="00271F55"/>
    <w:rsid w:val="00274219"/>
    <w:rsid w:val="00275959"/>
    <w:rsid w:val="002760A9"/>
    <w:rsid w:val="00281D7A"/>
    <w:rsid w:val="00282DC5"/>
    <w:rsid w:val="00284502"/>
    <w:rsid w:val="00284616"/>
    <w:rsid w:val="00287F65"/>
    <w:rsid w:val="00293C7F"/>
    <w:rsid w:val="002976BB"/>
    <w:rsid w:val="002A7A8E"/>
    <w:rsid w:val="002B2870"/>
    <w:rsid w:val="002B5906"/>
    <w:rsid w:val="002C124C"/>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6EBD"/>
    <w:rsid w:val="00347CDE"/>
    <w:rsid w:val="00347DC5"/>
    <w:rsid w:val="00353557"/>
    <w:rsid w:val="0035691B"/>
    <w:rsid w:val="00370652"/>
    <w:rsid w:val="00373736"/>
    <w:rsid w:val="00376D54"/>
    <w:rsid w:val="00376FF6"/>
    <w:rsid w:val="00382950"/>
    <w:rsid w:val="00390CFC"/>
    <w:rsid w:val="00391092"/>
    <w:rsid w:val="00393F50"/>
    <w:rsid w:val="00395F56"/>
    <w:rsid w:val="003976CF"/>
    <w:rsid w:val="003A03E1"/>
    <w:rsid w:val="003A2296"/>
    <w:rsid w:val="003A54CE"/>
    <w:rsid w:val="003B46C8"/>
    <w:rsid w:val="003B54EC"/>
    <w:rsid w:val="003C41F8"/>
    <w:rsid w:val="003C4414"/>
    <w:rsid w:val="003D45F1"/>
    <w:rsid w:val="003D5FAB"/>
    <w:rsid w:val="003E3C36"/>
    <w:rsid w:val="003E612A"/>
    <w:rsid w:val="003E75CE"/>
    <w:rsid w:val="003E7B43"/>
    <w:rsid w:val="003F1DC9"/>
    <w:rsid w:val="003F25EE"/>
    <w:rsid w:val="003F67A5"/>
    <w:rsid w:val="00400052"/>
    <w:rsid w:val="00404F38"/>
    <w:rsid w:val="00417FDE"/>
    <w:rsid w:val="00421091"/>
    <w:rsid w:val="004332B1"/>
    <w:rsid w:val="00434530"/>
    <w:rsid w:val="00434696"/>
    <w:rsid w:val="0043498C"/>
    <w:rsid w:val="00442AFA"/>
    <w:rsid w:val="004435CA"/>
    <w:rsid w:val="004502E2"/>
    <w:rsid w:val="004558EF"/>
    <w:rsid w:val="00462BA7"/>
    <w:rsid w:val="00482A78"/>
    <w:rsid w:val="00487F23"/>
    <w:rsid w:val="00490886"/>
    <w:rsid w:val="00495251"/>
    <w:rsid w:val="004974B1"/>
    <w:rsid w:val="004A3ACA"/>
    <w:rsid w:val="004A6C59"/>
    <w:rsid w:val="004B42AD"/>
    <w:rsid w:val="004B60B7"/>
    <w:rsid w:val="004B71B2"/>
    <w:rsid w:val="004C37EC"/>
    <w:rsid w:val="004C64F1"/>
    <w:rsid w:val="004C6E25"/>
    <w:rsid w:val="004D06B9"/>
    <w:rsid w:val="004D0C27"/>
    <w:rsid w:val="004D115E"/>
    <w:rsid w:val="004D36BC"/>
    <w:rsid w:val="004D5AE3"/>
    <w:rsid w:val="004D73FD"/>
    <w:rsid w:val="004E100C"/>
    <w:rsid w:val="004E2DF4"/>
    <w:rsid w:val="004E4CD8"/>
    <w:rsid w:val="004F34CB"/>
    <w:rsid w:val="004F3A3F"/>
    <w:rsid w:val="004F6800"/>
    <w:rsid w:val="00502C93"/>
    <w:rsid w:val="00505369"/>
    <w:rsid w:val="005078B9"/>
    <w:rsid w:val="00507F8E"/>
    <w:rsid w:val="005106AB"/>
    <w:rsid w:val="0051076A"/>
    <w:rsid w:val="00515847"/>
    <w:rsid w:val="005300C7"/>
    <w:rsid w:val="00534C40"/>
    <w:rsid w:val="00540AE3"/>
    <w:rsid w:val="00550A86"/>
    <w:rsid w:val="0055495C"/>
    <w:rsid w:val="00560040"/>
    <w:rsid w:val="005624D2"/>
    <w:rsid w:val="005628CB"/>
    <w:rsid w:val="00564C35"/>
    <w:rsid w:val="00566DEF"/>
    <w:rsid w:val="005847E0"/>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EF3"/>
    <w:rsid w:val="005E56CC"/>
    <w:rsid w:val="005F4212"/>
    <w:rsid w:val="005F68C9"/>
    <w:rsid w:val="005F6C3B"/>
    <w:rsid w:val="006038A9"/>
    <w:rsid w:val="00623F89"/>
    <w:rsid w:val="00624A66"/>
    <w:rsid w:val="006325C5"/>
    <w:rsid w:val="00637F3D"/>
    <w:rsid w:val="00641BD1"/>
    <w:rsid w:val="00642342"/>
    <w:rsid w:val="006447A6"/>
    <w:rsid w:val="006448AB"/>
    <w:rsid w:val="006525B1"/>
    <w:rsid w:val="006531FF"/>
    <w:rsid w:val="0065367A"/>
    <w:rsid w:val="006536B3"/>
    <w:rsid w:val="00656796"/>
    <w:rsid w:val="006573C9"/>
    <w:rsid w:val="006622EC"/>
    <w:rsid w:val="0067138F"/>
    <w:rsid w:val="006716D6"/>
    <w:rsid w:val="00673840"/>
    <w:rsid w:val="00673C51"/>
    <w:rsid w:val="00675BDB"/>
    <w:rsid w:val="00676FFE"/>
    <w:rsid w:val="00686E85"/>
    <w:rsid w:val="00687B96"/>
    <w:rsid w:val="00692BCB"/>
    <w:rsid w:val="00692DFF"/>
    <w:rsid w:val="006A0981"/>
    <w:rsid w:val="006A64F8"/>
    <w:rsid w:val="006B76F6"/>
    <w:rsid w:val="006C0D4D"/>
    <w:rsid w:val="006C1839"/>
    <w:rsid w:val="006C693E"/>
    <w:rsid w:val="006D24BE"/>
    <w:rsid w:val="006E2359"/>
    <w:rsid w:val="006E3175"/>
    <w:rsid w:val="006E661B"/>
    <w:rsid w:val="006E68D0"/>
    <w:rsid w:val="006F0C90"/>
    <w:rsid w:val="006F5434"/>
    <w:rsid w:val="006F7CDF"/>
    <w:rsid w:val="00707B39"/>
    <w:rsid w:val="00711AD6"/>
    <w:rsid w:val="00712DF8"/>
    <w:rsid w:val="00717D52"/>
    <w:rsid w:val="0072295F"/>
    <w:rsid w:val="00725FE4"/>
    <w:rsid w:val="00726A4E"/>
    <w:rsid w:val="00736C74"/>
    <w:rsid w:val="00737225"/>
    <w:rsid w:val="00737671"/>
    <w:rsid w:val="00744809"/>
    <w:rsid w:val="00745FEB"/>
    <w:rsid w:val="00756E68"/>
    <w:rsid w:val="00766C51"/>
    <w:rsid w:val="007704A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4835"/>
    <w:rsid w:val="007C5042"/>
    <w:rsid w:val="007C6C38"/>
    <w:rsid w:val="007C747A"/>
    <w:rsid w:val="007D0CDE"/>
    <w:rsid w:val="007E1A01"/>
    <w:rsid w:val="007E1F1B"/>
    <w:rsid w:val="007E4055"/>
    <w:rsid w:val="007E6097"/>
    <w:rsid w:val="007F7216"/>
    <w:rsid w:val="0081064A"/>
    <w:rsid w:val="0081147E"/>
    <w:rsid w:val="00820542"/>
    <w:rsid w:val="0082334B"/>
    <w:rsid w:val="00832E95"/>
    <w:rsid w:val="00847EC7"/>
    <w:rsid w:val="00850A8F"/>
    <w:rsid w:val="00853A1C"/>
    <w:rsid w:val="00853C1A"/>
    <w:rsid w:val="00856251"/>
    <w:rsid w:val="008651F0"/>
    <w:rsid w:val="00866E28"/>
    <w:rsid w:val="008716E2"/>
    <w:rsid w:val="00872255"/>
    <w:rsid w:val="00874D4B"/>
    <w:rsid w:val="00874E67"/>
    <w:rsid w:val="008754BE"/>
    <w:rsid w:val="00883C8C"/>
    <w:rsid w:val="008965ED"/>
    <w:rsid w:val="008A625B"/>
    <w:rsid w:val="008B0E18"/>
    <w:rsid w:val="008B11D4"/>
    <w:rsid w:val="008C439D"/>
    <w:rsid w:val="008C569E"/>
    <w:rsid w:val="008D076D"/>
    <w:rsid w:val="008D117A"/>
    <w:rsid w:val="008D1FE4"/>
    <w:rsid w:val="008D32B3"/>
    <w:rsid w:val="008D36B3"/>
    <w:rsid w:val="008D3C3C"/>
    <w:rsid w:val="008E4B00"/>
    <w:rsid w:val="008F3A61"/>
    <w:rsid w:val="00901DFC"/>
    <w:rsid w:val="009029C0"/>
    <w:rsid w:val="00902CFF"/>
    <w:rsid w:val="00903975"/>
    <w:rsid w:val="009075C7"/>
    <w:rsid w:val="009147E8"/>
    <w:rsid w:val="009157AF"/>
    <w:rsid w:val="009158B5"/>
    <w:rsid w:val="0092525A"/>
    <w:rsid w:val="009355A2"/>
    <w:rsid w:val="009378C3"/>
    <w:rsid w:val="00942900"/>
    <w:rsid w:val="00946EA0"/>
    <w:rsid w:val="00947086"/>
    <w:rsid w:val="0094779A"/>
    <w:rsid w:val="00951A35"/>
    <w:rsid w:val="00951C38"/>
    <w:rsid w:val="009550BB"/>
    <w:rsid w:val="00957A0C"/>
    <w:rsid w:val="00966286"/>
    <w:rsid w:val="00966300"/>
    <w:rsid w:val="00970A76"/>
    <w:rsid w:val="00975E8C"/>
    <w:rsid w:val="0097775F"/>
    <w:rsid w:val="00981F51"/>
    <w:rsid w:val="0098311F"/>
    <w:rsid w:val="00985078"/>
    <w:rsid w:val="00986FDE"/>
    <w:rsid w:val="00996160"/>
    <w:rsid w:val="009A225A"/>
    <w:rsid w:val="009A3069"/>
    <w:rsid w:val="009A69CD"/>
    <w:rsid w:val="009D3762"/>
    <w:rsid w:val="009D383B"/>
    <w:rsid w:val="009E0EB6"/>
    <w:rsid w:val="009E239D"/>
    <w:rsid w:val="00A050BA"/>
    <w:rsid w:val="00A05FB1"/>
    <w:rsid w:val="00A10CAD"/>
    <w:rsid w:val="00A12D1C"/>
    <w:rsid w:val="00A14823"/>
    <w:rsid w:val="00A22112"/>
    <w:rsid w:val="00A230EB"/>
    <w:rsid w:val="00A23A13"/>
    <w:rsid w:val="00A2520D"/>
    <w:rsid w:val="00A25D93"/>
    <w:rsid w:val="00A2620F"/>
    <w:rsid w:val="00A36EF6"/>
    <w:rsid w:val="00A420B6"/>
    <w:rsid w:val="00A45C60"/>
    <w:rsid w:val="00A514BF"/>
    <w:rsid w:val="00A56FB6"/>
    <w:rsid w:val="00A61CC7"/>
    <w:rsid w:val="00A6386D"/>
    <w:rsid w:val="00A64F25"/>
    <w:rsid w:val="00A67E8F"/>
    <w:rsid w:val="00A70833"/>
    <w:rsid w:val="00A72A35"/>
    <w:rsid w:val="00A73579"/>
    <w:rsid w:val="00A81C1A"/>
    <w:rsid w:val="00A97A3A"/>
    <w:rsid w:val="00A97BAE"/>
    <w:rsid w:val="00AA2D3B"/>
    <w:rsid w:val="00AA50DE"/>
    <w:rsid w:val="00AB6D2C"/>
    <w:rsid w:val="00AC43B5"/>
    <w:rsid w:val="00AC6B03"/>
    <w:rsid w:val="00AC7B08"/>
    <w:rsid w:val="00AD0A30"/>
    <w:rsid w:val="00AD2E9F"/>
    <w:rsid w:val="00AD3E5E"/>
    <w:rsid w:val="00AD5AD9"/>
    <w:rsid w:val="00AE2E53"/>
    <w:rsid w:val="00AE4EE9"/>
    <w:rsid w:val="00AE6F10"/>
    <w:rsid w:val="00B02CCE"/>
    <w:rsid w:val="00B030B7"/>
    <w:rsid w:val="00B10282"/>
    <w:rsid w:val="00B124D4"/>
    <w:rsid w:val="00B16C53"/>
    <w:rsid w:val="00B331B9"/>
    <w:rsid w:val="00B3382A"/>
    <w:rsid w:val="00B33ED3"/>
    <w:rsid w:val="00B36CF8"/>
    <w:rsid w:val="00B40CBF"/>
    <w:rsid w:val="00B50B69"/>
    <w:rsid w:val="00B578D3"/>
    <w:rsid w:val="00B621A5"/>
    <w:rsid w:val="00B625AE"/>
    <w:rsid w:val="00B734F4"/>
    <w:rsid w:val="00B7440E"/>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251D"/>
    <w:rsid w:val="00BE6A29"/>
    <w:rsid w:val="00BF2150"/>
    <w:rsid w:val="00C015AA"/>
    <w:rsid w:val="00C04C5B"/>
    <w:rsid w:val="00C13764"/>
    <w:rsid w:val="00C14627"/>
    <w:rsid w:val="00C22633"/>
    <w:rsid w:val="00C23F6C"/>
    <w:rsid w:val="00C2429C"/>
    <w:rsid w:val="00C31EFE"/>
    <w:rsid w:val="00C3725B"/>
    <w:rsid w:val="00C37AC4"/>
    <w:rsid w:val="00C44AF7"/>
    <w:rsid w:val="00C4724D"/>
    <w:rsid w:val="00C55E70"/>
    <w:rsid w:val="00C5766A"/>
    <w:rsid w:val="00C57851"/>
    <w:rsid w:val="00C62561"/>
    <w:rsid w:val="00C675CD"/>
    <w:rsid w:val="00C67A32"/>
    <w:rsid w:val="00C7137C"/>
    <w:rsid w:val="00C728A0"/>
    <w:rsid w:val="00C767DD"/>
    <w:rsid w:val="00C76842"/>
    <w:rsid w:val="00C83C1D"/>
    <w:rsid w:val="00C9701D"/>
    <w:rsid w:val="00CB1674"/>
    <w:rsid w:val="00CB371A"/>
    <w:rsid w:val="00CB4387"/>
    <w:rsid w:val="00CC676F"/>
    <w:rsid w:val="00CD32CD"/>
    <w:rsid w:val="00CD38D3"/>
    <w:rsid w:val="00CD7592"/>
    <w:rsid w:val="00CE3881"/>
    <w:rsid w:val="00CE3904"/>
    <w:rsid w:val="00CF24D4"/>
    <w:rsid w:val="00CF5981"/>
    <w:rsid w:val="00CF67B0"/>
    <w:rsid w:val="00D06C68"/>
    <w:rsid w:val="00D10596"/>
    <w:rsid w:val="00D10A24"/>
    <w:rsid w:val="00D20A00"/>
    <w:rsid w:val="00D22E6A"/>
    <w:rsid w:val="00D23B1D"/>
    <w:rsid w:val="00D35270"/>
    <w:rsid w:val="00D541FE"/>
    <w:rsid w:val="00D722A0"/>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D4DB8"/>
    <w:rsid w:val="00DD5B06"/>
    <w:rsid w:val="00DD7B0D"/>
    <w:rsid w:val="00DF02C3"/>
    <w:rsid w:val="00DF3245"/>
    <w:rsid w:val="00DF4AB9"/>
    <w:rsid w:val="00DF6720"/>
    <w:rsid w:val="00E00E64"/>
    <w:rsid w:val="00E1204F"/>
    <w:rsid w:val="00E144C9"/>
    <w:rsid w:val="00E153FF"/>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43183"/>
    <w:rsid w:val="00E66785"/>
    <w:rsid w:val="00E66A79"/>
    <w:rsid w:val="00E67FA0"/>
    <w:rsid w:val="00E719E7"/>
    <w:rsid w:val="00E76244"/>
    <w:rsid w:val="00E97B45"/>
    <w:rsid w:val="00EA256F"/>
    <w:rsid w:val="00EA7770"/>
    <w:rsid w:val="00EB1AF0"/>
    <w:rsid w:val="00EB29A7"/>
    <w:rsid w:val="00EB3349"/>
    <w:rsid w:val="00EB430C"/>
    <w:rsid w:val="00EB793A"/>
    <w:rsid w:val="00EC1893"/>
    <w:rsid w:val="00EC6302"/>
    <w:rsid w:val="00EC7AD5"/>
    <w:rsid w:val="00ED40F1"/>
    <w:rsid w:val="00EE43FA"/>
    <w:rsid w:val="00EE4D1C"/>
    <w:rsid w:val="00EF0888"/>
    <w:rsid w:val="00EF0BDF"/>
    <w:rsid w:val="00EF5D14"/>
    <w:rsid w:val="00EF726D"/>
    <w:rsid w:val="00EF7E1E"/>
    <w:rsid w:val="00F00C63"/>
    <w:rsid w:val="00F10986"/>
    <w:rsid w:val="00F118D4"/>
    <w:rsid w:val="00F1356C"/>
    <w:rsid w:val="00F13B46"/>
    <w:rsid w:val="00F1417E"/>
    <w:rsid w:val="00F14715"/>
    <w:rsid w:val="00F352AD"/>
    <w:rsid w:val="00F36882"/>
    <w:rsid w:val="00F42169"/>
    <w:rsid w:val="00F4698E"/>
    <w:rsid w:val="00F47B0F"/>
    <w:rsid w:val="00F52F57"/>
    <w:rsid w:val="00F55F1C"/>
    <w:rsid w:val="00F62332"/>
    <w:rsid w:val="00F64D47"/>
    <w:rsid w:val="00F658B2"/>
    <w:rsid w:val="00F70E0E"/>
    <w:rsid w:val="00F772A1"/>
    <w:rsid w:val="00F82166"/>
    <w:rsid w:val="00F86D5A"/>
    <w:rsid w:val="00F86F99"/>
    <w:rsid w:val="00F92F4A"/>
    <w:rsid w:val="00FA0D85"/>
    <w:rsid w:val="00FA5E08"/>
    <w:rsid w:val="00FB32A0"/>
    <w:rsid w:val="00FB33A8"/>
    <w:rsid w:val="00FC1565"/>
    <w:rsid w:val="00FC18F2"/>
    <w:rsid w:val="00FC5EE6"/>
    <w:rsid w:val="00FD15E5"/>
    <w:rsid w:val="00FD1FA0"/>
    <w:rsid w:val="00FD39B1"/>
    <w:rsid w:val="00FD5BC9"/>
    <w:rsid w:val="00FD706C"/>
    <w:rsid w:val="00FD7993"/>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1"/>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14119384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381975354">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28587570">
      <w:bodyDiv w:val="1"/>
      <w:marLeft w:val="0"/>
      <w:marRight w:val="0"/>
      <w:marTop w:val="0"/>
      <w:marBottom w:val="0"/>
      <w:divBdr>
        <w:top w:val="none" w:sz="0" w:space="0" w:color="auto"/>
        <w:left w:val="none" w:sz="0" w:space="0" w:color="auto"/>
        <w:bottom w:val="none" w:sz="0" w:space="0" w:color="auto"/>
        <w:right w:val="none" w:sz="0" w:space="0" w:color="auto"/>
      </w:divBdr>
    </w:div>
    <w:div w:id="1636251570">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pt.lrv.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20Liubov.Lavrinovic@turta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uorodos/kiti-duomenys/pasiulymu-sifravima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turtas.lt/wp-content/uploads/2022/09/duomenu-subjektu-teisiu-igyvendinimo-valstybes-imoneje-turto-banke-tvarkos-aprasas-202109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vpt.lrv.lt/uploads/vpt/documents/files/EBVPD%20pildymas(Tiek%c4%97ja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https://turtas.lt/wp-content/uploads/2023/11/valstybes-imones-turto-banko-asmens-duomenu-tvarkymo-taisykles-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20https://viesiejipirkimai.lt" TargetMode="External"/><Relationship Id="rId27" Type="http://schemas.openxmlformats.org/officeDocument/2006/relationships/hyperlink" Target="https://turtas.lt/asmens-duomenu-apsauga/" TargetMode="External"/><Relationship Id="rId30" Type="http://schemas.openxmlformats.org/officeDocument/2006/relationships/hyperlink" Target="https://turtas.lt/wp-content/uploads/2025/01/duomenu-subjektu-teisiu-igyvendinimo-valstybes-imoneje-turto-banke-tvarkos-aprasas.docx"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21</Pages>
  <Words>46100</Words>
  <Characters>26278</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LAVRINOVIČ, Liubov | Turto Bankas</cp:lastModifiedBy>
  <cp:revision>19</cp:revision>
  <dcterms:created xsi:type="dcterms:W3CDTF">2025-02-10T12:34:00Z</dcterms:created>
  <dcterms:modified xsi:type="dcterms:W3CDTF">2025-02-18T20:05:00Z</dcterms:modified>
</cp:coreProperties>
</file>