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44478A5C" w:rsidR="00F950F5" w:rsidRDefault="00D15558" w:rsidP="00CD45BC">
      <w:pPr>
        <w:spacing w:line="259" w:lineRule="auto"/>
        <w:jc w:val="center"/>
        <w:rPr>
          <w:b/>
          <w:caps/>
          <w:sz w:val="20"/>
        </w:rPr>
      </w:pPr>
      <w:r>
        <w:rPr>
          <w:b/>
          <w:caps/>
          <w:sz w:val="20"/>
        </w:rPr>
        <w:t>MEDICININIŲ KUŠEČIŲ</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lastRenderedPageBreak/>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 xml:space="preserve">Jeigu Tiekėjas turi parengti ir (ar) pateikti Pirkėjui Prekių naudojimo instrukcijas, jos turi būti aiškios ir detalios, kad </w:t>
      </w:r>
      <w:r w:rsidRPr="000D629B">
        <w:rPr>
          <w:rFonts w:eastAsia="Arial"/>
          <w:sz w:val="20"/>
        </w:rPr>
        <w:lastRenderedPageBreak/>
        <w:t>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w:t>
      </w:r>
      <w:r w:rsidRPr="000D629B">
        <w:rPr>
          <w:rFonts w:eastAsia="Arial"/>
          <w:sz w:val="20"/>
        </w:rPr>
        <w:lastRenderedPageBreak/>
        <w:t xml:space="preserve">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36C39014" w:rsidR="00CD45BC" w:rsidRDefault="00D15558" w:rsidP="00CD45BC">
            <w:pPr>
              <w:spacing w:line="259" w:lineRule="auto"/>
              <w:jc w:val="center"/>
              <w:rPr>
                <w:b/>
                <w:caps/>
                <w:sz w:val="20"/>
              </w:rPr>
            </w:pPr>
            <w:r>
              <w:rPr>
                <w:b/>
                <w:caps/>
                <w:sz w:val="20"/>
              </w:rPr>
              <w:t>MEDICININIŲ KUŠEČIŲ</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077B309A"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B620B53"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15558">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A407F9D" w:rsidR="00B70411" w:rsidRPr="00384336" w:rsidRDefault="00D15558"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4AE3CEE3"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D15558">
              <w:rPr>
                <w:kern w:val="2"/>
                <w:sz w:val="22"/>
                <w:szCs w:val="22"/>
              </w:rPr>
              <w:t>as medicinines kušetes</w:t>
            </w:r>
            <w:r w:rsidRPr="00487ED8">
              <w:rPr>
                <w:kern w:val="2"/>
                <w:sz w:val="22"/>
                <w:szCs w:val="22"/>
              </w:rPr>
              <w:t xml:space="preserve"> </w:t>
            </w:r>
            <w:r w:rsidR="00D15558">
              <w:rPr>
                <w:kern w:val="2"/>
                <w:sz w:val="22"/>
                <w:szCs w:val="22"/>
              </w:rPr>
              <w:t>(3 vnt.)</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įskaitant pristatymą, taip pat montavimą</w:t>
            </w:r>
            <w:r w:rsidR="0053224C">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708ED3E3" w:rsidR="00B70411" w:rsidRPr="00487ED8" w:rsidRDefault="00B70411" w:rsidP="00B70411">
            <w:pPr>
              <w:rPr>
                <w:sz w:val="22"/>
                <w:szCs w:val="22"/>
              </w:rPr>
            </w:pPr>
            <w:r w:rsidRPr="00487ED8">
              <w:rPr>
                <w:kern w:val="2"/>
                <w:sz w:val="22"/>
                <w:szCs w:val="22"/>
              </w:rPr>
              <w:t xml:space="preserve">Prekės pristatomos laike </w:t>
            </w:r>
            <w:r w:rsidR="00D15558">
              <w:rPr>
                <w:kern w:val="2"/>
                <w:sz w:val="22"/>
                <w:szCs w:val="22"/>
              </w:rPr>
              <w:t xml:space="preserve">3 (trijų) </w:t>
            </w:r>
            <w:r w:rsidR="00CD45BC" w:rsidRPr="00487ED8">
              <w:rPr>
                <w:kern w:val="2"/>
                <w:sz w:val="22"/>
                <w:szCs w:val="22"/>
              </w:rPr>
              <w:t>mėnesi</w:t>
            </w:r>
            <w:r w:rsidR="00D15558">
              <w:rPr>
                <w:kern w:val="2"/>
                <w:sz w:val="22"/>
                <w:szCs w:val="22"/>
              </w:rPr>
              <w:t>ų</w:t>
            </w:r>
            <w:r w:rsidR="00CD45BC" w:rsidRPr="00487ED8">
              <w:rPr>
                <w:kern w:val="2"/>
                <w:sz w:val="22"/>
                <w:szCs w:val="22"/>
              </w:rPr>
              <w:t xml:space="preserve"> nuo sutarties sudarymo dienos</w:t>
            </w:r>
            <w:r w:rsidRPr="00487ED8">
              <w:rPr>
                <w:kern w:val="2"/>
                <w:sz w:val="22"/>
                <w:szCs w:val="22"/>
              </w:rPr>
              <w:t xml:space="preserve">  šiuo adresu: </w:t>
            </w:r>
            <w:r w:rsidR="00D15558">
              <w:rPr>
                <w:sz w:val="22"/>
                <w:szCs w:val="22"/>
              </w:rPr>
              <w:t>Liepojos g. 41, Klaipėda</w:t>
            </w:r>
          </w:p>
          <w:p w14:paraId="6A3137BB" w14:textId="4BC82A52" w:rsidR="00003E91" w:rsidRPr="00487ED8" w:rsidRDefault="00003E91" w:rsidP="00003E91">
            <w:pPr>
              <w:jc w:val="both"/>
              <w:rPr>
                <w:sz w:val="22"/>
                <w:szCs w:val="22"/>
              </w:rPr>
            </w:pPr>
            <w:r w:rsidRPr="00487ED8">
              <w:rPr>
                <w:sz w:val="22"/>
                <w:szCs w:val="22"/>
              </w:rPr>
              <w:t xml:space="preserve">Įrangos pristatymo terminas apima: 1) protingą terminą, skirtą Pirkėjui priimti </w:t>
            </w:r>
            <w:r w:rsidR="004A2D41">
              <w:rPr>
                <w:sz w:val="22"/>
                <w:szCs w:val="22"/>
              </w:rPr>
              <w:t>prekę</w:t>
            </w:r>
            <w:r w:rsidRPr="00487ED8">
              <w:rPr>
                <w:sz w:val="22"/>
                <w:szCs w:val="22"/>
              </w:rPr>
              <w:t>,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DBE7671" w:rsidR="00B70411" w:rsidRPr="00FB10EF" w:rsidRDefault="00FB10EF" w:rsidP="00B70411">
            <w:pPr>
              <w:rPr>
                <w:kern w:val="2"/>
                <w:sz w:val="22"/>
                <w:szCs w:val="22"/>
              </w:rPr>
            </w:pPr>
            <w:r w:rsidRPr="00FB10EF">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lastRenderedPageBreak/>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0D629B" w:rsidRDefault="00041B64" w:rsidP="00041B64">
            <w:pPr>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lastRenderedPageBreak/>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087F8354"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D15558">
              <w:rPr>
                <w:kern w:val="2"/>
                <w:sz w:val="22"/>
                <w:szCs w:val="22"/>
              </w:rPr>
              <w:t>4</w:t>
            </w:r>
            <w:r w:rsidRPr="009F2A4E">
              <w:rPr>
                <w:b/>
                <w:bCs/>
                <w:kern w:val="2"/>
                <w:sz w:val="22"/>
                <w:szCs w:val="22"/>
              </w:rPr>
              <w:t xml:space="preserve"> mėnesiai</w:t>
            </w:r>
            <w:r w:rsidRPr="009F2A4E">
              <w:rPr>
                <w:kern w:val="2"/>
                <w:sz w:val="22"/>
                <w:szCs w:val="22"/>
              </w:rPr>
              <w:t xml:space="preserve"> (</w:t>
            </w:r>
            <w:r w:rsidR="00D15558">
              <w:rPr>
                <w:kern w:val="2"/>
                <w:sz w:val="22"/>
                <w:szCs w:val="22"/>
              </w:rPr>
              <w:t>3</w:t>
            </w:r>
            <w:r w:rsidRPr="009F2A4E">
              <w:rPr>
                <w:kern w:val="2"/>
                <w:sz w:val="22"/>
                <w:szCs w:val="22"/>
              </w:rPr>
              <w:t xml:space="preserve"> mėnesiai prekių pristatymui ir sumontavimui  1 mėnuo apmokėjimui)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r w:rsidRPr="00707F1B">
              <w:rPr>
                <w:color w:val="000000"/>
                <w:kern w:val="2"/>
                <w:sz w:val="22"/>
                <w:szCs w:val="22"/>
                <w:shd w:val="clear" w:color="auto" w:fill="FFFFFF"/>
              </w:rPr>
              <w:lastRenderedPageBreak/>
              <w:t>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 xml:space="preserve">Europos elektroninių sąskaitų faktūrų standarto </w:t>
                  </w:r>
                  <w:r w:rsidRPr="004A2891">
                    <w:rPr>
                      <w:rFonts w:eastAsia="Cambria"/>
                      <w:sz w:val="22"/>
                      <w:szCs w:val="22"/>
                    </w:rPr>
                    <w:lastRenderedPageBreak/>
                    <w:t>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159A147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1B64"/>
    <w:rsid w:val="00067789"/>
    <w:rsid w:val="0008132C"/>
    <w:rsid w:val="00094291"/>
    <w:rsid w:val="000A1700"/>
    <w:rsid w:val="000B237A"/>
    <w:rsid w:val="000D629B"/>
    <w:rsid w:val="00103C15"/>
    <w:rsid w:val="0014742C"/>
    <w:rsid w:val="0019547E"/>
    <w:rsid w:val="001A6A95"/>
    <w:rsid w:val="001C08B5"/>
    <w:rsid w:val="00253874"/>
    <w:rsid w:val="00262C35"/>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A2D41"/>
    <w:rsid w:val="004C5E61"/>
    <w:rsid w:val="004F503E"/>
    <w:rsid w:val="00513D49"/>
    <w:rsid w:val="0053224C"/>
    <w:rsid w:val="005749E6"/>
    <w:rsid w:val="005A5832"/>
    <w:rsid w:val="005C3599"/>
    <w:rsid w:val="005C6488"/>
    <w:rsid w:val="005E3B90"/>
    <w:rsid w:val="005F5278"/>
    <w:rsid w:val="005F5B23"/>
    <w:rsid w:val="005F7485"/>
    <w:rsid w:val="00620AEA"/>
    <w:rsid w:val="00626C56"/>
    <w:rsid w:val="006366AA"/>
    <w:rsid w:val="00671EED"/>
    <w:rsid w:val="006A1490"/>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C0D0E"/>
    <w:rsid w:val="009D0186"/>
    <w:rsid w:val="009D1A7F"/>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15558"/>
    <w:rsid w:val="00D50D8A"/>
    <w:rsid w:val="00D55C42"/>
    <w:rsid w:val="00D563C5"/>
    <w:rsid w:val="00D705B5"/>
    <w:rsid w:val="00D758CC"/>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A7783"/>
    <w:rsid w:val="00FB10EF"/>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25</Pages>
  <Words>61833</Words>
  <Characters>35246</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8</cp:revision>
  <dcterms:created xsi:type="dcterms:W3CDTF">2025-02-04T06:18:00Z</dcterms:created>
  <dcterms:modified xsi:type="dcterms:W3CDTF">2025-02-20T05:51:00Z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