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ABDCD" w14:textId="578A4C4B" w:rsidR="00494DA9" w:rsidRPr="009A2BB7" w:rsidRDefault="00473E13" w:rsidP="00D539B1">
      <w:pPr>
        <w:pStyle w:val="Heading2"/>
        <w:spacing w:line="276" w:lineRule="auto"/>
        <w:jc w:val="center"/>
        <w:rPr>
          <w:rFonts w:ascii="Times New Roman" w:hAnsi="Times New Roman" w:cs="Times New Roman"/>
        </w:rPr>
      </w:pPr>
      <w:bookmarkStart w:id="0" w:name="_GoBack"/>
      <w:bookmarkEnd w:id="0"/>
      <w:r w:rsidRPr="009A2BB7">
        <w:rPr>
          <w:rFonts w:ascii="Times New Roman" w:hAnsi="Times New Roman" w:cs="Times New Roman"/>
          <w:i w:val="0"/>
          <w:sz w:val="22"/>
          <w:szCs w:val="22"/>
          <w:lang w:val="lt-LT"/>
        </w:rPr>
        <w:t xml:space="preserve">ECHNINĖ SPECIFIKACIJA </w:t>
      </w:r>
    </w:p>
    <w:tbl>
      <w:tblPr>
        <w:tblStyle w:val="TableGrid"/>
        <w:tblW w:w="15855" w:type="dxa"/>
        <w:tblInd w:w="-459" w:type="dxa"/>
        <w:tblLayout w:type="fixed"/>
        <w:tblLook w:val="04A0" w:firstRow="1" w:lastRow="0" w:firstColumn="1" w:lastColumn="0" w:noHBand="0" w:noVBand="1"/>
      </w:tblPr>
      <w:tblGrid>
        <w:gridCol w:w="738"/>
        <w:gridCol w:w="4956"/>
        <w:gridCol w:w="4258"/>
        <w:gridCol w:w="850"/>
        <w:gridCol w:w="964"/>
        <w:gridCol w:w="4089"/>
      </w:tblGrid>
      <w:tr w:rsidR="005021C0" w:rsidRPr="009A2BB7" w14:paraId="293DCDDF" w14:textId="77777777" w:rsidTr="00642696">
        <w:trPr>
          <w:trHeight w:val="801"/>
        </w:trPr>
        <w:tc>
          <w:tcPr>
            <w:tcW w:w="738" w:type="dxa"/>
            <w:tcBorders>
              <w:bottom w:val="single" w:sz="4" w:space="0" w:color="auto"/>
            </w:tcBorders>
            <w:vAlign w:val="center"/>
          </w:tcPr>
          <w:p w14:paraId="51DED604" w14:textId="77777777" w:rsidR="005021C0" w:rsidRPr="009A2BB7" w:rsidRDefault="00473E13">
            <w:pPr>
              <w:widowControl w:val="0"/>
              <w:spacing w:after="0" w:line="240" w:lineRule="auto"/>
              <w:jc w:val="center"/>
              <w:rPr>
                <w:rFonts w:ascii="Times New Roman" w:eastAsia="Calibri" w:hAnsi="Times New Roman" w:cs="Times New Roman"/>
                <w:b/>
              </w:rPr>
            </w:pPr>
            <w:r w:rsidRPr="009A2BB7">
              <w:rPr>
                <w:rFonts w:ascii="Times New Roman" w:eastAsia="Calibri" w:hAnsi="Times New Roman" w:cs="Times New Roman"/>
                <w:b/>
              </w:rPr>
              <w:t>Eil.</w:t>
            </w:r>
          </w:p>
          <w:p w14:paraId="6CC52886" w14:textId="77777777" w:rsidR="005021C0" w:rsidRPr="009A2BB7" w:rsidRDefault="00473E13">
            <w:pPr>
              <w:widowControl w:val="0"/>
              <w:spacing w:after="0" w:line="240" w:lineRule="auto"/>
              <w:jc w:val="center"/>
              <w:rPr>
                <w:rFonts w:ascii="Times New Roman" w:eastAsia="Calibri" w:hAnsi="Times New Roman" w:cs="Times New Roman"/>
                <w:b/>
              </w:rPr>
            </w:pPr>
            <w:r w:rsidRPr="009A2BB7">
              <w:rPr>
                <w:rFonts w:ascii="Times New Roman" w:eastAsia="Calibri" w:hAnsi="Times New Roman" w:cs="Times New Roman"/>
                <w:b/>
              </w:rPr>
              <w:t>Nr.</w:t>
            </w:r>
          </w:p>
        </w:tc>
        <w:tc>
          <w:tcPr>
            <w:tcW w:w="4956" w:type="dxa"/>
            <w:tcBorders>
              <w:bottom w:val="single" w:sz="4" w:space="0" w:color="auto"/>
              <w:right w:val="nil"/>
            </w:tcBorders>
            <w:vAlign w:val="center"/>
          </w:tcPr>
          <w:p w14:paraId="62B08B0C" w14:textId="77777777" w:rsidR="005021C0" w:rsidRPr="009A2BB7" w:rsidRDefault="00473E13">
            <w:pPr>
              <w:widowControl w:val="0"/>
              <w:spacing w:after="0" w:line="240" w:lineRule="auto"/>
              <w:jc w:val="center"/>
              <w:rPr>
                <w:rFonts w:ascii="Times New Roman" w:eastAsia="Calibri" w:hAnsi="Times New Roman" w:cs="Times New Roman"/>
                <w:b/>
              </w:rPr>
            </w:pPr>
            <w:r w:rsidRPr="009A2BB7">
              <w:rPr>
                <w:rFonts w:ascii="Times New Roman" w:eastAsia="Calibri" w:hAnsi="Times New Roman" w:cs="Times New Roman"/>
                <w:b/>
              </w:rPr>
              <w:t>Gaminio pavadinimas ir techniniai reikalavimai</w:t>
            </w:r>
          </w:p>
        </w:tc>
        <w:tc>
          <w:tcPr>
            <w:tcW w:w="4258" w:type="dxa"/>
            <w:tcBorders>
              <w:bottom w:val="single" w:sz="4" w:space="0" w:color="auto"/>
            </w:tcBorders>
            <w:vAlign w:val="center"/>
          </w:tcPr>
          <w:p w14:paraId="29D33AA1" w14:textId="05D80F5C" w:rsidR="005021C0" w:rsidRPr="009A2BB7" w:rsidRDefault="00473E13">
            <w:pPr>
              <w:widowControl w:val="0"/>
              <w:spacing w:after="0" w:line="240" w:lineRule="auto"/>
              <w:jc w:val="center"/>
              <w:rPr>
                <w:rFonts w:ascii="Times New Roman" w:eastAsia="Calibri" w:hAnsi="Times New Roman" w:cs="Times New Roman"/>
                <w:b/>
              </w:rPr>
            </w:pPr>
            <w:r w:rsidRPr="009A2BB7">
              <w:rPr>
                <w:rFonts w:ascii="Times New Roman" w:eastAsia="Calibri" w:hAnsi="Times New Roman" w:cs="Times New Roman"/>
                <w:b/>
              </w:rPr>
              <w:t>Preliminari vizualizacija</w:t>
            </w:r>
          </w:p>
        </w:tc>
        <w:tc>
          <w:tcPr>
            <w:tcW w:w="850" w:type="dxa"/>
            <w:tcBorders>
              <w:bottom w:val="single" w:sz="4" w:space="0" w:color="auto"/>
            </w:tcBorders>
            <w:vAlign w:val="center"/>
          </w:tcPr>
          <w:p w14:paraId="277D0237" w14:textId="1C7A7627" w:rsidR="005021C0" w:rsidRPr="009A2BB7" w:rsidRDefault="00D539B1">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Kiekis</w:t>
            </w:r>
          </w:p>
        </w:tc>
        <w:tc>
          <w:tcPr>
            <w:tcW w:w="964" w:type="dxa"/>
            <w:tcBorders>
              <w:bottom w:val="single" w:sz="4" w:space="0" w:color="auto"/>
            </w:tcBorders>
            <w:vAlign w:val="center"/>
          </w:tcPr>
          <w:p w14:paraId="01CAB5A7" w14:textId="5A9CD8CA" w:rsidR="005021C0" w:rsidRPr="009A2BB7" w:rsidRDefault="00D539B1">
            <w:pPr>
              <w:widowControl w:val="0"/>
              <w:spacing w:after="0" w:line="240" w:lineRule="auto"/>
              <w:jc w:val="center"/>
              <w:rPr>
                <w:rFonts w:ascii="Times New Roman" w:eastAsia="Calibri" w:hAnsi="Times New Roman" w:cs="Times New Roman"/>
                <w:b/>
              </w:rPr>
            </w:pPr>
            <w:r w:rsidRPr="009A2BB7">
              <w:rPr>
                <w:rFonts w:ascii="Times New Roman" w:eastAsia="Calibri" w:hAnsi="Times New Roman" w:cs="Times New Roman"/>
                <w:b/>
              </w:rPr>
              <w:t>Mato vnt.</w:t>
            </w:r>
          </w:p>
        </w:tc>
        <w:tc>
          <w:tcPr>
            <w:tcW w:w="4089" w:type="dxa"/>
            <w:tcBorders>
              <w:bottom w:val="single" w:sz="4" w:space="0" w:color="auto"/>
            </w:tcBorders>
            <w:vAlign w:val="center"/>
          </w:tcPr>
          <w:p w14:paraId="58A76796" w14:textId="77777777" w:rsidR="005021C0" w:rsidRPr="009A2BB7" w:rsidRDefault="00473E13">
            <w:pPr>
              <w:widowControl w:val="0"/>
              <w:spacing w:after="0" w:line="240" w:lineRule="auto"/>
              <w:jc w:val="center"/>
              <w:rPr>
                <w:rFonts w:ascii="Times New Roman" w:eastAsia="Calibri" w:hAnsi="Times New Roman" w:cs="Times New Roman"/>
                <w:b/>
              </w:rPr>
            </w:pPr>
            <w:r w:rsidRPr="009A2BB7">
              <w:rPr>
                <w:rFonts w:ascii="Times New Roman" w:eastAsia="Calibri" w:hAnsi="Times New Roman" w:cs="Times New Roman"/>
                <w:b/>
              </w:rPr>
              <w:t>Siūloma techninė charakteristika</w:t>
            </w:r>
          </w:p>
        </w:tc>
      </w:tr>
      <w:tr w:rsidR="005021C0" w:rsidRPr="009A2BB7" w14:paraId="153DDF04" w14:textId="77777777" w:rsidTr="00642696">
        <w:trPr>
          <w:trHeight w:val="454"/>
        </w:trPr>
        <w:tc>
          <w:tcPr>
            <w:tcW w:w="738" w:type="dxa"/>
            <w:tcBorders>
              <w:top w:val="single" w:sz="4" w:space="0" w:color="auto"/>
              <w:bottom w:val="single" w:sz="4" w:space="0" w:color="auto"/>
            </w:tcBorders>
          </w:tcPr>
          <w:p w14:paraId="783B5611" w14:textId="47BA84DB" w:rsidR="005021C0" w:rsidRPr="009A2BB7" w:rsidRDefault="006A3B9F" w:rsidP="00325856">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4956" w:type="dxa"/>
            <w:tcBorders>
              <w:top w:val="single" w:sz="4" w:space="0" w:color="auto"/>
              <w:bottom w:val="single" w:sz="4" w:space="0" w:color="auto"/>
              <w:right w:val="nil"/>
            </w:tcBorders>
          </w:tcPr>
          <w:p w14:paraId="64A99A61" w14:textId="3B9041ED" w:rsidR="006A3B9F" w:rsidRDefault="006A3B9F" w:rsidP="0032585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Minkštasuolių komplektas t</w:t>
            </w:r>
            <w:r w:rsidR="008B53C4">
              <w:rPr>
                <w:rFonts w:ascii="Times New Roman" w:eastAsia="Calibri" w:hAnsi="Times New Roman" w:cs="Times New Roman"/>
                <w:color w:val="000000"/>
              </w:rPr>
              <w:t>ur</w:t>
            </w:r>
            <w:r>
              <w:rPr>
                <w:rFonts w:ascii="Times New Roman" w:eastAsia="Calibri" w:hAnsi="Times New Roman" w:cs="Times New Roman"/>
                <w:color w:val="000000"/>
              </w:rPr>
              <w:t>i atitikti tokius reikalavimus:</w:t>
            </w:r>
          </w:p>
          <w:p w14:paraId="7C2F17F1" w14:textId="156AEC7D" w:rsidR="006A3B9F" w:rsidRDefault="006A3B9F" w:rsidP="0032585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Bendras minkštasuolių ilgis -  4</w:t>
            </w:r>
            <w:r w:rsidR="00D84285">
              <w:rPr>
                <w:rFonts w:ascii="Times New Roman" w:eastAsia="Calibri" w:hAnsi="Times New Roman" w:cs="Times New Roman"/>
                <w:color w:val="000000"/>
              </w:rPr>
              <w:t>1</w:t>
            </w:r>
            <w:r>
              <w:rPr>
                <w:rFonts w:ascii="Times New Roman" w:eastAsia="Calibri" w:hAnsi="Times New Roman" w:cs="Times New Roman"/>
                <w:color w:val="000000"/>
              </w:rPr>
              <w:t>00 ± 100 mm;</w:t>
            </w:r>
          </w:p>
          <w:p w14:paraId="6EE2F2E5" w14:textId="7CCEE489" w:rsidR="006A3B9F" w:rsidRDefault="006A3B9F" w:rsidP="0032585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Bendras minkštasuolių plotis – 2100 ± 100 mm;</w:t>
            </w:r>
          </w:p>
          <w:p w14:paraId="1EBFE0F8" w14:textId="1993C21D" w:rsidR="00F45B9A" w:rsidRDefault="006A3B9F" w:rsidP="0032585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Minkštasuolių aukštis – 7</w:t>
            </w:r>
            <w:r w:rsidR="00D84285">
              <w:rPr>
                <w:rFonts w:ascii="Times New Roman" w:eastAsia="Calibri" w:hAnsi="Times New Roman" w:cs="Times New Roman"/>
                <w:color w:val="000000"/>
              </w:rPr>
              <w:t>6</w:t>
            </w:r>
            <w:r>
              <w:rPr>
                <w:rFonts w:ascii="Times New Roman" w:eastAsia="Calibri" w:hAnsi="Times New Roman" w:cs="Times New Roman"/>
                <w:color w:val="000000"/>
              </w:rPr>
              <w:t>0 ± 50 mm;</w:t>
            </w:r>
          </w:p>
          <w:p w14:paraId="23992006" w14:textId="6149AA4B" w:rsidR="009420FA" w:rsidRDefault="009420FA" w:rsidP="0032585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Sėdimosios dalies gylis – apytiksliai 500 mm;</w:t>
            </w:r>
          </w:p>
          <w:p w14:paraId="6FC44EF4" w14:textId="14F5365A" w:rsidR="006A3B9F" w:rsidRDefault="00D84285" w:rsidP="0032585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Atlošo storis ne mažiau 200 mm</w:t>
            </w:r>
            <w:r w:rsidR="006A3B9F">
              <w:rPr>
                <w:rFonts w:ascii="Times New Roman" w:eastAsia="Calibri" w:hAnsi="Times New Roman" w:cs="Times New Roman"/>
                <w:color w:val="000000"/>
              </w:rPr>
              <w:t>.</w:t>
            </w:r>
          </w:p>
          <w:p w14:paraId="2C98CC39" w14:textId="514EE3F8" w:rsidR="00D84285" w:rsidRDefault="00D84285" w:rsidP="00325856">
            <w:pPr>
              <w:pStyle w:val="NoSpacing"/>
              <w:jc w:val="both"/>
              <w:rPr>
                <w:rFonts w:ascii="Times New Roman" w:eastAsia="Calibri" w:hAnsi="Times New Roman" w:cs="Times New Roman"/>
                <w:color w:val="000000"/>
              </w:rPr>
            </w:pPr>
          </w:p>
          <w:p w14:paraId="25C0A3BE" w14:textId="565CEB44" w:rsidR="00D84285" w:rsidRDefault="00D84285" w:rsidP="00D84285">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Minkštasuoliai</w:t>
            </w:r>
            <w:r w:rsidRPr="006A3B9F">
              <w:rPr>
                <w:rFonts w:ascii="Times New Roman" w:eastAsia="Calibri" w:hAnsi="Times New Roman" w:cs="Times New Roman"/>
                <w:color w:val="000000"/>
              </w:rPr>
              <w:t xml:space="preserve"> turi būti aptraukt</w:t>
            </w:r>
            <w:r>
              <w:rPr>
                <w:rFonts w:ascii="Times New Roman" w:eastAsia="Calibri" w:hAnsi="Times New Roman" w:cs="Times New Roman"/>
                <w:color w:val="000000"/>
              </w:rPr>
              <w:t>i</w:t>
            </w:r>
            <w:r w:rsidRPr="006A3B9F">
              <w:rPr>
                <w:rFonts w:ascii="Times New Roman" w:eastAsia="Calibri" w:hAnsi="Times New Roman" w:cs="Times New Roman"/>
                <w:color w:val="000000"/>
              </w:rPr>
              <w:t xml:space="preserve"> tvirtu audiniu</w:t>
            </w:r>
            <w:r>
              <w:rPr>
                <w:rFonts w:ascii="Times New Roman" w:eastAsia="Calibri" w:hAnsi="Times New Roman" w:cs="Times New Roman"/>
                <w:color w:val="000000"/>
              </w:rPr>
              <w:t xml:space="preserve"> (eko-oda)</w:t>
            </w:r>
            <w:r w:rsidRPr="006A3B9F">
              <w:rPr>
                <w:rFonts w:ascii="Times New Roman" w:eastAsia="Calibri" w:hAnsi="Times New Roman" w:cs="Times New Roman"/>
                <w:color w:val="000000"/>
              </w:rPr>
              <w:t xml:space="preserve">, kuris tinkamas viešoms erdvėms. </w:t>
            </w:r>
            <w:r>
              <w:rPr>
                <w:rFonts w:ascii="Times New Roman" w:eastAsia="Calibri" w:hAnsi="Times New Roman" w:cs="Times New Roman"/>
                <w:color w:val="000000"/>
              </w:rPr>
              <w:t>Eko o</w:t>
            </w:r>
            <w:r w:rsidRPr="00D84285">
              <w:rPr>
                <w:rFonts w:ascii="Times New Roman" w:eastAsia="Calibri" w:hAnsi="Times New Roman" w:cs="Times New Roman"/>
                <w:color w:val="000000"/>
              </w:rPr>
              <w:t xml:space="preserve">da </w:t>
            </w:r>
            <w:r>
              <w:rPr>
                <w:rFonts w:ascii="Times New Roman" w:eastAsia="Calibri" w:hAnsi="Times New Roman" w:cs="Times New Roman"/>
                <w:color w:val="000000"/>
              </w:rPr>
              <w:t xml:space="preserve">būti </w:t>
            </w:r>
            <w:r w:rsidRPr="00D84285">
              <w:rPr>
                <w:rFonts w:ascii="Times New Roman" w:eastAsia="Calibri" w:hAnsi="Times New Roman" w:cs="Times New Roman"/>
                <w:color w:val="000000"/>
              </w:rPr>
              <w:t xml:space="preserve">padengta danga, </w:t>
            </w:r>
            <w:r>
              <w:rPr>
                <w:rFonts w:ascii="Times New Roman" w:eastAsia="Calibri" w:hAnsi="Times New Roman" w:cs="Times New Roman"/>
                <w:color w:val="000000"/>
              </w:rPr>
              <w:t xml:space="preserve">kuri </w:t>
            </w:r>
            <w:r w:rsidRPr="00D84285">
              <w:rPr>
                <w:rFonts w:ascii="Times New Roman" w:eastAsia="Calibri" w:hAnsi="Times New Roman" w:cs="Times New Roman"/>
                <w:color w:val="000000"/>
              </w:rPr>
              <w:t>pasižymi antigrybelinėmis, antimikrobinėmis, antibakterinėmis savybėmis. Dilymo atsparumas pagal Martindale testą - &gt;300 000 ciklų, atsparumas UV spinduliams - 1000 val. pagal mėlyną vilnos skalę.</w:t>
            </w:r>
          </w:p>
          <w:p w14:paraId="6A56661F" w14:textId="7AE01655" w:rsidR="00D84285" w:rsidRDefault="00D84285" w:rsidP="00D84285">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6A3B9F">
              <w:rPr>
                <w:rFonts w:ascii="Times New Roman" w:eastAsia="Calibri" w:hAnsi="Times New Roman" w:cs="Times New Roman"/>
                <w:color w:val="000000"/>
              </w:rPr>
              <w:t>Turi būti pasiūlytas audinys iš ne mažiau nei 6 spal</w:t>
            </w:r>
            <w:r w:rsidR="00642696">
              <w:rPr>
                <w:rFonts w:ascii="Times New Roman" w:eastAsia="Calibri" w:hAnsi="Times New Roman" w:cs="Times New Roman"/>
                <w:color w:val="000000"/>
              </w:rPr>
              <w:t>vų paletės.</w:t>
            </w:r>
          </w:p>
          <w:p w14:paraId="5A8C880B" w14:textId="77777777" w:rsidR="00D84285" w:rsidRDefault="00D84285" w:rsidP="00325856">
            <w:pPr>
              <w:pStyle w:val="NoSpacing"/>
              <w:jc w:val="both"/>
              <w:rPr>
                <w:rFonts w:ascii="Times New Roman" w:eastAsia="Calibri" w:hAnsi="Times New Roman" w:cs="Times New Roman"/>
                <w:color w:val="000000"/>
              </w:rPr>
            </w:pPr>
          </w:p>
          <w:p w14:paraId="0A8A184B" w14:textId="1B07201F" w:rsidR="006A3B9F" w:rsidRDefault="006A3B9F" w:rsidP="0032585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Konstrukcija:</w:t>
            </w:r>
          </w:p>
          <w:p w14:paraId="7B67F8F5" w14:textId="3661D4E4" w:rsidR="00D84285" w:rsidRDefault="00D84285" w:rsidP="0032585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 Minkštasuoliai turi būti su atlošais. Išoriniai minkštasuolio kampai turi būti užapvalinti;</w:t>
            </w:r>
          </w:p>
          <w:p w14:paraId="12DF4841" w14:textId="4D58AD10" w:rsidR="006A3B9F" w:rsidRDefault="006A3B9F" w:rsidP="006A3B9F">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004C570B">
              <w:rPr>
                <w:rFonts w:ascii="Times New Roman" w:eastAsia="Calibri" w:hAnsi="Times New Roman" w:cs="Times New Roman"/>
                <w:color w:val="000000"/>
              </w:rPr>
              <w:t>A</w:t>
            </w:r>
            <w:r w:rsidRPr="006A3B9F">
              <w:rPr>
                <w:rFonts w:ascii="Times New Roman" w:eastAsia="Calibri" w:hAnsi="Times New Roman" w:cs="Times New Roman"/>
                <w:color w:val="000000"/>
              </w:rPr>
              <w:t>tlošas turi būti gaminami iš faneros karkaso arba lygiavertės medžiagos</w:t>
            </w:r>
            <w:r w:rsidR="004C570B">
              <w:rPr>
                <w:rFonts w:ascii="Times New Roman" w:eastAsia="Calibri" w:hAnsi="Times New Roman" w:cs="Times New Roman"/>
                <w:color w:val="000000"/>
              </w:rPr>
              <w:t xml:space="preserve"> </w:t>
            </w:r>
            <w:r w:rsidRPr="006A3B9F">
              <w:rPr>
                <w:rFonts w:ascii="Times New Roman" w:eastAsia="Calibri" w:hAnsi="Times New Roman" w:cs="Times New Roman"/>
                <w:color w:val="000000"/>
              </w:rPr>
              <w:t xml:space="preserve">, padengtos poliuretaninio porolono </w:t>
            </w:r>
            <w:r w:rsidR="004C570B" w:rsidRPr="004C570B">
              <w:rPr>
                <w:rFonts w:ascii="Times New Roman" w:eastAsia="Calibri" w:hAnsi="Times New Roman" w:cs="Times New Roman"/>
                <w:color w:val="000000"/>
              </w:rPr>
              <w:t xml:space="preserve">HR5050 (tankis: 48–51 kg / m³) </w:t>
            </w:r>
            <w:r w:rsidRPr="006A3B9F">
              <w:rPr>
                <w:rFonts w:ascii="Times New Roman" w:eastAsia="Calibri" w:hAnsi="Times New Roman" w:cs="Times New Roman"/>
                <w:color w:val="000000"/>
              </w:rPr>
              <w:t>arba lygiavertės medžiago</w:t>
            </w:r>
            <w:r w:rsidR="004C570B">
              <w:rPr>
                <w:rFonts w:ascii="Times New Roman" w:eastAsia="Calibri" w:hAnsi="Times New Roman" w:cs="Times New Roman"/>
                <w:color w:val="000000"/>
              </w:rPr>
              <w:t xml:space="preserve">s. </w:t>
            </w:r>
            <w:r w:rsidR="004C570B" w:rsidRPr="00D84285">
              <w:rPr>
                <w:rFonts w:ascii="Times New Roman" w:eastAsia="Calibri" w:hAnsi="Times New Roman" w:cs="Times New Roman"/>
                <w:color w:val="000000"/>
              </w:rPr>
              <w:t>Nugaros atlošo rėmas</w:t>
            </w:r>
            <w:r w:rsidR="00642696">
              <w:rPr>
                <w:rFonts w:ascii="Times New Roman" w:eastAsia="Calibri" w:hAnsi="Times New Roman" w:cs="Times New Roman"/>
                <w:color w:val="000000"/>
              </w:rPr>
              <w:t xml:space="preserve"> suformuotas</w:t>
            </w:r>
            <w:r w:rsidR="004C570B" w:rsidRPr="00D84285">
              <w:rPr>
                <w:rFonts w:ascii="Times New Roman" w:eastAsia="Calibri" w:hAnsi="Times New Roman" w:cs="Times New Roman"/>
                <w:color w:val="000000"/>
              </w:rPr>
              <w:t xml:space="preserve"> patogiam sėdėjimui užtikrinti</w:t>
            </w:r>
            <w:r w:rsidR="00642696">
              <w:rPr>
                <w:rFonts w:ascii="Times New Roman" w:eastAsia="Calibri" w:hAnsi="Times New Roman" w:cs="Times New Roman"/>
                <w:color w:val="000000"/>
              </w:rPr>
              <w:t>. Atlošas aptrauktas – eko-oda.</w:t>
            </w:r>
          </w:p>
          <w:p w14:paraId="00E65AE4" w14:textId="48A90AB5" w:rsidR="00D84285" w:rsidRDefault="00D84285" w:rsidP="006A3B9F">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D84285">
              <w:rPr>
                <w:rFonts w:ascii="Times New Roman" w:eastAsia="Calibri" w:hAnsi="Times New Roman" w:cs="Times New Roman"/>
                <w:color w:val="000000"/>
              </w:rPr>
              <w:t>Sėdimosios dalies karkasas turi būti pagamintas iš LMDP arba lygiaverčio</w:t>
            </w:r>
            <w:r>
              <w:rPr>
                <w:rFonts w:ascii="Times New Roman" w:eastAsia="Calibri" w:hAnsi="Times New Roman" w:cs="Times New Roman"/>
                <w:color w:val="000000"/>
              </w:rPr>
              <w:t xml:space="preserve">, </w:t>
            </w:r>
            <w:r w:rsidRPr="006A3B9F">
              <w:rPr>
                <w:rFonts w:ascii="Times New Roman" w:eastAsia="Calibri" w:hAnsi="Times New Roman" w:cs="Times New Roman"/>
                <w:color w:val="000000"/>
              </w:rPr>
              <w:t>padengtos poliuretaninio porolono</w:t>
            </w:r>
            <w:r w:rsidR="004C570B">
              <w:t xml:space="preserve"> </w:t>
            </w:r>
            <w:r w:rsidR="004C570B" w:rsidRPr="004C570B">
              <w:rPr>
                <w:rFonts w:ascii="Times New Roman" w:eastAsia="Calibri" w:hAnsi="Times New Roman" w:cs="Times New Roman"/>
                <w:color w:val="000000"/>
              </w:rPr>
              <w:t>HR3030 arba lygiavertis (tankis: 28–32 kg / m³)</w:t>
            </w:r>
            <w:r w:rsidR="004C570B">
              <w:t xml:space="preserve"> </w:t>
            </w:r>
            <w:r w:rsidRPr="006A3B9F">
              <w:rPr>
                <w:rFonts w:ascii="Times New Roman" w:eastAsia="Calibri" w:hAnsi="Times New Roman" w:cs="Times New Roman"/>
                <w:color w:val="000000"/>
              </w:rPr>
              <w:t>arba lygiavertės medžiago</w:t>
            </w:r>
            <w:r>
              <w:rPr>
                <w:rFonts w:ascii="Times New Roman" w:eastAsia="Calibri" w:hAnsi="Times New Roman" w:cs="Times New Roman"/>
                <w:color w:val="000000"/>
              </w:rPr>
              <w:t>s</w:t>
            </w:r>
            <w:r w:rsidRPr="00D84285">
              <w:rPr>
                <w:rFonts w:ascii="Times New Roman" w:eastAsia="Calibri" w:hAnsi="Times New Roman" w:cs="Times New Roman"/>
                <w:color w:val="000000"/>
              </w:rPr>
              <w:t xml:space="preserve">, aptrauktas </w:t>
            </w:r>
            <w:r w:rsidR="00642696">
              <w:rPr>
                <w:rFonts w:ascii="Times New Roman" w:eastAsia="Calibri" w:hAnsi="Times New Roman" w:cs="Times New Roman"/>
                <w:color w:val="000000"/>
              </w:rPr>
              <w:t>eko-oda</w:t>
            </w:r>
            <w:r>
              <w:rPr>
                <w:rFonts w:ascii="Times New Roman" w:eastAsia="Calibri" w:hAnsi="Times New Roman" w:cs="Times New Roman"/>
                <w:color w:val="000000"/>
              </w:rPr>
              <w:t>.</w:t>
            </w:r>
          </w:p>
          <w:p w14:paraId="45E50E10" w14:textId="77777777" w:rsidR="00642696" w:rsidRDefault="00642696" w:rsidP="0064269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642696">
              <w:rPr>
                <w:rFonts w:ascii="Times New Roman" w:eastAsia="Calibri" w:hAnsi="Times New Roman" w:cs="Times New Roman"/>
                <w:color w:val="000000"/>
              </w:rPr>
              <w:t>Minkštasuolis turi turėti metalinį rėmą, į k</w:t>
            </w:r>
            <w:r>
              <w:rPr>
                <w:rFonts w:ascii="Times New Roman" w:eastAsia="Calibri" w:hAnsi="Times New Roman" w:cs="Times New Roman"/>
                <w:color w:val="000000"/>
              </w:rPr>
              <w:t>urį tvirtinasi metalinės kojos</w:t>
            </w:r>
            <w:r>
              <w:t xml:space="preserve"> </w:t>
            </w:r>
            <w:r w:rsidRPr="00642696">
              <w:rPr>
                <w:rFonts w:ascii="Times New Roman" w:eastAsia="Calibri" w:hAnsi="Times New Roman" w:cs="Times New Roman"/>
                <w:color w:val="000000"/>
              </w:rPr>
              <w:t xml:space="preserve">ir kurių padas su apsauga nuo </w:t>
            </w:r>
            <w:r>
              <w:rPr>
                <w:rFonts w:ascii="Times New Roman" w:eastAsia="Calibri" w:hAnsi="Times New Roman" w:cs="Times New Roman"/>
                <w:color w:val="000000"/>
              </w:rPr>
              <w:t>grindų braižymo.</w:t>
            </w:r>
          </w:p>
          <w:p w14:paraId="444F99CB" w14:textId="77777777" w:rsidR="00D84285" w:rsidRDefault="00642696" w:rsidP="0064269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 </w:t>
            </w:r>
            <w:r w:rsidR="006A3B9F" w:rsidRPr="006A3B9F">
              <w:rPr>
                <w:rFonts w:ascii="Times New Roman" w:eastAsia="Calibri" w:hAnsi="Times New Roman" w:cs="Times New Roman"/>
                <w:color w:val="000000"/>
              </w:rPr>
              <w:t>Minkštasuoli</w:t>
            </w:r>
            <w:r w:rsidR="006A3B9F">
              <w:rPr>
                <w:rFonts w:ascii="Times New Roman" w:eastAsia="Calibri" w:hAnsi="Times New Roman" w:cs="Times New Roman"/>
                <w:color w:val="000000"/>
              </w:rPr>
              <w:t>ai tarpusavyje</w:t>
            </w:r>
            <w:r w:rsidR="006A3B9F" w:rsidRPr="006A3B9F">
              <w:rPr>
                <w:rFonts w:ascii="Times New Roman" w:eastAsia="Calibri" w:hAnsi="Times New Roman" w:cs="Times New Roman"/>
                <w:color w:val="000000"/>
              </w:rPr>
              <w:t xml:space="preserve"> turi turėti galimybę jungtis metalinėmis plokštelėmis su kitais moduliniais minkštasuoliais</w:t>
            </w:r>
            <w:r>
              <w:rPr>
                <w:rFonts w:ascii="Times New Roman" w:eastAsia="Calibri" w:hAnsi="Times New Roman" w:cs="Times New Roman"/>
                <w:color w:val="000000"/>
              </w:rPr>
              <w:t>;</w:t>
            </w:r>
          </w:p>
          <w:p w14:paraId="4046A0CF" w14:textId="1E1A5140" w:rsidR="00642696" w:rsidRDefault="00642696" w:rsidP="00642696">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642696">
              <w:rPr>
                <w:rFonts w:ascii="Times New Roman" w:eastAsia="Calibri" w:hAnsi="Times New Roman" w:cs="Times New Roman"/>
                <w:color w:val="000000"/>
              </w:rPr>
              <w:t xml:space="preserve">Baldas turi būti stabilus, konstrukcija sumontuota taip, kad užtikrintų </w:t>
            </w:r>
            <w:r>
              <w:rPr>
                <w:rFonts w:ascii="Times New Roman" w:eastAsia="Calibri" w:hAnsi="Times New Roman" w:cs="Times New Roman"/>
                <w:color w:val="000000"/>
              </w:rPr>
              <w:t>ilgalaikį, bei patogų naudojimą;</w:t>
            </w:r>
          </w:p>
          <w:p w14:paraId="1F35EAA0" w14:textId="4F98E726" w:rsidR="00642696" w:rsidRPr="009A2BB7" w:rsidRDefault="00642696" w:rsidP="00FC4ADB">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642696">
              <w:rPr>
                <w:rFonts w:ascii="Times New Roman" w:eastAsia="Calibri" w:hAnsi="Times New Roman" w:cs="Times New Roman"/>
                <w:color w:val="000000"/>
              </w:rPr>
              <w:t>Tikslūs baldo matmenys, konstrukcija ir spalvos derinami su užsakovu.</w:t>
            </w:r>
          </w:p>
        </w:tc>
        <w:tc>
          <w:tcPr>
            <w:tcW w:w="4258" w:type="dxa"/>
            <w:tcBorders>
              <w:top w:val="single" w:sz="4" w:space="0" w:color="auto"/>
              <w:bottom w:val="single" w:sz="4" w:space="0" w:color="auto"/>
            </w:tcBorders>
          </w:tcPr>
          <w:p w14:paraId="7276AC60" w14:textId="3B2F8DFC" w:rsidR="005021C0" w:rsidRPr="00325856" w:rsidRDefault="009D20F4" w:rsidP="00325856">
            <w:pPr>
              <w:widowControl w:val="0"/>
              <w:tabs>
                <w:tab w:val="left" w:pos="142"/>
              </w:tabs>
              <w:spacing w:after="0" w:line="240" w:lineRule="auto"/>
              <w:jc w:val="both"/>
              <w:rPr>
                <w:rFonts w:ascii="Times New Roman" w:eastAsia="Calibri" w:hAnsi="Times New Roman" w:cs="Times New Roman"/>
                <w:b/>
              </w:rPr>
            </w:pPr>
            <w:r>
              <w:rPr>
                <w:noProof/>
                <w:lang w:eastAsia="lt-LT"/>
              </w:rPr>
              <w:lastRenderedPageBreak/>
              <w:drawing>
                <wp:anchor distT="0" distB="0" distL="114300" distR="114300" simplePos="0" relativeHeight="251658240" behindDoc="0" locked="0" layoutInCell="1" allowOverlap="1" wp14:anchorId="675DD844" wp14:editId="0FA3CD53">
                  <wp:simplePos x="0" y="0"/>
                  <wp:positionH relativeFrom="column">
                    <wp:posOffset>46355</wp:posOffset>
                  </wp:positionH>
                  <wp:positionV relativeFrom="paragraph">
                    <wp:posOffset>163195</wp:posOffset>
                  </wp:positionV>
                  <wp:extent cx="2482704" cy="3229610"/>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482704" cy="3229610"/>
                          </a:xfrm>
                          <a:prstGeom prst="rect">
                            <a:avLst/>
                          </a:prstGeom>
                        </pic:spPr>
                      </pic:pic>
                    </a:graphicData>
                  </a:graphic>
                  <wp14:sizeRelH relativeFrom="margin">
                    <wp14:pctWidth>0</wp14:pctWidth>
                  </wp14:sizeRelH>
                  <wp14:sizeRelV relativeFrom="margin">
                    <wp14:pctHeight>0</wp14:pctHeight>
                  </wp14:sizeRelV>
                </wp:anchor>
              </w:drawing>
            </w:r>
          </w:p>
        </w:tc>
        <w:tc>
          <w:tcPr>
            <w:tcW w:w="850" w:type="dxa"/>
            <w:tcBorders>
              <w:top w:val="single" w:sz="4" w:space="0" w:color="auto"/>
              <w:bottom w:val="single" w:sz="4" w:space="0" w:color="auto"/>
            </w:tcBorders>
          </w:tcPr>
          <w:p w14:paraId="54BB5590" w14:textId="1A08A792" w:rsidR="005021C0" w:rsidRPr="009A2BB7" w:rsidRDefault="009D20F4">
            <w:pPr>
              <w:widowControl w:val="0"/>
              <w:spacing w:after="0" w:line="240" w:lineRule="auto"/>
              <w:jc w:val="center"/>
              <w:rPr>
                <w:rFonts w:ascii="Times New Roman" w:hAnsi="Times New Roman" w:cs="Times New Roman"/>
              </w:rPr>
            </w:pPr>
            <w:r>
              <w:rPr>
                <w:rFonts w:ascii="Times New Roman" w:hAnsi="Times New Roman" w:cs="Times New Roman"/>
              </w:rPr>
              <w:t>2</w:t>
            </w:r>
          </w:p>
        </w:tc>
        <w:tc>
          <w:tcPr>
            <w:tcW w:w="964" w:type="dxa"/>
            <w:tcBorders>
              <w:top w:val="single" w:sz="4" w:space="0" w:color="auto"/>
              <w:bottom w:val="single" w:sz="4" w:space="0" w:color="auto"/>
            </w:tcBorders>
          </w:tcPr>
          <w:p w14:paraId="5562DE72" w14:textId="10C7EF26" w:rsidR="005021C0" w:rsidRPr="009A2BB7" w:rsidRDefault="009D20F4">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Kompl.</w:t>
            </w:r>
          </w:p>
        </w:tc>
        <w:tc>
          <w:tcPr>
            <w:tcW w:w="4089" w:type="dxa"/>
            <w:tcBorders>
              <w:top w:val="single" w:sz="4" w:space="0" w:color="auto"/>
              <w:bottom w:val="single" w:sz="4" w:space="0" w:color="auto"/>
            </w:tcBorders>
          </w:tcPr>
          <w:p w14:paraId="4CFCB1CD" w14:textId="715906DE" w:rsidR="005021C0" w:rsidRPr="009A2BB7" w:rsidRDefault="005021C0" w:rsidP="00325856">
            <w:pPr>
              <w:widowControl w:val="0"/>
              <w:spacing w:after="0" w:line="240" w:lineRule="auto"/>
              <w:jc w:val="both"/>
              <w:rPr>
                <w:rFonts w:ascii="Times New Roman" w:eastAsia="Calibri" w:hAnsi="Times New Roman" w:cs="Times New Roman"/>
              </w:rPr>
            </w:pPr>
          </w:p>
        </w:tc>
      </w:tr>
    </w:tbl>
    <w:p w14:paraId="1B53C0DF" w14:textId="56DBD77E" w:rsidR="00144BA9" w:rsidRPr="00DE6376" w:rsidRDefault="00144BA9">
      <w:pPr>
        <w:spacing w:after="120"/>
        <w:jc w:val="both"/>
        <w:rPr>
          <w:rFonts w:ascii="Times New Roman" w:hAnsi="Times New Roman" w:cs="Times New Roman"/>
          <w:bCs/>
          <w:color w:val="000000"/>
        </w:rPr>
      </w:pPr>
    </w:p>
    <w:p w14:paraId="52B8F7F5" w14:textId="05785C63" w:rsidR="00C605FB" w:rsidRPr="00C605FB" w:rsidRDefault="004D7D53" w:rsidP="00C605FB">
      <w:pPr>
        <w:spacing w:after="120"/>
        <w:jc w:val="both"/>
        <w:rPr>
          <w:rFonts w:ascii="Times New Roman" w:hAnsi="Times New Roman" w:cs="Times New Roman"/>
        </w:rPr>
      </w:pPr>
      <w:r w:rsidRPr="009A2BB7">
        <w:rPr>
          <w:rFonts w:ascii="Times New Roman" w:hAnsi="Times New Roman" w:cs="Times New Roman"/>
        </w:rPr>
        <w:t>BENDRIEJI REIKALAVIMAI</w:t>
      </w:r>
      <w:r w:rsidR="00DE6376">
        <w:rPr>
          <w:rFonts w:ascii="Times New Roman" w:hAnsi="Times New Roman" w:cs="Times New Roman"/>
        </w:rPr>
        <w:t>:</w:t>
      </w:r>
    </w:p>
    <w:p w14:paraId="6096CB3B" w14:textId="5999B437" w:rsidR="00C605FB" w:rsidRDefault="00C605FB" w:rsidP="00C605FB">
      <w:pPr>
        <w:pStyle w:val="ListParagraph"/>
        <w:widowControl w:val="0"/>
        <w:numPr>
          <w:ilvl w:val="0"/>
          <w:numId w:val="3"/>
        </w:numPr>
        <w:spacing w:after="0" w:line="240" w:lineRule="auto"/>
        <w:ind w:hanging="357"/>
        <w:contextualSpacing w:val="0"/>
        <w:jc w:val="both"/>
        <w:rPr>
          <w:rFonts w:ascii="Times New Roman" w:hAnsi="Times New Roman" w:cs="Times New Roman"/>
        </w:rPr>
      </w:pPr>
      <w:r>
        <w:rPr>
          <w:rFonts w:ascii="Times New Roman" w:hAnsi="Times New Roman" w:cs="Times New Roman"/>
        </w:rPr>
        <w:t>Tiekėjas prieš baldų gamybą privalo atvykti į Užsakovo nurodytą vietą ir atlikti galutinį tikslių matmenų išmatavimą vietoje. Su Užsakovu, turi būti suderinta:</w:t>
      </w:r>
    </w:p>
    <w:p w14:paraId="13FF839B" w14:textId="77777777" w:rsidR="00C605FB" w:rsidRDefault="00C605FB" w:rsidP="00C605FB">
      <w:pPr>
        <w:pStyle w:val="ListParagraph"/>
        <w:widowControl w:val="0"/>
        <w:numPr>
          <w:ilvl w:val="0"/>
          <w:numId w:val="4"/>
        </w:numPr>
        <w:spacing w:after="0" w:line="240" w:lineRule="auto"/>
        <w:ind w:hanging="357"/>
        <w:contextualSpacing w:val="0"/>
        <w:jc w:val="both"/>
        <w:rPr>
          <w:rFonts w:ascii="Times New Roman" w:hAnsi="Times New Roman" w:cs="Times New Roman"/>
        </w:rPr>
      </w:pPr>
      <w:r>
        <w:rPr>
          <w:rFonts w:ascii="Times New Roman" w:hAnsi="Times New Roman" w:cs="Times New Roman"/>
        </w:rPr>
        <w:t>Tiksli baldų ir komplektuojančių dalių spalva;</w:t>
      </w:r>
    </w:p>
    <w:p w14:paraId="6E7BF147" w14:textId="77777777" w:rsidR="00C605FB" w:rsidRDefault="00C605FB" w:rsidP="00C605FB">
      <w:pPr>
        <w:pStyle w:val="ListParagraph"/>
        <w:widowControl w:val="0"/>
        <w:numPr>
          <w:ilvl w:val="0"/>
          <w:numId w:val="4"/>
        </w:numPr>
        <w:spacing w:after="0" w:line="240" w:lineRule="auto"/>
        <w:ind w:hanging="357"/>
        <w:contextualSpacing w:val="0"/>
        <w:jc w:val="both"/>
        <w:rPr>
          <w:rFonts w:ascii="Times New Roman" w:hAnsi="Times New Roman" w:cs="Times New Roman"/>
        </w:rPr>
      </w:pPr>
      <w:r>
        <w:rPr>
          <w:rFonts w:ascii="Times New Roman" w:hAnsi="Times New Roman" w:cs="Times New Roman"/>
        </w:rPr>
        <w:t>Kiti klausimai.</w:t>
      </w:r>
    </w:p>
    <w:p w14:paraId="23E42F0D" w14:textId="77777777" w:rsidR="00C605FB" w:rsidRDefault="00C605FB" w:rsidP="00C605FB">
      <w:pPr>
        <w:widowControl w:val="0"/>
        <w:spacing w:after="0" w:line="240" w:lineRule="auto"/>
        <w:ind w:left="723"/>
        <w:jc w:val="both"/>
        <w:rPr>
          <w:rFonts w:ascii="Times New Roman" w:hAnsi="Times New Roman" w:cs="Times New Roman"/>
        </w:rPr>
      </w:pPr>
      <w:r>
        <w:rPr>
          <w:rFonts w:ascii="Times New Roman" w:hAnsi="Times New Roman" w:cs="Times New Roman"/>
        </w:rPr>
        <w:t>Visi baldai, jų komplektuojančios dalys turi būti nauji, nenaudoti.</w:t>
      </w:r>
    </w:p>
    <w:p w14:paraId="46E57D82" w14:textId="3DB93D8E" w:rsidR="00C605FB" w:rsidRDefault="00C605FB" w:rsidP="004603EE">
      <w:pPr>
        <w:pStyle w:val="ListParagraph"/>
        <w:widowControl w:val="0"/>
        <w:numPr>
          <w:ilvl w:val="0"/>
          <w:numId w:val="3"/>
        </w:numPr>
        <w:spacing w:before="120" w:after="120" w:line="240" w:lineRule="auto"/>
        <w:contextualSpacing w:val="0"/>
        <w:jc w:val="both"/>
        <w:rPr>
          <w:rFonts w:ascii="Times New Roman" w:hAnsi="Times New Roman" w:cs="Times New Roman"/>
        </w:rPr>
      </w:pPr>
      <w:r w:rsidRPr="00C605FB">
        <w:rPr>
          <w:rFonts w:ascii="Times New Roman" w:hAnsi="Times New Roman" w:cs="Times New Roman"/>
        </w:rPr>
        <w:t>Techninėje specifikacijoje nurodytų reikalavimų baldų savybėms bei matmenims būtina laikytis. Leistinas tik tobulesnės konstrukcijos ir geresnių baldinių medžiagų panaudojimas vietoje nurodytų specifikacijoje, t.y. pagaminamas baldas turėtų būti lygiavertis tam, kurio aprašas pateikiamas.</w:t>
      </w:r>
    </w:p>
    <w:p w14:paraId="6DA91F79" w14:textId="77777777" w:rsidR="005351F1" w:rsidRPr="009A2BB7" w:rsidRDefault="005351F1" w:rsidP="004603EE">
      <w:pPr>
        <w:pStyle w:val="ListParagraph"/>
        <w:widowControl w:val="0"/>
        <w:numPr>
          <w:ilvl w:val="0"/>
          <w:numId w:val="3"/>
        </w:numPr>
        <w:spacing w:after="120" w:line="240" w:lineRule="auto"/>
        <w:contextualSpacing w:val="0"/>
        <w:jc w:val="both"/>
        <w:rPr>
          <w:rFonts w:ascii="Times New Roman" w:hAnsi="Times New Roman" w:cs="Times New Roman"/>
        </w:rPr>
      </w:pPr>
      <w:r w:rsidRPr="009A2BB7">
        <w:rPr>
          <w:rFonts w:ascii="Times New Roman" w:hAnsi="Times New Roman" w:cs="Times New Roman"/>
        </w:rPr>
        <w:t xml:space="preserve">Atsižvelgiant į specifinę baldų naudojimo vietą (gydymo įstaiga), baldai estetine ir higienos prasme turi atitikti jų paskirtį. Siekiant, kad baldai darniai papildytų jau esamą ar formuojamą patalpų interjerą, pageidautina, kad baldai tarpusavy derėtų (spalvų, formos ir kt. prasme) ir pilnai apstatyta patalpa sudarytų vieningą visumą. Baldams naudojamų medžiagų spalvos, faktūra ir medžiagos gamybos metu turi būti derinami su konkrečiu užsakovu. </w:t>
      </w:r>
    </w:p>
    <w:p w14:paraId="0C29507C" w14:textId="4FE94901" w:rsidR="005351F1" w:rsidRPr="009A2BB7" w:rsidRDefault="005351F1" w:rsidP="004603EE">
      <w:pPr>
        <w:pStyle w:val="ListParagraph"/>
        <w:widowControl w:val="0"/>
        <w:numPr>
          <w:ilvl w:val="0"/>
          <w:numId w:val="3"/>
        </w:numPr>
        <w:spacing w:after="120" w:line="240" w:lineRule="auto"/>
        <w:contextualSpacing w:val="0"/>
        <w:jc w:val="both"/>
        <w:rPr>
          <w:rFonts w:ascii="Times New Roman" w:hAnsi="Times New Roman" w:cs="Times New Roman"/>
        </w:rPr>
      </w:pPr>
      <w:r w:rsidRPr="009A2BB7">
        <w:rPr>
          <w:rFonts w:ascii="Times New Roman" w:hAnsi="Times New Roman" w:cs="Times New Roman"/>
        </w:rPr>
        <w:t xml:space="preserve">Baldai turi būti suprojektuoti laikantis ergonomikos principų. Jie turi būti patogūs, o konstrukcija apgalvota ir leidžianti pritaikyti baldus įvairiai grupuoti ir keisti vietos konfigūraciją. </w:t>
      </w:r>
    </w:p>
    <w:p w14:paraId="28014B56" w14:textId="77777777" w:rsidR="005351F1" w:rsidRPr="009A2BB7" w:rsidRDefault="005351F1" w:rsidP="004603EE">
      <w:pPr>
        <w:pStyle w:val="ListParagraph"/>
        <w:widowControl w:val="0"/>
        <w:numPr>
          <w:ilvl w:val="0"/>
          <w:numId w:val="3"/>
        </w:numPr>
        <w:spacing w:after="120" w:line="240" w:lineRule="auto"/>
        <w:contextualSpacing w:val="0"/>
        <w:jc w:val="both"/>
        <w:rPr>
          <w:rFonts w:ascii="Times New Roman" w:hAnsi="Times New Roman" w:cs="Times New Roman"/>
        </w:rPr>
      </w:pPr>
      <w:r w:rsidRPr="009A2BB7">
        <w:rPr>
          <w:rFonts w:ascii="Times New Roman" w:hAnsi="Times New Roman" w:cs="Times New Roman"/>
        </w:rPr>
        <w:t xml:space="preserve">Baldai, jų sudėtinės dalys ir gamyboje numatomos naudoti baldinės medžiagos ir furnitūra turi atitikti nustatytus Lietuvos Respublikoje rodiklius (saugos, pastovumo, ilgaamžiškumo ir nekenksmingumo), atsižvelgiant į baldų rūšį ar medžiagą ir naudojimo sferą. Baldo savybės turi tenkinti „darboviečių, viešbučių ir kitų baldų“ kategorijai nustatytas privalomųjų rodiklių vertes. </w:t>
      </w:r>
    </w:p>
    <w:p w14:paraId="54B3F51D" w14:textId="11533C11" w:rsidR="005351F1" w:rsidRDefault="005351F1" w:rsidP="004603EE">
      <w:pPr>
        <w:pStyle w:val="ListParagraph"/>
        <w:widowControl w:val="0"/>
        <w:numPr>
          <w:ilvl w:val="0"/>
          <w:numId w:val="3"/>
        </w:numPr>
        <w:spacing w:after="120" w:line="240" w:lineRule="auto"/>
        <w:contextualSpacing w:val="0"/>
        <w:jc w:val="both"/>
        <w:rPr>
          <w:rFonts w:ascii="Times New Roman" w:hAnsi="Times New Roman" w:cs="Times New Roman"/>
        </w:rPr>
      </w:pPr>
      <w:r w:rsidRPr="009A2BB7">
        <w:rPr>
          <w:rFonts w:ascii="Times New Roman" w:hAnsi="Times New Roman" w:cs="Times New Roman"/>
        </w:rPr>
        <w:t>Perkančioji organizacija, esant būtinybei, pasilieka teisę prašyti konkurso dalyvio papildomai pateikti reikalingus dokumentų (deklaracijų, sertifikatų, garantijų) nuorašus, iš kurių galėtų įsitikinti baldų atitiktimi šioje Techninėje specifikacijoje reikalaujamoms kiekybinėms ir kokybinėms baldų ir jų sudėtinių dalių charakteristikoms.</w:t>
      </w:r>
    </w:p>
    <w:p w14:paraId="41340F66" w14:textId="07BCD1D1" w:rsidR="00D00CD4" w:rsidRPr="009A2BB7" w:rsidRDefault="00D00CD4" w:rsidP="004603EE">
      <w:pPr>
        <w:pStyle w:val="ListParagraph"/>
        <w:widowControl w:val="0"/>
        <w:numPr>
          <w:ilvl w:val="0"/>
          <w:numId w:val="3"/>
        </w:numPr>
        <w:spacing w:after="120" w:line="240" w:lineRule="auto"/>
        <w:contextualSpacing w:val="0"/>
        <w:jc w:val="both"/>
        <w:rPr>
          <w:rFonts w:ascii="Times New Roman" w:hAnsi="Times New Roman" w:cs="Times New Roman"/>
        </w:rPr>
      </w:pPr>
      <w:r w:rsidRPr="00206801">
        <w:rPr>
          <w:rFonts w:ascii="Times New Roman" w:hAnsi="Times New Roman" w:cs="Times New Roman"/>
        </w:rPr>
        <w:t>Pirkimui taikomi aplinkosaugos reikalavimai /„žalio“ pirkimo kriterijai  nurodyti 2011 m. birželio 28 d. Lietuvos Respublikos aplinkos ministro įsakymo Nr. D1-508 „Dėl aplinkos apsaugos kriterijų taikymo, vykdant žaliuosius pirkimus, tvarkos aprašo patvirtinimo“ (toliau – Tvarkos aprašas) (įsakymas paskelbtas Žin. 2011, Nr. 84-4110, i. k. 111301MISAK00D1-508; nauja redakcija nuo 2023-01-01, Nr. D1-401, 2022-12-13, paskelbta TAR 2022-12-13, i. k. 2022-25384) 4.1 papunktyje, kad yra produktų, kurių viešiesiems pirkimams ir pirkimams taikytini minimalūs aplinkos apsaugos kriterijai, sąraše, nurodytame Tvarkos aprašo 1 priede, sąrašo Nr. 7 Baldai ir atitinka visus produktui nustatytus ir aplinkos ministro įsakymu patvirtintus minimalius aplinkos apsaugos kriterijus, nurodytus 2 priedo VII skyriuje Baldai</w:t>
      </w:r>
    </w:p>
    <w:p w14:paraId="16CF2F55" w14:textId="3E9301B3" w:rsidR="005351F1" w:rsidRDefault="005351F1" w:rsidP="004603EE">
      <w:pPr>
        <w:pStyle w:val="ListParagraph"/>
        <w:widowControl w:val="0"/>
        <w:numPr>
          <w:ilvl w:val="0"/>
          <w:numId w:val="3"/>
        </w:numPr>
        <w:spacing w:after="120" w:line="240" w:lineRule="auto"/>
        <w:contextualSpacing w:val="0"/>
        <w:jc w:val="both"/>
        <w:rPr>
          <w:rFonts w:ascii="Times New Roman" w:hAnsi="Times New Roman" w:cs="Times New Roman"/>
        </w:rPr>
      </w:pPr>
      <w:r w:rsidRPr="009A2BB7">
        <w:rPr>
          <w:rFonts w:ascii="Times New Roman" w:hAnsi="Times New Roman" w:cs="Times New Roman"/>
        </w:rPr>
        <w:t xml:space="preserve">Baldų paviršius turi būti galima valyti ir dezinfekuoti, naudojant žemo lygio cheminės dezinfekcijos mišinius (preparatus). Baldų konstrukciniai sprendimai turi leisti juos išardyti ir vėl surinkti nepažeidžiant plokštės tvirtinimo vietoje (neturi atšokti apdailos sluoksnis ar likti drožlių pėdsakų), nesugadinant sujungimų ir furnitūros. </w:t>
      </w:r>
    </w:p>
    <w:p w14:paraId="28B517F4" w14:textId="43A28DAB" w:rsidR="00C605FB" w:rsidRDefault="00C605FB" w:rsidP="004603EE">
      <w:pPr>
        <w:pStyle w:val="ListParagraph"/>
        <w:widowControl w:val="0"/>
        <w:numPr>
          <w:ilvl w:val="0"/>
          <w:numId w:val="3"/>
        </w:numPr>
        <w:spacing w:after="120" w:line="240" w:lineRule="auto"/>
        <w:contextualSpacing w:val="0"/>
        <w:jc w:val="both"/>
        <w:rPr>
          <w:rFonts w:ascii="Times New Roman" w:hAnsi="Times New Roman" w:cs="Times New Roman"/>
        </w:rPr>
      </w:pPr>
      <w:r w:rsidRPr="00C605FB">
        <w:rPr>
          <w:rFonts w:ascii="Times New Roman" w:hAnsi="Times New Roman" w:cs="Times New Roman"/>
        </w:rPr>
        <w:t>Pagaminti baldai turi būti pateikiami su visais varžtais, bei kitais priedais ar furnitūra, reikalingais tinkamai sumontuoti ir eksploatuoti baldus.</w:t>
      </w:r>
    </w:p>
    <w:p w14:paraId="4023F601" w14:textId="7FA74458" w:rsidR="00C605FB" w:rsidRPr="00C605FB" w:rsidRDefault="00C605FB" w:rsidP="004603EE">
      <w:pPr>
        <w:pStyle w:val="ListParagraph"/>
        <w:widowControl w:val="0"/>
        <w:numPr>
          <w:ilvl w:val="0"/>
          <w:numId w:val="3"/>
        </w:numPr>
        <w:spacing w:before="120" w:after="120" w:line="240" w:lineRule="auto"/>
        <w:contextualSpacing w:val="0"/>
        <w:jc w:val="both"/>
        <w:rPr>
          <w:rFonts w:ascii="Times New Roman" w:hAnsi="Times New Roman" w:cs="Times New Roman"/>
        </w:rPr>
      </w:pPr>
      <w:r w:rsidRPr="00C605FB">
        <w:rPr>
          <w:rFonts w:ascii="Times New Roman" w:hAnsi="Times New Roman" w:cs="Times New Roman"/>
        </w:rPr>
        <w:lastRenderedPageBreak/>
        <w:t>Baldai turi būti pagaminti, pristatyti ir sumontuoti Tiekėjo lėšomis į Kauno klinikų nurodytą vietą. Prekių pristatymo ir sumontavimo metu susidariusias atliekas, pakavimo medžiagas ir / arba tarą Tiekėjas turi išvežti savo jėgomis.</w:t>
      </w:r>
    </w:p>
    <w:p w14:paraId="25578288" w14:textId="1E168858" w:rsidR="005351F1" w:rsidRDefault="005351F1" w:rsidP="004603EE">
      <w:pPr>
        <w:pStyle w:val="ListParagraph"/>
        <w:widowControl w:val="0"/>
        <w:numPr>
          <w:ilvl w:val="0"/>
          <w:numId w:val="3"/>
        </w:numPr>
        <w:spacing w:after="120" w:line="240" w:lineRule="auto"/>
        <w:contextualSpacing w:val="0"/>
        <w:jc w:val="both"/>
        <w:rPr>
          <w:rFonts w:ascii="Times New Roman" w:hAnsi="Times New Roman" w:cs="Times New Roman"/>
        </w:rPr>
      </w:pPr>
      <w:r w:rsidRPr="009A2BB7">
        <w:rPr>
          <w:rFonts w:ascii="Times New Roman" w:hAnsi="Times New Roman" w:cs="Times New Roman"/>
        </w:rPr>
        <w:t>Baldams kokybės (tiekėjų) garantijos terminas turi būti ne trumpesnis nei 24 mėnesiai. Pardavėjo informacija apie prekės kokybės (tiekėjų) garantijos terminą turi būti pateikta raštu valstybine kalba. Garantijos galiojimo terminas pradedamas skaičiuoti nuo prekių perdavimo konkrečiam užsakovui dienos juos pilnai sumontavus.</w:t>
      </w:r>
    </w:p>
    <w:p w14:paraId="280FC0F1" w14:textId="77777777" w:rsidR="00B706CF" w:rsidRPr="00B706CF" w:rsidRDefault="00B706CF" w:rsidP="00B706CF">
      <w:pPr>
        <w:widowControl w:val="0"/>
        <w:suppressAutoHyphens w:val="0"/>
        <w:autoSpaceDE w:val="0"/>
        <w:autoSpaceDN w:val="0"/>
        <w:adjustRightInd w:val="0"/>
        <w:spacing w:after="0" w:line="240" w:lineRule="auto"/>
        <w:ind w:left="-851" w:right="-932" w:firstLine="709"/>
        <w:rPr>
          <w:rFonts w:ascii="Times New Roman" w:eastAsia="Times New Roman" w:hAnsi="Times New Roman" w:cs="Times New Roman"/>
          <w:b/>
          <w:sz w:val="20"/>
          <w:szCs w:val="20"/>
          <w:lang w:eastAsia="lt-LT"/>
        </w:rPr>
      </w:pPr>
      <w:r w:rsidRPr="00B706CF">
        <w:rPr>
          <w:rFonts w:ascii="Times New Roman" w:eastAsia="Times New Roman" w:hAnsi="Times New Roman" w:cs="Times New Roman"/>
          <w:b/>
          <w:sz w:val="20"/>
          <w:szCs w:val="20"/>
          <w:lang w:eastAsia="lt-LT"/>
        </w:rPr>
        <w:t xml:space="preserve">           Minimalūs aplinkos apsaugos kriterijai taikomi:</w:t>
      </w:r>
    </w:p>
    <w:tbl>
      <w:tblPr>
        <w:tblStyle w:val="TableGrid1"/>
        <w:tblW w:w="0" w:type="auto"/>
        <w:tblInd w:w="534" w:type="dxa"/>
        <w:tblLook w:val="04A0" w:firstRow="1" w:lastRow="0" w:firstColumn="1" w:lastColumn="0" w:noHBand="0" w:noVBand="1"/>
      </w:tblPr>
      <w:tblGrid>
        <w:gridCol w:w="511"/>
        <w:gridCol w:w="8275"/>
        <w:gridCol w:w="5523"/>
      </w:tblGrid>
      <w:tr w:rsidR="00B706CF" w:rsidRPr="00B706CF" w14:paraId="765432CB" w14:textId="77777777" w:rsidTr="00441B0D">
        <w:tc>
          <w:tcPr>
            <w:tcW w:w="511" w:type="dxa"/>
            <w:tcBorders>
              <w:top w:val="single" w:sz="4" w:space="0" w:color="auto"/>
              <w:left w:val="single" w:sz="4" w:space="0" w:color="auto"/>
              <w:bottom w:val="single" w:sz="4" w:space="0" w:color="auto"/>
              <w:right w:val="single" w:sz="4" w:space="0" w:color="auto"/>
            </w:tcBorders>
            <w:hideMark/>
          </w:tcPr>
          <w:p w14:paraId="7F69A8B3" w14:textId="77777777" w:rsidR="00B706CF" w:rsidRPr="00B706CF" w:rsidRDefault="00B706CF" w:rsidP="00B706CF">
            <w:pPr>
              <w:spacing w:after="0" w:line="240" w:lineRule="auto"/>
              <w:jc w:val="center"/>
              <w:rPr>
                <w:rFonts w:eastAsiaTheme="minorHAnsi"/>
                <w:b/>
                <w:lang w:eastAsia="lt-LT"/>
              </w:rPr>
            </w:pPr>
            <w:r w:rsidRPr="00B706CF">
              <w:rPr>
                <w:rFonts w:eastAsiaTheme="minorHAnsi"/>
                <w:b/>
                <w:lang w:eastAsia="lt-LT"/>
              </w:rPr>
              <w:t>Eil.</w:t>
            </w:r>
          </w:p>
          <w:p w14:paraId="1379E25A" w14:textId="77777777" w:rsidR="00B706CF" w:rsidRPr="00B706CF" w:rsidRDefault="00B706CF" w:rsidP="00B706CF">
            <w:pPr>
              <w:spacing w:after="0" w:line="240" w:lineRule="auto"/>
              <w:jc w:val="center"/>
              <w:rPr>
                <w:rFonts w:eastAsiaTheme="minorHAnsi"/>
                <w:b/>
                <w:lang w:eastAsia="lt-LT"/>
              </w:rPr>
            </w:pPr>
            <w:r w:rsidRPr="00B706CF">
              <w:rPr>
                <w:rFonts w:eastAsiaTheme="minorHAnsi"/>
                <w:b/>
                <w:lang w:eastAsia="lt-LT"/>
              </w:rPr>
              <w:t>Nr.</w:t>
            </w:r>
          </w:p>
        </w:tc>
        <w:tc>
          <w:tcPr>
            <w:tcW w:w="8763" w:type="dxa"/>
            <w:tcBorders>
              <w:top w:val="single" w:sz="4" w:space="0" w:color="auto"/>
              <w:left w:val="single" w:sz="4" w:space="0" w:color="auto"/>
              <w:bottom w:val="single" w:sz="4" w:space="0" w:color="auto"/>
              <w:right w:val="single" w:sz="4" w:space="0" w:color="auto"/>
            </w:tcBorders>
            <w:hideMark/>
          </w:tcPr>
          <w:p w14:paraId="45ED4BF8" w14:textId="77777777" w:rsidR="00B706CF" w:rsidRPr="00B706CF" w:rsidRDefault="00B706CF" w:rsidP="00B706CF">
            <w:pPr>
              <w:spacing w:after="0" w:line="240" w:lineRule="auto"/>
              <w:jc w:val="center"/>
              <w:rPr>
                <w:rFonts w:eastAsiaTheme="minorHAnsi"/>
                <w:b/>
                <w:lang w:eastAsia="lt-LT"/>
              </w:rPr>
            </w:pPr>
            <w:r w:rsidRPr="00B706CF">
              <w:rPr>
                <w:rFonts w:eastAsiaTheme="minorHAnsi"/>
                <w:b/>
                <w:lang w:eastAsia="lt-LT"/>
              </w:rPr>
              <w:t>Aplinkos apsaugos reikalavimas</w:t>
            </w:r>
          </w:p>
        </w:tc>
        <w:tc>
          <w:tcPr>
            <w:tcW w:w="5805" w:type="dxa"/>
            <w:tcBorders>
              <w:top w:val="single" w:sz="4" w:space="0" w:color="auto"/>
              <w:left w:val="single" w:sz="4" w:space="0" w:color="auto"/>
              <w:bottom w:val="single" w:sz="4" w:space="0" w:color="auto"/>
              <w:right w:val="single" w:sz="4" w:space="0" w:color="auto"/>
            </w:tcBorders>
            <w:hideMark/>
          </w:tcPr>
          <w:p w14:paraId="3B88488E" w14:textId="77777777" w:rsidR="00B706CF" w:rsidRPr="00B706CF" w:rsidRDefault="00B706CF" w:rsidP="00B706CF">
            <w:pPr>
              <w:spacing w:after="0" w:line="240" w:lineRule="auto"/>
              <w:jc w:val="center"/>
              <w:rPr>
                <w:rFonts w:eastAsiaTheme="minorHAnsi"/>
                <w:b/>
                <w:lang w:eastAsia="lt-LT"/>
              </w:rPr>
            </w:pPr>
            <w:r w:rsidRPr="00B706CF">
              <w:rPr>
                <w:rFonts w:eastAsiaTheme="minorHAnsi"/>
                <w:b/>
                <w:lang w:eastAsia="lt-LT"/>
              </w:rPr>
              <w:t>Atitiktį reikalavimams įrodantys dokumentai</w:t>
            </w:r>
          </w:p>
        </w:tc>
      </w:tr>
      <w:tr w:rsidR="00B706CF" w:rsidRPr="00B706CF" w14:paraId="6F110A3F" w14:textId="77777777" w:rsidTr="00441B0D">
        <w:tc>
          <w:tcPr>
            <w:tcW w:w="511" w:type="dxa"/>
            <w:tcBorders>
              <w:top w:val="single" w:sz="4" w:space="0" w:color="auto"/>
              <w:left w:val="single" w:sz="4" w:space="0" w:color="auto"/>
              <w:bottom w:val="single" w:sz="4" w:space="0" w:color="auto"/>
              <w:right w:val="single" w:sz="4" w:space="0" w:color="auto"/>
            </w:tcBorders>
            <w:hideMark/>
          </w:tcPr>
          <w:p w14:paraId="172D9354"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1.</w:t>
            </w:r>
          </w:p>
        </w:tc>
        <w:tc>
          <w:tcPr>
            <w:tcW w:w="8763" w:type="dxa"/>
            <w:tcBorders>
              <w:top w:val="single" w:sz="4" w:space="0" w:color="auto"/>
              <w:left w:val="single" w:sz="4" w:space="0" w:color="auto"/>
              <w:bottom w:val="single" w:sz="4" w:space="0" w:color="auto"/>
              <w:right w:val="single" w:sz="4" w:space="0" w:color="auto"/>
            </w:tcBorders>
            <w:hideMark/>
          </w:tcPr>
          <w:p w14:paraId="4A79C17A"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Ne mažiau kaip 80 % medienos, medienos medžiagų ir gaminių turi būti iš miškų, sertifikuotų naudojant FSC ar PEFC miškų sertifikavimo sistemas arba lygiavertes sertifikavimo sistemas.</w:t>
            </w:r>
          </w:p>
        </w:tc>
        <w:tc>
          <w:tcPr>
            <w:tcW w:w="5805" w:type="dxa"/>
            <w:tcBorders>
              <w:top w:val="single" w:sz="4" w:space="0" w:color="auto"/>
              <w:left w:val="single" w:sz="4" w:space="0" w:color="auto"/>
              <w:bottom w:val="single" w:sz="4" w:space="0" w:color="auto"/>
              <w:right w:val="single" w:sz="4" w:space="0" w:color="auto"/>
            </w:tcBorders>
            <w:hideMark/>
          </w:tcPr>
          <w:p w14:paraId="3C00357F"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Sertifikatas FSC (</w:t>
            </w:r>
            <w:r w:rsidRPr="00B706CF">
              <w:rPr>
                <w:rFonts w:eastAsiaTheme="minorHAnsi"/>
                <w:i/>
                <w:lang w:eastAsia="lt-LT"/>
              </w:rPr>
              <w:t>Forest Stewardship Council</w:t>
            </w:r>
            <w:r w:rsidRPr="00B706CF">
              <w:rPr>
                <w:rFonts w:eastAsiaTheme="minorHAnsi"/>
                <w:lang w:eastAsia="lt-LT"/>
              </w:rPr>
              <w:t>) arba PEFC (</w:t>
            </w:r>
            <w:r w:rsidRPr="00B706CF">
              <w:rPr>
                <w:rFonts w:eastAsiaTheme="minorHAnsi"/>
                <w:i/>
                <w:lang w:eastAsia="lt-LT"/>
              </w:rPr>
              <w:t>Programe for the Endorsement of Forest Certification schemes</w:t>
            </w:r>
            <w:r w:rsidRPr="00B706CF">
              <w:rPr>
                <w:rFonts w:eastAsiaTheme="minorHAnsi"/>
                <w:lang w:eastAsia="lt-LT"/>
              </w:rPr>
              <w:t>), arba kitas darnaus miškų ūkio standartas, arba nepriklausomos įstaigos atliktas bandymo protokolas, arba kiti lygiaverčiai įrodymai. (</w:t>
            </w:r>
            <w:r w:rsidRPr="00B706CF">
              <w:rPr>
                <w:rFonts w:eastAsiaTheme="minorHAnsi"/>
                <w:i/>
                <w:lang w:eastAsia="lt-LT"/>
              </w:rPr>
              <w:t>Skaitmeninė kopija pateikiama kartu su pasiūlymu</w:t>
            </w:r>
            <w:r w:rsidRPr="00B706CF">
              <w:rPr>
                <w:rFonts w:eastAsiaTheme="minorHAnsi"/>
                <w:lang w:eastAsia="lt-LT"/>
              </w:rPr>
              <w:t>).</w:t>
            </w:r>
          </w:p>
        </w:tc>
      </w:tr>
      <w:tr w:rsidR="00B706CF" w:rsidRPr="00B706CF" w14:paraId="7351B2E6" w14:textId="77777777" w:rsidTr="00441B0D">
        <w:tc>
          <w:tcPr>
            <w:tcW w:w="511" w:type="dxa"/>
            <w:tcBorders>
              <w:top w:val="single" w:sz="4" w:space="0" w:color="auto"/>
              <w:left w:val="single" w:sz="4" w:space="0" w:color="auto"/>
              <w:bottom w:val="single" w:sz="4" w:space="0" w:color="auto"/>
              <w:right w:val="single" w:sz="4" w:space="0" w:color="auto"/>
            </w:tcBorders>
            <w:hideMark/>
          </w:tcPr>
          <w:p w14:paraId="7BC30D2B"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2.</w:t>
            </w:r>
          </w:p>
        </w:tc>
        <w:tc>
          <w:tcPr>
            <w:tcW w:w="8763" w:type="dxa"/>
            <w:tcBorders>
              <w:top w:val="single" w:sz="4" w:space="0" w:color="auto"/>
              <w:left w:val="single" w:sz="4" w:space="0" w:color="auto"/>
              <w:bottom w:val="single" w:sz="4" w:space="0" w:color="auto"/>
              <w:right w:val="single" w:sz="4" w:space="0" w:color="auto"/>
            </w:tcBorders>
            <w:hideMark/>
          </w:tcPr>
          <w:p w14:paraId="04DD153F"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Paviršiams dengti naudojamuose produktuose:</w:t>
            </w:r>
          </w:p>
        </w:tc>
        <w:tc>
          <w:tcPr>
            <w:tcW w:w="5805" w:type="dxa"/>
            <w:vMerge w:val="restart"/>
            <w:tcBorders>
              <w:top w:val="single" w:sz="4" w:space="0" w:color="auto"/>
              <w:left w:val="single" w:sz="4" w:space="0" w:color="auto"/>
              <w:bottom w:val="single" w:sz="4" w:space="0" w:color="auto"/>
              <w:right w:val="single" w:sz="4" w:space="0" w:color="auto"/>
            </w:tcBorders>
            <w:hideMark/>
          </w:tcPr>
          <w:p w14:paraId="3084D7A5"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 xml:space="preserve">Ekologinis ženklas </w:t>
            </w:r>
            <w:r w:rsidRPr="00B706CF">
              <w:rPr>
                <w:rFonts w:eastAsiaTheme="minorHAnsi"/>
                <w:i/>
                <w:lang w:eastAsia="lt-LT"/>
              </w:rPr>
              <w:t>Nordic Swan</w:t>
            </w:r>
            <w:r w:rsidRPr="00B706CF">
              <w:rPr>
                <w:rFonts w:eastAsiaTheme="minorHAnsi"/>
                <w:vertAlign w:val="superscript"/>
                <w:lang w:eastAsia="lt-LT"/>
              </w:rPr>
              <w:t>1</w:t>
            </w:r>
            <w:r w:rsidRPr="00B706CF">
              <w:rPr>
                <w:rFonts w:eastAsiaTheme="minorHAnsi"/>
                <w:lang w:eastAsia="lt-LT"/>
              </w:rPr>
              <w:t xml:space="preserve"> arba </w:t>
            </w:r>
            <w:r w:rsidRPr="00B706CF">
              <w:rPr>
                <w:rFonts w:eastAsiaTheme="minorHAnsi"/>
                <w:i/>
                <w:lang w:eastAsia="lt-LT"/>
              </w:rPr>
              <w:t>European Ecolabel</w:t>
            </w:r>
            <w:r w:rsidRPr="00B706CF">
              <w:rPr>
                <w:rFonts w:eastAsiaTheme="minorHAnsi"/>
                <w:vertAlign w:val="superscript"/>
                <w:lang w:eastAsia="lt-LT"/>
              </w:rPr>
              <w:t>2</w:t>
            </w:r>
            <w:r w:rsidRPr="00B706CF">
              <w:rPr>
                <w:rFonts w:eastAsiaTheme="minorHAnsi"/>
                <w:lang w:eastAsia="lt-LT"/>
              </w:rPr>
              <w:t>, arba gamintojo techniniai dokumentai, arba saugos duomenų lapas, arba pripažintosios įstaigos atlikto bandymo protokolas, arba kiti lygiaverčiai įrodymai. (</w:t>
            </w:r>
            <w:r w:rsidRPr="00B706CF">
              <w:rPr>
                <w:rFonts w:eastAsiaTheme="minorHAnsi"/>
                <w:i/>
                <w:lang w:eastAsia="lt-LT"/>
              </w:rPr>
              <w:t>Skaitmeninė kopija pateikiama kartu su pasiūlymu</w:t>
            </w:r>
            <w:r w:rsidRPr="00B706CF">
              <w:rPr>
                <w:rFonts w:eastAsiaTheme="minorHAnsi"/>
                <w:lang w:eastAsia="lt-LT"/>
              </w:rPr>
              <w:t>).</w:t>
            </w:r>
          </w:p>
        </w:tc>
      </w:tr>
      <w:tr w:rsidR="00B706CF" w:rsidRPr="00B706CF" w14:paraId="05465925" w14:textId="77777777" w:rsidTr="00441B0D">
        <w:tc>
          <w:tcPr>
            <w:tcW w:w="511" w:type="dxa"/>
            <w:tcBorders>
              <w:top w:val="single" w:sz="4" w:space="0" w:color="auto"/>
              <w:left w:val="single" w:sz="4" w:space="0" w:color="auto"/>
              <w:bottom w:val="single" w:sz="4" w:space="0" w:color="auto"/>
              <w:right w:val="single" w:sz="4" w:space="0" w:color="auto"/>
            </w:tcBorders>
            <w:hideMark/>
          </w:tcPr>
          <w:p w14:paraId="20491938"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2.1</w:t>
            </w:r>
          </w:p>
        </w:tc>
        <w:tc>
          <w:tcPr>
            <w:tcW w:w="8763" w:type="dxa"/>
            <w:tcBorders>
              <w:top w:val="single" w:sz="4" w:space="0" w:color="auto"/>
              <w:left w:val="single" w:sz="4" w:space="0" w:color="auto"/>
              <w:bottom w:val="single" w:sz="4" w:space="0" w:color="auto"/>
              <w:right w:val="single" w:sz="4" w:space="0" w:color="auto"/>
            </w:tcBorders>
            <w:hideMark/>
          </w:tcPr>
          <w:p w14:paraId="2F592FF8"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Neturi būti pavojingų cheminių medžiagų, klasifikuojamų priskiriant bet kurią iš toliau nurodytų pavojingumo frazę pagal Reglamentą (EB) Nr. 1272/2008:</w:t>
            </w:r>
          </w:p>
          <w:p w14:paraId="0B920088"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 xml:space="preserve">kancerogeninės (H350, H350i, H351), </w:t>
            </w:r>
          </w:p>
          <w:p w14:paraId="7B2B2729"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 xml:space="preserve">sukeliančios paveldimus genetinius defektus (H340, H341), </w:t>
            </w:r>
          </w:p>
          <w:p w14:paraId="418A5438"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 xml:space="preserve">toksiškos reprodukcijai (H360D, H360F, 361f, 361d), </w:t>
            </w:r>
          </w:p>
          <w:p w14:paraId="72CDB9CA"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 xml:space="preserve">pavojingos vandens aplinkai (H400, H410, H411), </w:t>
            </w:r>
          </w:p>
          <w:p w14:paraId="595D653B"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 xml:space="preserve">toksiškos ar labai toksiškos (H300, H301, H310, H311, H330, H331), </w:t>
            </w:r>
          </w:p>
          <w:p w14:paraId="6F01632B"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 xml:space="preserve">kenkia organams (H370), </w:t>
            </w:r>
          </w:p>
          <w:p w14:paraId="2346678D"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veikiant ilgą laiką pakenkia kai kuriems organams (H372);</w:t>
            </w:r>
          </w:p>
        </w:tc>
        <w:tc>
          <w:tcPr>
            <w:tcW w:w="5805" w:type="dxa"/>
            <w:vMerge/>
            <w:tcBorders>
              <w:top w:val="single" w:sz="4" w:space="0" w:color="auto"/>
              <w:left w:val="single" w:sz="4" w:space="0" w:color="auto"/>
              <w:bottom w:val="single" w:sz="4" w:space="0" w:color="auto"/>
              <w:right w:val="single" w:sz="4" w:space="0" w:color="auto"/>
            </w:tcBorders>
            <w:vAlign w:val="center"/>
            <w:hideMark/>
          </w:tcPr>
          <w:p w14:paraId="5EFF5AAC" w14:textId="77777777" w:rsidR="00B706CF" w:rsidRPr="00B706CF" w:rsidRDefault="00B706CF" w:rsidP="00B706CF">
            <w:pPr>
              <w:spacing w:after="0" w:line="240" w:lineRule="auto"/>
              <w:rPr>
                <w:rFonts w:eastAsiaTheme="minorHAnsi"/>
              </w:rPr>
            </w:pPr>
          </w:p>
        </w:tc>
      </w:tr>
      <w:tr w:rsidR="00B706CF" w:rsidRPr="00B706CF" w14:paraId="50E9780A" w14:textId="77777777" w:rsidTr="00441B0D">
        <w:tc>
          <w:tcPr>
            <w:tcW w:w="511" w:type="dxa"/>
            <w:tcBorders>
              <w:top w:val="single" w:sz="4" w:space="0" w:color="auto"/>
              <w:left w:val="single" w:sz="4" w:space="0" w:color="auto"/>
              <w:bottom w:val="single" w:sz="4" w:space="0" w:color="auto"/>
              <w:right w:val="single" w:sz="4" w:space="0" w:color="auto"/>
            </w:tcBorders>
            <w:hideMark/>
          </w:tcPr>
          <w:p w14:paraId="76D6A00D"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2.3</w:t>
            </w:r>
          </w:p>
        </w:tc>
        <w:tc>
          <w:tcPr>
            <w:tcW w:w="8763" w:type="dxa"/>
            <w:tcBorders>
              <w:top w:val="single" w:sz="4" w:space="0" w:color="auto"/>
              <w:left w:val="single" w:sz="4" w:space="0" w:color="auto"/>
              <w:bottom w:val="single" w:sz="4" w:space="0" w:color="auto"/>
              <w:right w:val="single" w:sz="4" w:space="0" w:color="auto"/>
            </w:tcBorders>
            <w:hideMark/>
          </w:tcPr>
          <w:p w14:paraId="22C71B18"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neturi būti daugiau kaip 5 % masės lakiųjų organinių junginių (LOJ);</w:t>
            </w:r>
          </w:p>
        </w:tc>
        <w:tc>
          <w:tcPr>
            <w:tcW w:w="5805" w:type="dxa"/>
            <w:vMerge/>
            <w:tcBorders>
              <w:top w:val="single" w:sz="4" w:space="0" w:color="auto"/>
              <w:left w:val="single" w:sz="4" w:space="0" w:color="auto"/>
              <w:bottom w:val="single" w:sz="4" w:space="0" w:color="auto"/>
              <w:right w:val="single" w:sz="4" w:space="0" w:color="auto"/>
            </w:tcBorders>
            <w:vAlign w:val="center"/>
            <w:hideMark/>
          </w:tcPr>
          <w:p w14:paraId="4B6731AC" w14:textId="77777777" w:rsidR="00B706CF" w:rsidRPr="00B706CF" w:rsidRDefault="00B706CF" w:rsidP="00B706CF">
            <w:pPr>
              <w:spacing w:after="0" w:line="240" w:lineRule="auto"/>
              <w:rPr>
                <w:rFonts w:eastAsiaTheme="minorHAnsi"/>
              </w:rPr>
            </w:pPr>
          </w:p>
        </w:tc>
      </w:tr>
      <w:tr w:rsidR="00B706CF" w:rsidRPr="00B706CF" w14:paraId="699B424C" w14:textId="77777777" w:rsidTr="00441B0D">
        <w:tc>
          <w:tcPr>
            <w:tcW w:w="511" w:type="dxa"/>
            <w:tcBorders>
              <w:top w:val="single" w:sz="4" w:space="0" w:color="auto"/>
              <w:left w:val="single" w:sz="4" w:space="0" w:color="auto"/>
              <w:bottom w:val="single" w:sz="4" w:space="0" w:color="auto"/>
              <w:right w:val="single" w:sz="4" w:space="0" w:color="auto"/>
            </w:tcBorders>
            <w:hideMark/>
          </w:tcPr>
          <w:p w14:paraId="27AEE855"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2.4</w:t>
            </w:r>
          </w:p>
        </w:tc>
        <w:tc>
          <w:tcPr>
            <w:tcW w:w="8763" w:type="dxa"/>
            <w:tcBorders>
              <w:top w:val="single" w:sz="4" w:space="0" w:color="auto"/>
              <w:left w:val="single" w:sz="4" w:space="0" w:color="auto"/>
              <w:bottom w:val="single" w:sz="4" w:space="0" w:color="auto"/>
              <w:right w:val="single" w:sz="4" w:space="0" w:color="auto"/>
            </w:tcBorders>
            <w:hideMark/>
          </w:tcPr>
          <w:p w14:paraId="7C13D067"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neturi būti chromo (VI) junginių;</w:t>
            </w:r>
          </w:p>
        </w:tc>
        <w:tc>
          <w:tcPr>
            <w:tcW w:w="5805" w:type="dxa"/>
            <w:vMerge/>
            <w:tcBorders>
              <w:top w:val="single" w:sz="4" w:space="0" w:color="auto"/>
              <w:left w:val="single" w:sz="4" w:space="0" w:color="auto"/>
              <w:bottom w:val="single" w:sz="4" w:space="0" w:color="auto"/>
              <w:right w:val="single" w:sz="4" w:space="0" w:color="auto"/>
            </w:tcBorders>
            <w:vAlign w:val="center"/>
            <w:hideMark/>
          </w:tcPr>
          <w:p w14:paraId="1F2F0338" w14:textId="77777777" w:rsidR="00B706CF" w:rsidRPr="00B706CF" w:rsidRDefault="00B706CF" w:rsidP="00B706CF">
            <w:pPr>
              <w:spacing w:after="0" w:line="240" w:lineRule="auto"/>
              <w:rPr>
                <w:rFonts w:eastAsiaTheme="minorHAnsi"/>
              </w:rPr>
            </w:pPr>
          </w:p>
        </w:tc>
      </w:tr>
      <w:tr w:rsidR="00B706CF" w:rsidRPr="00B706CF" w14:paraId="7676C214" w14:textId="77777777" w:rsidTr="00441B0D">
        <w:tc>
          <w:tcPr>
            <w:tcW w:w="511" w:type="dxa"/>
            <w:tcBorders>
              <w:top w:val="single" w:sz="4" w:space="0" w:color="auto"/>
              <w:left w:val="single" w:sz="4" w:space="0" w:color="auto"/>
              <w:bottom w:val="single" w:sz="4" w:space="0" w:color="auto"/>
              <w:right w:val="single" w:sz="4" w:space="0" w:color="auto"/>
            </w:tcBorders>
            <w:hideMark/>
          </w:tcPr>
          <w:p w14:paraId="044B5E57"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2.5</w:t>
            </w:r>
          </w:p>
        </w:tc>
        <w:tc>
          <w:tcPr>
            <w:tcW w:w="8763" w:type="dxa"/>
            <w:tcBorders>
              <w:top w:val="single" w:sz="4" w:space="0" w:color="auto"/>
              <w:left w:val="single" w:sz="4" w:space="0" w:color="auto"/>
              <w:bottom w:val="single" w:sz="4" w:space="0" w:color="auto"/>
              <w:right w:val="single" w:sz="4" w:space="0" w:color="auto"/>
            </w:tcBorders>
            <w:hideMark/>
          </w:tcPr>
          <w:p w14:paraId="5A6EE554"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formaldehido išmetamieji teršalai neturi viršyti 0,05 ppm.</w:t>
            </w:r>
          </w:p>
        </w:tc>
        <w:tc>
          <w:tcPr>
            <w:tcW w:w="5805" w:type="dxa"/>
            <w:vMerge/>
            <w:tcBorders>
              <w:top w:val="single" w:sz="4" w:space="0" w:color="auto"/>
              <w:left w:val="single" w:sz="4" w:space="0" w:color="auto"/>
              <w:bottom w:val="single" w:sz="4" w:space="0" w:color="auto"/>
              <w:right w:val="single" w:sz="4" w:space="0" w:color="auto"/>
            </w:tcBorders>
            <w:vAlign w:val="center"/>
            <w:hideMark/>
          </w:tcPr>
          <w:p w14:paraId="6B60AA6B" w14:textId="77777777" w:rsidR="00B706CF" w:rsidRPr="00B706CF" w:rsidRDefault="00B706CF" w:rsidP="00B706CF">
            <w:pPr>
              <w:spacing w:after="0" w:line="240" w:lineRule="auto"/>
              <w:rPr>
                <w:rFonts w:eastAsiaTheme="minorHAnsi"/>
              </w:rPr>
            </w:pPr>
          </w:p>
        </w:tc>
      </w:tr>
      <w:tr w:rsidR="00B706CF" w:rsidRPr="00B706CF" w14:paraId="2D128406" w14:textId="77777777" w:rsidTr="00441B0D">
        <w:tc>
          <w:tcPr>
            <w:tcW w:w="511" w:type="dxa"/>
            <w:tcBorders>
              <w:top w:val="single" w:sz="4" w:space="0" w:color="auto"/>
              <w:left w:val="single" w:sz="4" w:space="0" w:color="auto"/>
              <w:bottom w:val="single" w:sz="4" w:space="0" w:color="auto"/>
              <w:right w:val="single" w:sz="4" w:space="0" w:color="auto"/>
            </w:tcBorders>
            <w:hideMark/>
          </w:tcPr>
          <w:p w14:paraId="4500792B"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3.</w:t>
            </w:r>
          </w:p>
        </w:tc>
        <w:tc>
          <w:tcPr>
            <w:tcW w:w="8763" w:type="dxa"/>
            <w:tcBorders>
              <w:top w:val="single" w:sz="4" w:space="0" w:color="auto"/>
              <w:left w:val="single" w:sz="4" w:space="0" w:color="auto"/>
              <w:bottom w:val="single" w:sz="4" w:space="0" w:color="auto"/>
              <w:right w:val="single" w:sz="4" w:space="0" w:color="auto"/>
            </w:tcBorders>
            <w:hideMark/>
          </w:tcPr>
          <w:p w14:paraId="3E3542DC"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Visos plastikinės dalys, kurių masė ≥ 50 g, turi būti paženklintos kaip tinkamos perdirbti pagal ISO 11469 ar lygiavertį standartą.</w:t>
            </w:r>
          </w:p>
        </w:tc>
        <w:tc>
          <w:tcPr>
            <w:tcW w:w="5805" w:type="dxa"/>
            <w:tcBorders>
              <w:top w:val="single" w:sz="4" w:space="0" w:color="auto"/>
              <w:left w:val="single" w:sz="4" w:space="0" w:color="auto"/>
              <w:bottom w:val="single" w:sz="4" w:space="0" w:color="auto"/>
              <w:right w:val="single" w:sz="4" w:space="0" w:color="auto"/>
            </w:tcBorders>
            <w:hideMark/>
          </w:tcPr>
          <w:p w14:paraId="1C52BC67" w14:textId="77777777" w:rsidR="00B706CF" w:rsidRPr="00B706CF" w:rsidRDefault="00B706CF" w:rsidP="00B706CF">
            <w:pPr>
              <w:spacing w:after="0" w:line="240" w:lineRule="auto"/>
              <w:rPr>
                <w:rFonts w:eastAsiaTheme="minorHAnsi"/>
                <w:lang w:eastAsia="lt-LT"/>
              </w:rPr>
            </w:pPr>
            <w:r w:rsidRPr="00B706CF">
              <w:rPr>
                <w:rFonts w:eastAsiaTheme="minorHAnsi"/>
                <w:lang w:eastAsia="lt-LT"/>
              </w:rPr>
              <w:t xml:space="preserve">Ekologinis ženklas </w:t>
            </w:r>
            <w:r w:rsidRPr="00B706CF">
              <w:rPr>
                <w:rFonts w:eastAsiaTheme="minorHAnsi"/>
                <w:i/>
                <w:lang w:eastAsia="lt-LT"/>
              </w:rPr>
              <w:t xml:space="preserve">Nordic Swan </w:t>
            </w:r>
            <w:r w:rsidRPr="00B706CF">
              <w:rPr>
                <w:rFonts w:eastAsiaTheme="minorHAnsi"/>
                <w:lang w:eastAsia="lt-LT"/>
              </w:rPr>
              <w:t>arba gamintojo techniniai dokumentai, arba saugos duomenų lapas, arba pripažintosios (notifikuotos) įstaigos atlikto bandymo protokolas, arba kiti lygiaverčiai įrodymai (</w:t>
            </w:r>
            <w:r w:rsidRPr="00B706CF">
              <w:rPr>
                <w:rFonts w:eastAsiaTheme="minorHAnsi"/>
                <w:i/>
                <w:lang w:eastAsia="lt-LT"/>
              </w:rPr>
              <w:t>Skaitmeninė kopija pateikiama kartu su pasiūlymu</w:t>
            </w:r>
            <w:r w:rsidRPr="00B706CF">
              <w:rPr>
                <w:rFonts w:eastAsiaTheme="minorHAnsi"/>
                <w:lang w:eastAsia="lt-LT"/>
              </w:rPr>
              <w:t>).</w:t>
            </w:r>
          </w:p>
        </w:tc>
      </w:tr>
    </w:tbl>
    <w:p w14:paraId="3A5FB465" w14:textId="77777777" w:rsidR="00B706CF" w:rsidRPr="00B706CF" w:rsidRDefault="00B706CF" w:rsidP="00B706CF">
      <w:pPr>
        <w:suppressAutoHyphens w:val="0"/>
        <w:autoSpaceDN w:val="0"/>
        <w:adjustRightInd w:val="0"/>
        <w:spacing w:after="160" w:line="256" w:lineRule="auto"/>
        <w:rPr>
          <w:rFonts w:ascii="Times New Roman" w:hAnsi="Times New Roman" w:cs="Times New Roman"/>
        </w:rPr>
      </w:pPr>
    </w:p>
    <w:p w14:paraId="049854D8" w14:textId="77777777" w:rsidR="00B706CF" w:rsidRPr="00B706CF" w:rsidRDefault="00B706CF" w:rsidP="00B706CF">
      <w:pPr>
        <w:suppressAutoHyphens w:val="0"/>
        <w:autoSpaceDN w:val="0"/>
        <w:adjustRightInd w:val="0"/>
        <w:spacing w:after="160" w:line="256" w:lineRule="auto"/>
        <w:ind w:firstLine="426"/>
        <w:rPr>
          <w:rFonts w:ascii="Times New Roman" w:hAnsi="Times New Roman" w:cs="Times New Roman"/>
          <w:sz w:val="20"/>
          <w:szCs w:val="20"/>
          <w:lang w:eastAsia="lt-LT"/>
        </w:rPr>
      </w:pPr>
      <w:r w:rsidRPr="00B706CF">
        <w:rPr>
          <w:rFonts w:ascii="Times New Roman" w:hAnsi="Times New Roman" w:cs="Times New Roman"/>
          <w:sz w:val="20"/>
          <w:szCs w:val="20"/>
          <w:lang w:eastAsia="lt-LT"/>
        </w:rPr>
        <w:t>____________________________________</w:t>
      </w:r>
    </w:p>
    <w:p w14:paraId="62FBA740" w14:textId="77777777" w:rsidR="00B706CF" w:rsidRPr="00B706CF" w:rsidRDefault="00B706CF" w:rsidP="00B706CF">
      <w:pPr>
        <w:suppressAutoHyphens w:val="0"/>
        <w:autoSpaceDN w:val="0"/>
        <w:adjustRightInd w:val="0"/>
        <w:spacing w:after="0" w:line="256" w:lineRule="auto"/>
        <w:ind w:firstLine="426"/>
        <w:rPr>
          <w:rFonts w:ascii="Times New Roman" w:hAnsi="Times New Roman" w:cs="Times New Roman"/>
          <w:sz w:val="16"/>
          <w:szCs w:val="16"/>
          <w:lang w:eastAsia="lt-LT"/>
        </w:rPr>
      </w:pPr>
      <w:r w:rsidRPr="00B706CF">
        <w:rPr>
          <w:rFonts w:ascii="Times New Roman" w:hAnsi="Times New Roman" w:cs="Times New Roman"/>
          <w:sz w:val="16"/>
          <w:szCs w:val="16"/>
          <w:vertAlign w:val="superscript"/>
          <w:lang w:eastAsia="lt-LT"/>
        </w:rPr>
        <w:t>1</w:t>
      </w:r>
      <w:r w:rsidRPr="00B706CF">
        <w:rPr>
          <w:rFonts w:ascii="Times New Roman" w:hAnsi="Times New Roman" w:cs="Times New Roman"/>
          <w:sz w:val="16"/>
          <w:szCs w:val="16"/>
          <w:lang w:eastAsia="lt-LT"/>
        </w:rPr>
        <w:t xml:space="preserve">Šiaurės šalių ekologinis ženklas ,,Gulbė“. </w:t>
      </w:r>
    </w:p>
    <w:p w14:paraId="6B4C38B6" w14:textId="77777777" w:rsidR="00B706CF" w:rsidRPr="00B706CF" w:rsidRDefault="00B706CF" w:rsidP="00B706CF">
      <w:pPr>
        <w:suppressAutoHyphens w:val="0"/>
        <w:autoSpaceDN w:val="0"/>
        <w:adjustRightInd w:val="0"/>
        <w:spacing w:after="0" w:line="256" w:lineRule="auto"/>
        <w:ind w:firstLine="426"/>
        <w:rPr>
          <w:rFonts w:ascii="Times New Roman" w:hAnsi="Times New Roman" w:cs="Times New Roman"/>
          <w:sz w:val="16"/>
          <w:szCs w:val="16"/>
          <w:lang w:eastAsia="lt-LT"/>
        </w:rPr>
      </w:pPr>
      <w:r w:rsidRPr="00B706CF">
        <w:rPr>
          <w:rFonts w:ascii="Times New Roman" w:hAnsi="Times New Roman" w:cs="Times New Roman"/>
          <w:sz w:val="16"/>
          <w:szCs w:val="16"/>
          <w:vertAlign w:val="superscript"/>
          <w:lang w:eastAsia="lt-LT"/>
        </w:rPr>
        <w:t>2</w:t>
      </w:r>
      <w:r w:rsidRPr="00B706CF">
        <w:rPr>
          <w:rFonts w:ascii="Times New Roman" w:hAnsi="Times New Roman" w:cs="Times New Roman"/>
          <w:sz w:val="16"/>
          <w:szCs w:val="16"/>
          <w:lang w:eastAsia="lt-LT"/>
        </w:rPr>
        <w:t>Europos Sąjungos ekologinis ženklas ,,Gėlė“.</w:t>
      </w:r>
    </w:p>
    <w:p w14:paraId="3A8E982B" w14:textId="77777777" w:rsidR="00B706CF" w:rsidRPr="00B706CF" w:rsidRDefault="00B706CF" w:rsidP="00B706CF">
      <w:pPr>
        <w:widowControl w:val="0"/>
        <w:suppressAutoHyphens w:val="0"/>
        <w:autoSpaceDE w:val="0"/>
        <w:autoSpaceDN w:val="0"/>
        <w:adjustRightInd w:val="0"/>
        <w:spacing w:after="0" w:line="240" w:lineRule="auto"/>
        <w:rPr>
          <w:rFonts w:ascii="Times New Roman" w:eastAsia="Times New Roman" w:hAnsi="Times New Roman" w:cs="Times New Roman"/>
          <w:sz w:val="20"/>
          <w:szCs w:val="20"/>
          <w:lang w:eastAsia="lt-LT"/>
        </w:rPr>
      </w:pPr>
    </w:p>
    <w:p w14:paraId="0B706D82" w14:textId="77777777" w:rsidR="00B706CF" w:rsidRPr="00B706CF" w:rsidRDefault="00B706CF" w:rsidP="00B706CF">
      <w:pPr>
        <w:widowControl w:val="0"/>
        <w:suppressAutoHyphens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06CF">
        <w:rPr>
          <w:rFonts w:ascii="Times New Roman" w:eastAsia="Times New Roman" w:hAnsi="Times New Roman" w:cs="Times New Roman"/>
          <w:sz w:val="20"/>
          <w:szCs w:val="20"/>
          <w:lang w:eastAsia="lt-LT"/>
        </w:rPr>
        <w:t>_________________________________</w:t>
      </w:r>
    </w:p>
    <w:p w14:paraId="7325DD6E" w14:textId="77777777" w:rsidR="00B706CF" w:rsidRPr="00B706CF" w:rsidRDefault="00B706CF" w:rsidP="00B706CF">
      <w:pPr>
        <w:widowControl w:val="0"/>
        <w:suppressAutoHyphens w:val="0"/>
        <w:autoSpaceDE w:val="0"/>
        <w:autoSpaceDN w:val="0"/>
        <w:adjustRightInd w:val="0"/>
        <w:spacing w:after="0" w:line="240" w:lineRule="auto"/>
        <w:rPr>
          <w:rFonts w:ascii="Times New Roman" w:eastAsia="Times New Roman" w:hAnsi="Times New Roman" w:cs="Times New Roman"/>
          <w:sz w:val="20"/>
          <w:szCs w:val="20"/>
          <w:lang w:eastAsia="lt-LT"/>
        </w:rPr>
      </w:pPr>
    </w:p>
    <w:p w14:paraId="0EACB090" w14:textId="77777777" w:rsidR="00B706CF" w:rsidRPr="00B706CF" w:rsidRDefault="00B706CF" w:rsidP="00B706CF">
      <w:pPr>
        <w:widowControl w:val="0"/>
        <w:suppressAutoHyphens w:val="0"/>
        <w:autoSpaceDE w:val="0"/>
        <w:autoSpaceDN w:val="0"/>
        <w:adjustRightInd w:val="0"/>
        <w:spacing w:after="0" w:line="240" w:lineRule="auto"/>
        <w:rPr>
          <w:rFonts w:ascii="Times New Roman" w:eastAsia="Times New Roman" w:hAnsi="Times New Roman" w:cs="Times New Roman"/>
          <w:color w:val="000000"/>
          <w:lang w:eastAsia="lt-LT"/>
        </w:rPr>
      </w:pPr>
    </w:p>
    <w:p w14:paraId="689194F1" w14:textId="77777777" w:rsidR="00B706CF" w:rsidRPr="00B706CF" w:rsidRDefault="00B706CF" w:rsidP="00B706CF">
      <w:pPr>
        <w:widowControl w:val="0"/>
        <w:spacing w:after="120" w:line="240" w:lineRule="auto"/>
        <w:jc w:val="both"/>
        <w:rPr>
          <w:rFonts w:ascii="Times New Roman" w:hAnsi="Times New Roman" w:cs="Times New Roman"/>
        </w:rPr>
      </w:pPr>
    </w:p>
    <w:sectPr w:rsidR="00B706CF" w:rsidRPr="00B706CF" w:rsidSect="005C63A3">
      <w:footerReference w:type="default" r:id="rId12"/>
      <w:pgSz w:w="16838" w:h="11906" w:orient="landscape"/>
      <w:pgMar w:top="851" w:right="851" w:bottom="284" w:left="1134" w:header="0" w:footer="0"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F8C29" w14:textId="77777777" w:rsidR="003E10C4" w:rsidRDefault="003E10C4" w:rsidP="00605A37">
      <w:pPr>
        <w:spacing w:after="0" w:line="240" w:lineRule="auto"/>
      </w:pPr>
      <w:r>
        <w:separator/>
      </w:r>
    </w:p>
  </w:endnote>
  <w:endnote w:type="continuationSeparator" w:id="0">
    <w:p w14:paraId="2305D4DE" w14:textId="77777777" w:rsidR="003E10C4" w:rsidRDefault="003E10C4" w:rsidP="00605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381280"/>
      <w:docPartObj>
        <w:docPartGallery w:val="Page Numbers (Bottom of Page)"/>
        <w:docPartUnique/>
      </w:docPartObj>
    </w:sdtPr>
    <w:sdtEndPr/>
    <w:sdtContent>
      <w:p w14:paraId="69E0D02E" w14:textId="2B2173AC" w:rsidR="00605A37" w:rsidRDefault="00605A37">
        <w:pPr>
          <w:pStyle w:val="Footer"/>
          <w:jc w:val="center"/>
        </w:pPr>
        <w:r>
          <w:fldChar w:fldCharType="begin"/>
        </w:r>
        <w:r>
          <w:instrText>PAGE   \* MERGEFORMAT</w:instrText>
        </w:r>
        <w:r>
          <w:fldChar w:fldCharType="separate"/>
        </w:r>
        <w:r w:rsidR="00A62118">
          <w:rPr>
            <w:noProof/>
          </w:rPr>
          <w:t>3</w:t>
        </w:r>
        <w:r>
          <w:fldChar w:fldCharType="end"/>
        </w:r>
      </w:p>
    </w:sdtContent>
  </w:sdt>
  <w:p w14:paraId="71B402D6" w14:textId="77777777" w:rsidR="00605A37" w:rsidRDefault="00605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65175" w14:textId="77777777" w:rsidR="003E10C4" w:rsidRDefault="003E10C4" w:rsidP="00605A37">
      <w:pPr>
        <w:spacing w:after="0" w:line="240" w:lineRule="auto"/>
      </w:pPr>
      <w:r>
        <w:separator/>
      </w:r>
    </w:p>
  </w:footnote>
  <w:footnote w:type="continuationSeparator" w:id="0">
    <w:p w14:paraId="5F322429" w14:textId="77777777" w:rsidR="003E10C4" w:rsidRDefault="003E10C4" w:rsidP="00605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822D4"/>
    <w:multiLevelType w:val="hybridMultilevel"/>
    <w:tmpl w:val="026E6E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C50EBA"/>
    <w:multiLevelType w:val="multilevel"/>
    <w:tmpl w:val="75F837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5B66794"/>
    <w:multiLevelType w:val="multilevel"/>
    <w:tmpl w:val="E7E60F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2DD15FA"/>
    <w:multiLevelType w:val="hybridMultilevel"/>
    <w:tmpl w:val="FCAABE44"/>
    <w:lvl w:ilvl="0" w:tplc="EBFA6854">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55306233"/>
    <w:multiLevelType w:val="hybridMultilevel"/>
    <w:tmpl w:val="1AE66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033021"/>
    <w:multiLevelType w:val="hybridMultilevel"/>
    <w:tmpl w:val="BC3E1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B62550"/>
    <w:multiLevelType w:val="hybridMultilevel"/>
    <w:tmpl w:val="BC3E1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1C0"/>
    <w:rsid w:val="00090603"/>
    <w:rsid w:val="00096DFC"/>
    <w:rsid w:val="000A40C0"/>
    <w:rsid w:val="00144BA9"/>
    <w:rsid w:val="00176F58"/>
    <w:rsid w:val="00207EC0"/>
    <w:rsid w:val="002176B8"/>
    <w:rsid w:val="00325856"/>
    <w:rsid w:val="003443EF"/>
    <w:rsid w:val="003E10C4"/>
    <w:rsid w:val="00451BA3"/>
    <w:rsid w:val="004603EE"/>
    <w:rsid w:val="00473E13"/>
    <w:rsid w:val="00494DA9"/>
    <w:rsid w:val="004A13E0"/>
    <w:rsid w:val="004C570B"/>
    <w:rsid w:val="004D7D53"/>
    <w:rsid w:val="004E4109"/>
    <w:rsid w:val="005021C0"/>
    <w:rsid w:val="005351F1"/>
    <w:rsid w:val="005B56A2"/>
    <w:rsid w:val="005C63A3"/>
    <w:rsid w:val="00605A37"/>
    <w:rsid w:val="00642696"/>
    <w:rsid w:val="006A3746"/>
    <w:rsid w:val="006A3B9F"/>
    <w:rsid w:val="006B0ED5"/>
    <w:rsid w:val="007061A8"/>
    <w:rsid w:val="0071198F"/>
    <w:rsid w:val="00734784"/>
    <w:rsid w:val="008A4304"/>
    <w:rsid w:val="008B53C4"/>
    <w:rsid w:val="009420FA"/>
    <w:rsid w:val="009A2BB7"/>
    <w:rsid w:val="009D20F4"/>
    <w:rsid w:val="00A62118"/>
    <w:rsid w:val="00AB6E42"/>
    <w:rsid w:val="00AC3A29"/>
    <w:rsid w:val="00AF44CE"/>
    <w:rsid w:val="00B706CF"/>
    <w:rsid w:val="00BB3B3D"/>
    <w:rsid w:val="00BC452C"/>
    <w:rsid w:val="00C1370F"/>
    <w:rsid w:val="00C20564"/>
    <w:rsid w:val="00C605FB"/>
    <w:rsid w:val="00D00CD4"/>
    <w:rsid w:val="00D539B1"/>
    <w:rsid w:val="00D55E7F"/>
    <w:rsid w:val="00D84285"/>
    <w:rsid w:val="00DC74E4"/>
    <w:rsid w:val="00DE15B5"/>
    <w:rsid w:val="00DE6376"/>
    <w:rsid w:val="00DF363C"/>
    <w:rsid w:val="00E04AB5"/>
    <w:rsid w:val="00E9046D"/>
    <w:rsid w:val="00F45B9A"/>
    <w:rsid w:val="00FC4AD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F513"/>
  <w15:docId w15:val="{9D5FB3C6-7B98-430A-8B2B-B8C6E34A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E62"/>
    <w:pPr>
      <w:spacing w:after="200" w:line="276" w:lineRule="auto"/>
    </w:pPr>
  </w:style>
  <w:style w:type="paragraph" w:styleId="Heading2">
    <w:name w:val="heading 2"/>
    <w:basedOn w:val="Normal"/>
    <w:next w:val="Normal"/>
    <w:link w:val="Heading2Char"/>
    <w:uiPriority w:val="99"/>
    <w:unhideWhenUsed/>
    <w:qFormat/>
    <w:rsid w:val="007F2EB0"/>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Char">
    <w:name w:val="Quote Char"/>
    <w:basedOn w:val="DefaultParagraphFont"/>
    <w:link w:val="Quote"/>
    <w:uiPriority w:val="29"/>
    <w:qFormat/>
    <w:rsid w:val="0033111D"/>
    <w:rPr>
      <w:i/>
      <w:iCs/>
      <w:color w:val="000000" w:themeColor="text1"/>
    </w:rPr>
  </w:style>
  <w:style w:type="character" w:customStyle="1" w:styleId="Heading2Char">
    <w:name w:val="Heading 2 Char"/>
    <w:basedOn w:val="DefaultParagraphFont"/>
    <w:link w:val="Heading2"/>
    <w:uiPriority w:val="99"/>
    <w:qFormat/>
    <w:rsid w:val="007F2EB0"/>
    <w:rPr>
      <w:rFonts w:ascii="Arial" w:eastAsia="Times New Roman" w:hAnsi="Arial" w:cs="Arial"/>
      <w:b/>
      <w:bCs/>
      <w:i/>
      <w:iCs/>
      <w:sz w:val="28"/>
      <w:szCs w:val="28"/>
      <w:lang w:val="en-US"/>
    </w:rPr>
  </w:style>
  <w:style w:type="character" w:customStyle="1" w:styleId="Inaosprieraias">
    <w:name w:val="Išnašos prieraišas"/>
    <w:rPr>
      <w:rFonts w:cs="Times New Roman"/>
      <w:vertAlign w:val="superscript"/>
    </w:rPr>
  </w:style>
  <w:style w:type="character" w:customStyle="1" w:styleId="FootnoteCharacters">
    <w:name w:val="Footnote Characters"/>
    <w:uiPriority w:val="99"/>
    <w:semiHidden/>
    <w:qFormat/>
    <w:rsid w:val="001D031D"/>
    <w:rPr>
      <w:rFonts w:cs="Times New Roman"/>
      <w:vertAlign w:val="superscript"/>
    </w:rPr>
  </w:style>
  <w:style w:type="character" w:customStyle="1" w:styleId="ListParagraphChar">
    <w:name w:val="List Paragraph Char"/>
    <w:link w:val="ListParagraph"/>
    <w:uiPriority w:val="34"/>
    <w:qFormat/>
    <w:locked/>
    <w:rsid w:val="001D031D"/>
  </w:style>
  <w:style w:type="character" w:customStyle="1" w:styleId="BalloonTextChar">
    <w:name w:val="Balloon Text Char"/>
    <w:basedOn w:val="DefaultParagraphFont"/>
    <w:link w:val="BalloonText"/>
    <w:uiPriority w:val="99"/>
    <w:semiHidden/>
    <w:qFormat/>
    <w:rsid w:val="004F3B67"/>
    <w:rPr>
      <w:rFonts w:ascii="Segoe UI" w:hAnsi="Segoe UI" w:cs="Segoe UI"/>
      <w:sz w:val="18"/>
      <w:szCs w:val="18"/>
    </w:rPr>
  </w:style>
  <w:style w:type="character" w:customStyle="1" w:styleId="Stiprusparykinimas">
    <w:name w:val="Stiprus paryškinimas"/>
    <w:qFormat/>
    <w:rPr>
      <w:b/>
      <w:bCs/>
    </w:rPr>
  </w:style>
  <w:style w:type="paragraph" w:customStyle="1" w:styleId="Antrat1">
    <w:name w:val="Antraštė1"/>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odykl">
    <w:name w:val="Rodyklė"/>
    <w:basedOn w:val="Normal"/>
    <w:qFormat/>
    <w:pPr>
      <w:suppressLineNumbers/>
    </w:pPr>
    <w:rPr>
      <w:rFonts w:cs="Arial"/>
    </w:rPr>
  </w:style>
  <w:style w:type="paragraph" w:styleId="ListParagraph">
    <w:name w:val="List Paragraph"/>
    <w:basedOn w:val="Normal"/>
    <w:link w:val="ListParagraphChar"/>
    <w:uiPriority w:val="34"/>
    <w:qFormat/>
    <w:rsid w:val="00A14FDC"/>
    <w:pPr>
      <w:ind w:left="720"/>
      <w:contextualSpacing/>
    </w:pPr>
  </w:style>
  <w:style w:type="paragraph" w:styleId="Quote">
    <w:name w:val="Quote"/>
    <w:basedOn w:val="Normal"/>
    <w:next w:val="Normal"/>
    <w:link w:val="QuoteChar"/>
    <w:uiPriority w:val="29"/>
    <w:qFormat/>
    <w:rsid w:val="0033111D"/>
    <w:rPr>
      <w:i/>
      <w:iCs/>
      <w:color w:val="000000" w:themeColor="text1"/>
    </w:rPr>
  </w:style>
  <w:style w:type="paragraph" w:styleId="BalloonText">
    <w:name w:val="Balloon Text"/>
    <w:basedOn w:val="Normal"/>
    <w:link w:val="BalloonTextChar"/>
    <w:uiPriority w:val="99"/>
    <w:semiHidden/>
    <w:unhideWhenUsed/>
    <w:qFormat/>
    <w:rsid w:val="004F3B67"/>
    <w:pPr>
      <w:spacing w:after="0" w:line="240" w:lineRule="auto"/>
    </w:pPr>
    <w:rPr>
      <w:rFonts w:ascii="Segoe UI" w:hAnsi="Segoe UI" w:cs="Segoe UI"/>
      <w:sz w:val="18"/>
      <w:szCs w:val="18"/>
    </w:rPr>
  </w:style>
  <w:style w:type="paragraph" w:customStyle="1" w:styleId="Lentelsturinys">
    <w:name w:val="Lentelės turinys"/>
    <w:basedOn w:val="Normal"/>
    <w:qFormat/>
    <w:pPr>
      <w:widowControl w:val="0"/>
      <w:suppressLineNumbers/>
    </w:pPr>
  </w:style>
  <w:style w:type="paragraph" w:customStyle="1" w:styleId="Lentelsantrat">
    <w:name w:val="Lentelės antraštė"/>
    <w:basedOn w:val="Lentelsturinys"/>
    <w:qFormat/>
    <w:pPr>
      <w:jc w:val="center"/>
    </w:pPr>
    <w:rPr>
      <w:b/>
      <w:bCs/>
    </w:rPr>
  </w:style>
  <w:style w:type="table" w:styleId="TableGrid">
    <w:name w:val="Table Grid"/>
    <w:basedOn w:val="TableNormal"/>
    <w:uiPriority w:val="59"/>
    <w:rsid w:val="00B52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4DA9"/>
    <w:pPr>
      <w:suppressAutoHyphens w:val="0"/>
    </w:pPr>
  </w:style>
  <w:style w:type="paragraph" w:styleId="Header">
    <w:name w:val="header"/>
    <w:basedOn w:val="Normal"/>
    <w:link w:val="HeaderChar"/>
    <w:uiPriority w:val="99"/>
    <w:unhideWhenUsed/>
    <w:rsid w:val="00605A37"/>
    <w:pPr>
      <w:tabs>
        <w:tab w:val="center" w:pos="4819"/>
        <w:tab w:val="right" w:pos="9638"/>
      </w:tabs>
      <w:spacing w:after="0" w:line="240" w:lineRule="auto"/>
    </w:pPr>
  </w:style>
  <w:style w:type="character" w:customStyle="1" w:styleId="HeaderChar">
    <w:name w:val="Header Char"/>
    <w:basedOn w:val="DefaultParagraphFont"/>
    <w:link w:val="Header"/>
    <w:uiPriority w:val="99"/>
    <w:rsid w:val="00605A37"/>
  </w:style>
  <w:style w:type="paragraph" w:styleId="Footer">
    <w:name w:val="footer"/>
    <w:basedOn w:val="Normal"/>
    <w:link w:val="FooterChar"/>
    <w:uiPriority w:val="99"/>
    <w:unhideWhenUsed/>
    <w:rsid w:val="00605A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605A37"/>
  </w:style>
  <w:style w:type="table" w:customStyle="1" w:styleId="TableGrid1">
    <w:name w:val="Table Grid1"/>
    <w:basedOn w:val="TableNormal"/>
    <w:next w:val="TableGrid"/>
    <w:uiPriority w:val="39"/>
    <w:rsid w:val="00B706CF"/>
    <w:pPr>
      <w:widowControl w:val="0"/>
      <w:suppressAutoHyphens w:val="0"/>
      <w:autoSpaceDE w:val="0"/>
      <w:autoSpaceDN w:val="0"/>
      <w:adjustRightInd w:val="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4BC64-2C01-493B-9FF9-9CEFF0F65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37DE38-7ABA-4C5B-85BD-2EAC4047A97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D4AC30D-259F-4D70-BB49-8A5F8118AFD8}">
  <ds:schemaRefs>
    <ds:schemaRef ds:uri="http://schemas.microsoft.com/sharepoint/v3/contenttype/forms"/>
  </ds:schemaRefs>
</ds:datastoreItem>
</file>

<file path=customXml/itemProps4.xml><?xml version="1.0" encoding="utf-8"?>
<ds:datastoreItem xmlns:ds="http://schemas.openxmlformats.org/officeDocument/2006/customXml" ds:itemID="{4E84F08E-CAD6-450B-A4A7-E78817EBE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5002</Words>
  <Characters>2852</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almnav</dc:creator>
  <dc:description/>
  <cp:lastModifiedBy>Lina Glebė</cp:lastModifiedBy>
  <cp:revision>2</cp:revision>
  <cp:lastPrinted>2024-11-28T14:13:00Z</cp:lastPrinted>
  <dcterms:created xsi:type="dcterms:W3CDTF">2024-11-28T14:18:00Z</dcterms:created>
  <dcterms:modified xsi:type="dcterms:W3CDTF">2024-11-28T14:18:00Z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