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5BC9DF07" w:rsidR="008E28A2" w:rsidRPr="003B06A2" w:rsidRDefault="00AE76E0"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SINCHRONINIO VERTIMO</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6A469528"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AE76E0">
        <w:rPr>
          <w:rFonts w:ascii="Times New Roman" w:hAnsi="Times New Roman"/>
          <w:color w:val="000000" w:themeColor="text1"/>
          <w:sz w:val="24"/>
          <w:szCs w:val="24"/>
        </w:rPr>
        <w:t>sinchroninio vertimo</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4B3DC08"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4E7EAE08" w14:textId="563FC366"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AE76E0">
        <w:rPr>
          <w:rFonts w:ascii="Times New Roman" w:hAnsi="Times New Roman"/>
          <w:sz w:val="24"/>
          <w:szCs w:val="24"/>
        </w:rPr>
        <w:t>2</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70B86A29"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w:t>
      </w:r>
      <w:r w:rsidR="00AE76E0">
        <w:rPr>
          <w:rFonts w:ascii="Times New Roman" w:hAnsi="Times New Roman"/>
          <w:noProof/>
          <w:sz w:val="24"/>
          <w:szCs w:val="24"/>
        </w:rPr>
        <w:t xml:space="preserve">sinchroninio vertimo </w:t>
      </w:r>
      <w:r w:rsidR="00AE76E0" w:rsidRPr="00AE76E0">
        <w:rPr>
          <w:rFonts w:ascii="Times New Roman" w:hAnsi="Times New Roman"/>
          <w:noProof/>
          <w:sz w:val="24"/>
          <w:szCs w:val="24"/>
        </w:rPr>
        <w:t>iš lietuvių į anglų k. ir atvirkščiai</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xml:space="preserve">. </w:t>
      </w:r>
      <w:r w:rsidR="00DF08DB">
        <w:rPr>
          <w:rFonts w:ascii="Times New Roman" w:hAnsi="Times New Roman"/>
          <w:noProof/>
          <w:sz w:val="24"/>
          <w:szCs w:val="24"/>
        </w:rPr>
        <w:t>Bus reikalingi 2 vertėjai.</w:t>
      </w:r>
    </w:p>
    <w:p w14:paraId="435958D6" w14:textId="229BC64C"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AE76E0" w:rsidRPr="00AE76E0">
        <w:rPr>
          <w:rFonts w:ascii="Times New Roman" w:hAnsi="Times New Roman"/>
          <w:noProof/>
          <w:sz w:val="24"/>
          <w:szCs w:val="24"/>
        </w:rPr>
        <w:t>79540000-1</w:t>
      </w:r>
      <w:r w:rsidR="00534A34" w:rsidRPr="003B06A2">
        <w:rPr>
          <w:rFonts w:ascii="Times New Roman" w:hAnsi="Times New Roman"/>
          <w:noProof/>
          <w:sz w:val="24"/>
          <w:szCs w:val="24"/>
        </w:rPr>
        <w:t>.</w:t>
      </w:r>
    </w:p>
    <w:p w14:paraId="0574AEAD" w14:textId="45C0E32B" w:rsidR="0078401F"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r w:rsidR="0087483B" w:rsidRPr="0087483B">
        <w:rPr>
          <w:rFonts w:ascii="Times New Roman" w:hAnsi="Times New Roman"/>
          <w:color w:val="000000" w:themeColor="text1"/>
          <w:sz w:val="24"/>
          <w:szCs w:val="24"/>
        </w:rPr>
        <w:t>.</w:t>
      </w:r>
    </w:p>
    <w:p w14:paraId="13D7CED4" w14:textId="1276F21D" w:rsidR="00AE76E0"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Paslaugų atlikimo data – 2025-04-17</w:t>
      </w:r>
    </w:p>
    <w:p w14:paraId="78330A17" w14:textId="6DCDA320" w:rsidR="00AE76E0"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color w:val="000000" w:themeColor="text1"/>
          <w:sz w:val="24"/>
          <w:szCs w:val="24"/>
        </w:rPr>
        <w:t xml:space="preserve">Paslaugų atlikimo laikas - </w:t>
      </w:r>
      <w:r w:rsidRPr="00AE76E0">
        <w:rPr>
          <w:rFonts w:ascii="Times New Roman" w:hAnsi="Times New Roman"/>
          <w:noProof/>
          <w:sz w:val="24"/>
          <w:szCs w:val="24"/>
        </w:rPr>
        <w:t>Preliminariai: 9:30-14:30 val.</w:t>
      </w:r>
    </w:p>
    <w:p w14:paraId="04F7E2C3" w14:textId="5647A7C0" w:rsidR="00DF08DB" w:rsidRDefault="00DF08D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color w:val="000000" w:themeColor="text1"/>
          <w:sz w:val="24"/>
          <w:szCs w:val="24"/>
        </w:rPr>
        <w:t>Paslaugų apimtis –</w:t>
      </w:r>
      <w:r>
        <w:rPr>
          <w:rFonts w:ascii="Times New Roman" w:hAnsi="Times New Roman"/>
          <w:noProof/>
          <w:sz w:val="24"/>
          <w:szCs w:val="24"/>
        </w:rPr>
        <w:t xml:space="preserve"> 5 val.</w:t>
      </w:r>
    </w:p>
    <w:p w14:paraId="28268DD7" w14:textId="501B369F" w:rsidR="00AE76E0" w:rsidRPr="00AE76E0"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color w:val="000000" w:themeColor="text1"/>
          <w:sz w:val="24"/>
          <w:szCs w:val="24"/>
        </w:rPr>
        <w:t>Paslaugų atlikimo vieta -</w:t>
      </w:r>
      <w:r>
        <w:rPr>
          <w:rFonts w:ascii="Times New Roman" w:hAnsi="Times New Roman"/>
          <w:noProof/>
          <w:sz w:val="24"/>
          <w:szCs w:val="24"/>
        </w:rPr>
        <w:t xml:space="preserve"> </w:t>
      </w:r>
      <w:r w:rsidRPr="00AE76E0">
        <w:rPr>
          <w:rFonts w:ascii="Times New Roman" w:hAnsi="Times New Roman"/>
          <w:noProof/>
          <w:sz w:val="24"/>
          <w:szCs w:val="24"/>
        </w:rPr>
        <w:t>Renginys Vilniaus mieste</w:t>
      </w:r>
      <w:r>
        <w:rPr>
          <w:rFonts w:ascii="Times New Roman" w:hAnsi="Times New Roman"/>
          <w:noProof/>
          <w:sz w:val="24"/>
          <w:szCs w:val="24"/>
        </w:rPr>
        <w:t>, kuriame dalyvaus 75 dalyviai.</w:t>
      </w:r>
    </w:p>
    <w:p w14:paraId="5F3DE6C6" w14:textId="75926D7E" w:rsidR="00B57EEB" w:rsidRPr="00EF752A"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Maksimali planuojamos sudaryti pirkimo sutarties vertė </w:t>
      </w:r>
      <w:r>
        <w:rPr>
          <w:rFonts w:ascii="Times New Roman" w:hAnsi="Times New Roman"/>
          <w:noProof/>
          <w:sz w:val="24"/>
          <w:szCs w:val="24"/>
        </w:rPr>
        <w:t xml:space="preserve">– </w:t>
      </w:r>
      <w:r w:rsidR="00DF08DB">
        <w:rPr>
          <w:rFonts w:ascii="Times New Roman" w:hAnsi="Times New Roman"/>
          <w:b/>
          <w:noProof/>
          <w:sz w:val="24"/>
          <w:szCs w:val="24"/>
        </w:rPr>
        <w:t>1321,32</w:t>
      </w:r>
      <w:r>
        <w:rPr>
          <w:rFonts w:ascii="Times New Roman" w:hAnsi="Times New Roman"/>
          <w:noProof/>
          <w:sz w:val="24"/>
          <w:szCs w:val="24"/>
        </w:rPr>
        <w:t xml:space="preserve"> Eur su PVM.</w:t>
      </w:r>
    </w:p>
    <w:p w14:paraId="0D7F81CC" w14:textId="624A10F4" w:rsidR="00EF752A" w:rsidRPr="00D96924" w:rsidRDefault="00EF752A"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Pr>
          <w:rFonts w:ascii="Times New Roman" w:hAnsi="Times New Roman"/>
          <w:noProof/>
          <w:sz w:val="24"/>
          <w:szCs w:val="24"/>
        </w:rPr>
        <w:t>Pirkimas finansuojamas iš projekto</w:t>
      </w:r>
      <w:r w:rsidRPr="00153BBD">
        <w:rPr>
          <w:color w:val="000000"/>
          <w:spacing w:val="-2"/>
          <w:szCs w:val="24"/>
        </w:rPr>
        <w:t xml:space="preserve"> </w:t>
      </w:r>
      <w:r w:rsidRPr="00324DAD">
        <w:rPr>
          <w:rFonts w:ascii="Times New Roman" w:hAnsi="Times New Roman"/>
          <w:noProof/>
          <w:sz w:val="24"/>
          <w:szCs w:val="24"/>
        </w:rPr>
        <w:t>„</w:t>
      </w:r>
      <w:bookmarkStart w:id="0" w:name="_Hlk173852872"/>
      <w:r w:rsidRPr="00324DAD">
        <w:rPr>
          <w:rFonts w:ascii="Times New Roman" w:hAnsi="Times New Roman"/>
          <w:noProof/>
          <w:sz w:val="24"/>
          <w:szCs w:val="24"/>
        </w:rPr>
        <w:t>Psichologinio atsparumo ir sociokultūrinių žinių didinimas nuo karo pasitraukusiems pabėgėliams iš Ukrainos</w:t>
      </w:r>
      <w:bookmarkEnd w:id="0"/>
      <w:r w:rsidRPr="00324DAD">
        <w:rPr>
          <w:rFonts w:ascii="Times New Roman" w:hAnsi="Times New Roman"/>
          <w:noProof/>
          <w:sz w:val="24"/>
          <w:szCs w:val="24"/>
        </w:rPr>
        <w:t>“ lėšų</w:t>
      </w:r>
      <w:r>
        <w:rPr>
          <w:rFonts w:ascii="Times New Roman" w:hAnsi="Times New Roman"/>
          <w:noProof/>
          <w:sz w:val="24"/>
          <w:szCs w:val="24"/>
        </w:rPr>
        <w:t>.</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3DE7A07A" w:rsidR="00723F84" w:rsidRPr="003B06A2"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34DE1EB4"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C1709F">
        <w:rPr>
          <w:rFonts w:ascii="Times New Roman" w:hAnsi="Times New Roman"/>
          <w:b/>
          <w:color w:val="000000" w:themeColor="text1"/>
          <w:sz w:val="24"/>
          <w:szCs w:val="24"/>
        </w:rPr>
        <w:t>vasario</w:t>
      </w:r>
      <w:r w:rsidR="00B11669">
        <w:rPr>
          <w:rFonts w:ascii="Times New Roman" w:hAnsi="Times New Roman"/>
          <w:b/>
          <w:color w:val="000000" w:themeColor="text1"/>
          <w:sz w:val="24"/>
          <w:szCs w:val="24"/>
        </w:rPr>
        <w:t xml:space="preserve"> </w:t>
      </w:r>
      <w:r w:rsidR="00DF08DB">
        <w:rPr>
          <w:rFonts w:ascii="Times New Roman" w:hAnsi="Times New Roman"/>
          <w:b/>
          <w:color w:val="000000" w:themeColor="text1"/>
          <w:sz w:val="24"/>
          <w:szCs w:val="24"/>
        </w:rPr>
        <w:t>26</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3E52FB7C"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DF08DB">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Tiekėjas, kuris mano, kad perkančioji organizacija nesilaikė Viešųjų pirkimų įstatymo reikalavimų ir tuo pažeidė ar pažeis jo teisėtus interesus, turi teisę iki pirkimo sutarties sudarymo pareikšti pretenziją </w:t>
      </w:r>
      <w:r w:rsidRPr="003B06A2">
        <w:rPr>
          <w:rFonts w:ascii="Times New Roman" w:eastAsia="Times New Roman" w:hAnsi="Times New Roman"/>
          <w:color w:val="000000" w:themeColor="text1"/>
          <w:sz w:val="24"/>
          <w:szCs w:val="24"/>
        </w:rPr>
        <w:lastRenderedPageBreak/>
        <w:t>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18B15023"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Siūlomos pasirašyti sutarties sąlygos pateikiamos sutarties projekte (</w:t>
      </w:r>
      <w:r w:rsidR="00DF08DB">
        <w:rPr>
          <w:rFonts w:ascii="Times New Roman" w:eastAsia="Times New Roman" w:hAnsi="Times New Roman"/>
          <w:color w:val="000000" w:themeColor="text1"/>
          <w:sz w:val="24"/>
          <w:szCs w:val="24"/>
        </w:rPr>
        <w:t>2</w:t>
      </w:r>
      <w:r w:rsidRPr="003B06A2">
        <w:rPr>
          <w:rFonts w:ascii="Times New Roman" w:eastAsia="Times New Roman" w:hAnsi="Times New Roman"/>
          <w:color w:val="000000" w:themeColor="text1"/>
          <w:sz w:val="24"/>
          <w:szCs w:val="24"/>
        </w:rPr>
        <w:t xml:space="preserve">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4D6DFD13"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960F4E">
        <w:rPr>
          <w:rFonts w:ascii="Times New Roman" w:eastAsia="Times New Roman" w:hAnsi="Times New Roman"/>
          <w:b/>
          <w:sz w:val="24"/>
          <w:szCs w:val="24"/>
        </w:rPr>
        <w:t xml:space="preserve"> SINCHRONINIO VERTIMO</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2BFCD97" w14:textId="0F92A376" w:rsidR="008E095F" w:rsidRPr="008E095F" w:rsidRDefault="008E095F" w:rsidP="00960F4E">
      <w:pPr>
        <w:tabs>
          <w:tab w:val="left" w:pos="851"/>
        </w:tabs>
        <w:suppressAutoHyphens w:val="0"/>
        <w:overflowPunct w:val="0"/>
        <w:autoSpaceDE w:val="0"/>
        <w:autoSpaceDN/>
        <w:adjustRightInd w:val="0"/>
        <w:spacing w:after="0" w:line="276" w:lineRule="auto"/>
        <w:contextualSpacing/>
        <w:jc w:val="both"/>
        <w:rPr>
          <w:rFonts w:ascii="Times New Roman" w:hAnsi="Times New Roman"/>
          <w:b/>
          <w:sz w:val="24"/>
          <w:szCs w:val="24"/>
        </w:rPr>
      </w:pP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6159CEC3" w14:textId="77777777" w:rsidTr="00DA543E">
        <w:trPr>
          <w:cantSplit/>
          <w:trHeight w:val="53"/>
        </w:trPr>
        <w:tc>
          <w:tcPr>
            <w:tcW w:w="481" w:type="dxa"/>
          </w:tcPr>
          <w:p w14:paraId="133ECBE9"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216A02"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BECC0B0" w14:textId="6110D3B6"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Paslaugų apimtis, </w:t>
            </w:r>
            <w:r w:rsidR="00960F4E">
              <w:rPr>
                <w:rFonts w:ascii="Times New Roman" w:eastAsia="Times New Roman" w:hAnsi="Times New Roman"/>
                <w:sz w:val="24"/>
                <w:szCs w:val="24"/>
              </w:rPr>
              <w:t>val.</w:t>
            </w:r>
          </w:p>
        </w:tc>
        <w:tc>
          <w:tcPr>
            <w:tcW w:w="1650" w:type="dxa"/>
          </w:tcPr>
          <w:p w14:paraId="44A92AC8" w14:textId="338F21F2"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960F4E">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be PVM</w:t>
            </w:r>
          </w:p>
        </w:tc>
        <w:tc>
          <w:tcPr>
            <w:tcW w:w="1650" w:type="dxa"/>
          </w:tcPr>
          <w:p w14:paraId="28DB0476" w14:textId="3AB766C2"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1</w:t>
            </w:r>
            <w:r w:rsidR="00960F4E">
              <w:rPr>
                <w:rFonts w:ascii="Times New Roman" w:eastAsia="Times New Roman" w:hAnsi="Times New Roman"/>
                <w:sz w:val="24"/>
                <w:szCs w:val="24"/>
              </w:rPr>
              <w:t xml:space="preserve"> val. </w:t>
            </w:r>
            <w:r w:rsidRPr="003B06A2">
              <w:rPr>
                <w:rFonts w:ascii="Times New Roman" w:eastAsia="Times New Roman" w:hAnsi="Times New Roman"/>
                <w:sz w:val="24"/>
                <w:szCs w:val="24"/>
              </w:rPr>
              <w:t>įkainis, Eur su PVM</w:t>
            </w:r>
          </w:p>
        </w:tc>
        <w:tc>
          <w:tcPr>
            <w:tcW w:w="1650" w:type="dxa"/>
          </w:tcPr>
          <w:p w14:paraId="7546F97B" w14:textId="77777777"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Pasiūlymo kaina Eur, be PVM </w:t>
            </w:r>
            <w:r w:rsidRPr="003B06A2">
              <w:rPr>
                <w:rFonts w:ascii="Times New Roman" w:eastAsia="Times New Roman" w:hAnsi="Times New Roman"/>
                <w:i/>
                <w:iCs/>
                <w:sz w:val="24"/>
                <w:szCs w:val="24"/>
              </w:rPr>
              <w:t>(3x4)</w:t>
            </w:r>
          </w:p>
        </w:tc>
        <w:tc>
          <w:tcPr>
            <w:tcW w:w="1802" w:type="dxa"/>
          </w:tcPr>
          <w:p w14:paraId="3EDDE2FD" w14:textId="77777777"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Pasiūlymo kaina Eur, su PVM </w:t>
            </w:r>
            <w:r w:rsidRPr="003B06A2">
              <w:rPr>
                <w:rFonts w:ascii="Times New Roman" w:eastAsia="Times New Roman" w:hAnsi="Times New Roman"/>
                <w:i/>
                <w:iCs/>
                <w:sz w:val="24"/>
                <w:szCs w:val="24"/>
              </w:rPr>
              <w:t>(3x5)</w:t>
            </w:r>
          </w:p>
        </w:tc>
      </w:tr>
      <w:tr w:rsidR="008E095F" w:rsidRPr="003B06A2" w14:paraId="49D5B29C" w14:textId="77777777" w:rsidTr="00DA543E">
        <w:trPr>
          <w:trHeight w:val="53"/>
        </w:trPr>
        <w:tc>
          <w:tcPr>
            <w:tcW w:w="481" w:type="dxa"/>
          </w:tcPr>
          <w:p w14:paraId="4D5DFA4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2957AE7E"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3CDE7CD"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D4256A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502FA77"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E4F911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0D7E858A"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285FB889" w14:textId="77777777" w:rsidTr="00DA543E">
        <w:trPr>
          <w:trHeight w:val="864"/>
        </w:trPr>
        <w:tc>
          <w:tcPr>
            <w:tcW w:w="481" w:type="dxa"/>
          </w:tcPr>
          <w:p w14:paraId="2631DC58"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1.</w:t>
            </w:r>
          </w:p>
        </w:tc>
        <w:tc>
          <w:tcPr>
            <w:tcW w:w="2101" w:type="dxa"/>
          </w:tcPr>
          <w:p w14:paraId="61DEF55B" w14:textId="76BF6205" w:rsidR="008E095F" w:rsidRPr="003B06A2" w:rsidRDefault="00960F4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Sinchroninis vertimas </w:t>
            </w:r>
            <w:r w:rsidRPr="00960F4E">
              <w:rPr>
                <w:rFonts w:ascii="Times New Roman" w:eastAsia="Times New Roman" w:hAnsi="Times New Roman"/>
                <w:sz w:val="24"/>
                <w:szCs w:val="24"/>
              </w:rPr>
              <w:t>iš lietuvių</w:t>
            </w:r>
            <w:r>
              <w:rPr>
                <w:rFonts w:ascii="Times New Roman" w:eastAsia="Times New Roman" w:hAnsi="Times New Roman"/>
                <w:sz w:val="24"/>
                <w:szCs w:val="24"/>
              </w:rPr>
              <w:t xml:space="preserve"> </w:t>
            </w:r>
            <w:r w:rsidRPr="00960F4E">
              <w:rPr>
                <w:rFonts w:ascii="Times New Roman" w:eastAsia="Times New Roman" w:hAnsi="Times New Roman"/>
                <w:sz w:val="24"/>
                <w:szCs w:val="24"/>
              </w:rPr>
              <w:t>į anglų k. ir</w:t>
            </w:r>
            <w:r>
              <w:rPr>
                <w:rFonts w:ascii="Times New Roman" w:eastAsia="Times New Roman" w:hAnsi="Times New Roman"/>
                <w:sz w:val="24"/>
                <w:szCs w:val="24"/>
              </w:rPr>
              <w:t xml:space="preserve"> </w:t>
            </w:r>
            <w:r w:rsidRPr="00960F4E">
              <w:rPr>
                <w:rFonts w:ascii="Times New Roman" w:eastAsia="Times New Roman" w:hAnsi="Times New Roman"/>
                <w:sz w:val="24"/>
                <w:szCs w:val="24"/>
              </w:rPr>
              <w:t>atvirkščiai</w:t>
            </w:r>
          </w:p>
        </w:tc>
        <w:tc>
          <w:tcPr>
            <w:tcW w:w="1500" w:type="dxa"/>
          </w:tcPr>
          <w:p w14:paraId="417798A6" w14:textId="0DF148D5"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1649EF">
              <w:rPr>
                <w:rFonts w:ascii="Times New Roman" w:eastAsia="Times New Roman" w:hAnsi="Times New Roman"/>
                <w:sz w:val="24"/>
                <w:szCs w:val="24"/>
              </w:rPr>
              <w:t>5</w:t>
            </w:r>
            <w:r w:rsidR="00960F4E">
              <w:rPr>
                <w:rFonts w:ascii="Times New Roman" w:eastAsia="Times New Roman" w:hAnsi="Times New Roman"/>
                <w:sz w:val="24"/>
                <w:szCs w:val="24"/>
              </w:rPr>
              <w:t xml:space="preserve"> valandos</w:t>
            </w:r>
          </w:p>
        </w:tc>
        <w:tc>
          <w:tcPr>
            <w:tcW w:w="1650" w:type="dxa"/>
          </w:tcPr>
          <w:p w14:paraId="2427E40F"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64DF6E"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DDC397B"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95F834"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167D23C0" w14:textId="77777777"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7DC21F71" w:rsidR="00AE0CEF" w:rsidRPr="003B06A2" w:rsidRDefault="004A1ECD"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6B8B93A2" w:rsidR="000C388D" w:rsidRPr="003B06A2" w:rsidRDefault="004A1ECD" w:rsidP="000200B0">
      <w:pPr>
        <w:tabs>
          <w:tab w:val="left" w:pos="993"/>
        </w:tabs>
        <w:spacing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SINCHRONINIO VERTIMO</w:t>
      </w:r>
      <w:r w:rsidR="0059756D"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55610F8"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EF752A">
        <w:rPr>
          <w:rFonts w:ascii="Times New Roman" w:hAnsi="Times New Roman"/>
          <w:sz w:val="24"/>
          <w:szCs w:val="24"/>
        </w:rPr>
        <w:t xml:space="preserve"> </w:t>
      </w:r>
      <w:r w:rsidR="00EF752A" w:rsidRPr="00193E5A">
        <w:rPr>
          <w:rFonts w:ascii="Times New Roman" w:hAnsi="Times New Roman"/>
          <w:sz w:val="24"/>
          <w:szCs w:val="24"/>
        </w:rPr>
        <w:t>projekto „</w:t>
      </w:r>
      <w:r w:rsidR="00EF752A" w:rsidRPr="00D31CE7">
        <w:rPr>
          <w:rFonts w:ascii="Times New Roman" w:hAnsi="Times New Roman"/>
          <w:sz w:val="24"/>
          <w:szCs w:val="24"/>
        </w:rPr>
        <w:t xml:space="preserve">Psichologinio atsparumo ir </w:t>
      </w:r>
      <w:proofErr w:type="spellStart"/>
      <w:r w:rsidR="00EF752A" w:rsidRPr="00D31CE7">
        <w:rPr>
          <w:rFonts w:ascii="Times New Roman" w:hAnsi="Times New Roman"/>
          <w:sz w:val="24"/>
          <w:szCs w:val="24"/>
        </w:rPr>
        <w:t>sociokultūros</w:t>
      </w:r>
      <w:proofErr w:type="spellEnd"/>
      <w:r w:rsidR="00EF752A" w:rsidRPr="00D31CE7">
        <w:rPr>
          <w:rFonts w:ascii="Times New Roman" w:hAnsi="Times New Roman"/>
          <w:sz w:val="24"/>
          <w:szCs w:val="24"/>
        </w:rPr>
        <w:t xml:space="preserve"> žinių didinimas nuo karo pasitraukusiems pabėgėliams iš Ukrainos</w:t>
      </w:r>
      <w:r w:rsidR="00EF752A" w:rsidRPr="00193E5A">
        <w:rPr>
          <w:rFonts w:ascii="Times New Roman" w:hAnsi="Times New Roman"/>
          <w:sz w:val="24"/>
          <w:szCs w:val="24"/>
        </w:rPr>
        <w:t>“ rėmuose</w:t>
      </w:r>
      <w:r w:rsidR="00EF752A">
        <w:rPr>
          <w:rFonts w:ascii="Times New Roman" w:hAnsi="Times New Roman"/>
          <w:sz w:val="24"/>
          <w:szCs w:val="24"/>
        </w:rPr>
        <w:t>,</w:t>
      </w:r>
      <w:r w:rsidR="006021CE" w:rsidRPr="003B06A2">
        <w:rPr>
          <w:rFonts w:ascii="Times New Roman" w:hAnsi="Times New Roman"/>
          <w:sz w:val="24"/>
          <w:szCs w:val="24"/>
        </w:rPr>
        <w:t xml:space="preserve"> 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4152C242" w:rsidR="006021CE"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C47E9D">
        <w:rPr>
          <w:rFonts w:ascii="Times New Roman" w:hAnsi="Times New Roman"/>
          <w:color w:val="000000"/>
          <w:sz w:val="24"/>
          <w:szCs w:val="24"/>
        </w:rPr>
        <w:t xml:space="preserve"> sinchroninio vertimo </w:t>
      </w:r>
      <w:r w:rsidR="00C47E9D" w:rsidRPr="00EF752A">
        <w:rPr>
          <w:rFonts w:ascii="Times New Roman" w:hAnsi="Times New Roman"/>
          <w:color w:val="000000"/>
          <w:sz w:val="24"/>
          <w:szCs w:val="24"/>
        </w:rPr>
        <w:t>iš lietuvių į anglų k. ir atvirkščiai</w:t>
      </w:r>
      <w:r w:rsidR="0059756D" w:rsidRPr="003B06A2">
        <w:rPr>
          <w:rFonts w:ascii="Times New Roman" w:hAnsi="Times New Roman"/>
          <w:color w:val="000000"/>
          <w:sz w:val="24"/>
          <w:szCs w:val="24"/>
        </w:rPr>
        <w:t xml:space="preserve">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r w:rsidR="00EF752A">
        <w:rPr>
          <w:rFonts w:ascii="Times New Roman" w:hAnsi="Times New Roman"/>
          <w:color w:val="000000"/>
          <w:sz w:val="24"/>
          <w:szCs w:val="24"/>
        </w:rPr>
        <w:t xml:space="preserve"> Bus reikalingi 2 vertėjai.</w:t>
      </w:r>
    </w:p>
    <w:p w14:paraId="6986F1B2" w14:textId="465F9B79" w:rsidR="00EF752A"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atlikimo data – 2025-04-17.</w:t>
      </w:r>
    </w:p>
    <w:p w14:paraId="5CDC4A7F" w14:textId="1D38F827" w:rsidR="00EF752A"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atlikimo laikas - p</w:t>
      </w:r>
      <w:r w:rsidRPr="00EF752A">
        <w:rPr>
          <w:rFonts w:ascii="Times New Roman" w:hAnsi="Times New Roman"/>
          <w:color w:val="000000"/>
          <w:sz w:val="24"/>
          <w:szCs w:val="24"/>
        </w:rPr>
        <w:t>reliminariai: 9:30-14:30 val.</w:t>
      </w:r>
    </w:p>
    <w:p w14:paraId="2D94B926" w14:textId="7156523B" w:rsidR="00EF752A"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atlikimo vieta - </w:t>
      </w:r>
      <w:r w:rsidRPr="00EF752A">
        <w:rPr>
          <w:rFonts w:ascii="Times New Roman" w:hAnsi="Times New Roman"/>
          <w:color w:val="000000"/>
          <w:sz w:val="24"/>
          <w:szCs w:val="24"/>
        </w:rPr>
        <w:t>r</w:t>
      </w:r>
      <w:r w:rsidRPr="00EF752A">
        <w:rPr>
          <w:rFonts w:ascii="Times New Roman" w:hAnsi="Times New Roman"/>
          <w:color w:val="000000"/>
          <w:sz w:val="24"/>
          <w:szCs w:val="24"/>
        </w:rPr>
        <w:t>enginys Vilniaus mieste</w:t>
      </w:r>
      <w:r w:rsidRPr="00EF752A">
        <w:rPr>
          <w:rFonts w:ascii="Times New Roman" w:hAnsi="Times New Roman"/>
          <w:color w:val="000000"/>
          <w:sz w:val="24"/>
          <w:szCs w:val="24"/>
        </w:rPr>
        <w:t>, kuriame dalyvaus 75 dalyviai.</w:t>
      </w:r>
    </w:p>
    <w:p w14:paraId="179D8B16" w14:textId="33293B67" w:rsidR="00EF752A" w:rsidRPr="003B06A2"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apimtis - 5 val.</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771B1B37" w14:textId="3DE3EB41"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Su Tiekėju atsiskaitoma pagal faktiškai suteiktų </w:t>
      </w:r>
      <w:r>
        <w:rPr>
          <w:rFonts w:ascii="Times New Roman" w:hAnsi="Times New Roman"/>
          <w:color w:val="000000"/>
          <w:sz w:val="24"/>
          <w:szCs w:val="24"/>
        </w:rPr>
        <w:t>paslaugų</w:t>
      </w:r>
      <w:r w:rsidRPr="00BA2CB2">
        <w:rPr>
          <w:rFonts w:ascii="Times New Roman" w:hAnsi="Times New Roman"/>
          <w:color w:val="000000"/>
          <w:sz w:val="24"/>
          <w:szCs w:val="24"/>
        </w:rPr>
        <w:t xml:space="preserve"> įkainį.</w:t>
      </w:r>
    </w:p>
    <w:p w14:paraId="312CCB98" w14:textId="5346942A" w:rsidR="00BA2CB2" w:rsidRDefault="00BA2CB2" w:rsidP="00177AE6">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bookmarkStart w:id="2" w:name="_Hlk181622770"/>
      <w:r w:rsidRPr="00BA2CB2">
        <w:rPr>
          <w:rFonts w:ascii="Times New Roman" w:hAnsi="Times New Roman"/>
          <w:color w:val="000000"/>
          <w:sz w:val="24"/>
          <w:szCs w:val="24"/>
        </w:rPr>
        <w:t>1</w:t>
      </w:r>
      <w:r>
        <w:rPr>
          <w:rFonts w:ascii="Times New Roman" w:hAnsi="Times New Roman"/>
          <w:color w:val="000000"/>
          <w:sz w:val="24"/>
          <w:szCs w:val="24"/>
        </w:rPr>
        <w:t xml:space="preserve"> </w:t>
      </w:r>
      <w:bookmarkEnd w:id="2"/>
      <w:r w:rsidR="002306DC">
        <w:rPr>
          <w:rFonts w:ascii="Times New Roman" w:hAnsi="Times New Roman"/>
          <w:color w:val="000000"/>
          <w:sz w:val="24"/>
          <w:szCs w:val="24"/>
        </w:rPr>
        <w:t xml:space="preserve">val. sinchroninio vertimo </w:t>
      </w:r>
      <w:r w:rsidR="002306DC" w:rsidRPr="002306DC">
        <w:rPr>
          <w:rFonts w:ascii="Times New Roman" w:hAnsi="Times New Roman"/>
          <w:color w:val="000000"/>
          <w:sz w:val="24"/>
          <w:szCs w:val="24"/>
        </w:rPr>
        <w:t>iš lietuvių į anglų k. ir atvirkščiai</w:t>
      </w:r>
      <w:r w:rsidR="002306DC" w:rsidRPr="002306DC">
        <w:rPr>
          <w:rFonts w:ascii="Times New Roman" w:hAnsi="Times New Roman"/>
          <w:color w:val="000000"/>
          <w:sz w:val="24"/>
          <w:szCs w:val="24"/>
        </w:rPr>
        <w:t xml:space="preserve"> paslaugų įkainis</w:t>
      </w:r>
      <w:r w:rsidR="002306DC">
        <w:t xml:space="preserve"> </w:t>
      </w:r>
    </w:p>
    <w:p w14:paraId="42B2B2CA"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Maksimali Sutarties kaina negali viršyti () be PVM, Eur () su PVM. PVM sudaro Eur ().</w:t>
      </w:r>
    </w:p>
    <w:p w14:paraId="5C81D223"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Į Sutarties įkainius yra įskaičiuoti visi mokesčiai ir visos Paslaugų teikėjo išlaidos, būtinos Sutarties įvykdymui.</w:t>
      </w:r>
    </w:p>
    <w:p w14:paraId="7B6771FC"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4A8CD89E"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 xml:space="preserve">Bet kuri Sutarties šalis Sutarties galiojimo metu turi teisę inicijuoti Sutartyje numatytų įkainių perskaičiavimą (keitimą) ne anksčiau kaip po 6 (šešių) mėnesių nuo </w:t>
      </w:r>
      <w:sdt>
        <w:sdtPr>
          <w:rPr>
            <w:rFonts w:ascii="Times New Roman" w:hAnsi="Times New Roman"/>
            <w:color w:val="000000"/>
            <w:sz w:val="24"/>
            <w:szCs w:val="24"/>
          </w:rPr>
          <w:alias w:val="Pasirinkite"/>
          <w:tag w:val="Pasirinkite"/>
          <w:id w:val="-1461952951"/>
          <w:placeholder>
            <w:docPart w:val="E8B02BAA7457493DBD604DCB966455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85EF9D8" w14:textId="77777777" w:rsidR="00BA2CB2" w:rsidRPr="00BA2CB2" w:rsidRDefault="00AE76E0"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a</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r>
          <w:rPr>
            <w:rFonts w:ascii="Cambria Math" w:hAnsi="Cambria Math"/>
            <w:color w:val="000000"/>
            <w:sz w:val="24"/>
            <w:szCs w:val="24"/>
          </w:rPr>
          <m:t>a</m:t>
        </m:r>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r>
                  <w:rPr>
                    <w:rFonts w:ascii="Cambria Math" w:hAnsi="Cambria Math"/>
                    <w:color w:val="000000"/>
                    <w:sz w:val="24"/>
                    <w:szCs w:val="24"/>
                  </w:rPr>
                  <m:t>k</m:t>
                </m:r>
              </m:num>
              <m:den>
                <m:r>
                  <m:rPr>
                    <m:sty m:val="p"/>
                  </m:rPr>
                  <w:rPr>
                    <w:rFonts w:ascii="Cambria Math" w:hAnsi="Cambria Math"/>
                    <w:color w:val="000000"/>
                    <w:sz w:val="24"/>
                    <w:szCs w:val="24"/>
                  </w:rPr>
                  <m:t>100</m:t>
                </m:r>
              </m:den>
            </m:f>
            <m:r>
              <m:rPr>
                <m:sty m:val="p"/>
              </m:rPr>
              <w:rPr>
                <w:rFonts w:ascii="Cambria Math" w:hAnsi="Cambria Math"/>
                <w:color w:val="000000"/>
                <w:sz w:val="24"/>
                <w:szCs w:val="24"/>
              </w:rPr>
              <m:t>×</m:t>
            </m:r>
            <m:r>
              <w:rPr>
                <w:rFonts w:ascii="Cambria Math" w:hAnsi="Cambria Math"/>
                <w:color w:val="000000"/>
                <w:sz w:val="24"/>
                <w:szCs w:val="24"/>
              </w:rPr>
              <m:t>a</m:t>
            </m:r>
          </m:e>
        </m:d>
      </m:oMath>
      <w:r w:rsidR="00BA2CB2" w:rsidRPr="00BA2CB2">
        <w:rPr>
          <w:rFonts w:ascii="Times New Roman" w:hAnsi="Times New Roman"/>
          <w:color w:val="000000"/>
          <w:sz w:val="24"/>
          <w:szCs w:val="24"/>
        </w:rPr>
        <w:t>, kur</w:t>
      </w:r>
    </w:p>
    <w:p w14:paraId="0EA3A226"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 – įkainis (Eur be PVM)) (jei jis jau buvo perskaičiuotas, tai po paskutinio perskaičiavimo).</w:t>
      </w:r>
    </w:p>
    <w:p w14:paraId="369034A4"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a1 – perskaičiuotas (pakeistas) įkainis (Eur be PVM)</w:t>
      </w:r>
    </w:p>
    <w:p w14:paraId="55405131"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k – Pagal vartotojų kainų indeksą apskaičiuotas Vartojimo prekių ir paslaugų  kainų pokytis (padidėjimas arba sumažėjimas) (%). „k“ reikšmė skaičiuojama pagal formulę: </w:t>
      </w:r>
    </w:p>
    <w:p w14:paraId="1F77A7EF"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 </w:t>
      </w:r>
      <m:oMath>
        <m:r>
          <w:rPr>
            <w:rFonts w:ascii="Cambria Math" w:hAnsi="Cambria Math"/>
            <w:color w:val="000000"/>
            <w:sz w:val="24"/>
            <w:szCs w:val="24"/>
          </w:rPr>
          <m:t>k</m:t>
        </m:r>
        <m:r>
          <m:rPr>
            <m:sty m:val="p"/>
          </m:rPr>
          <w:rPr>
            <w:rFonts w:ascii="Cambria Math" w:hAnsi="Cambria Math"/>
            <w:color w:val="000000"/>
            <w:sz w:val="24"/>
            <w:szCs w:val="24"/>
          </w:rPr>
          <m:t xml:space="preserve"> =</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m:t>
                </m:r>
                <m:r>
                  <m:rPr>
                    <m:sty m:val="p"/>
                  </m:rPr>
                  <w:rPr>
                    <w:rFonts w:ascii="Cambria Math" w:hAnsi="Cambria Math"/>
                    <w:color w:val="000000"/>
                    <w:sz w:val="24"/>
                    <w:szCs w:val="24"/>
                  </w:rPr>
                  <m:t>ž</m:t>
                </m:r>
                <m:r>
                  <w:rPr>
                    <w:rFonts w:ascii="Cambria Math" w:hAnsi="Cambria Math"/>
                    <w:color w:val="000000"/>
                    <w:sz w:val="24"/>
                    <w:szCs w:val="24"/>
                  </w:rPr>
                  <m:t>ia</m:t>
                </m:r>
              </m:sub>
            </m:sSub>
          </m:den>
        </m:f>
        <m:r>
          <m:rPr>
            <m:sty m:val="p"/>
          </m:rPr>
          <w:rPr>
            <w:rFonts w:ascii="Cambria Math" w:hAnsi="Cambria Math"/>
            <w:color w:val="000000"/>
            <w:sz w:val="24"/>
            <w:szCs w:val="24"/>
          </w:rPr>
          <m:t>×100-100</m:t>
        </m:r>
      </m:oMath>
      <w:r w:rsidRPr="00BA2CB2">
        <w:rPr>
          <w:rFonts w:ascii="Times New Roman" w:hAnsi="Times New Roman"/>
          <w:color w:val="000000"/>
          <w:sz w:val="24"/>
          <w:szCs w:val="24"/>
        </w:rPr>
        <w:t>, (proc.) kur</w:t>
      </w:r>
    </w:p>
    <w:p w14:paraId="4C723B37"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Indnaujausias</w:t>
      </w:r>
      <w:proofErr w:type="spellEnd"/>
      <w:r w:rsidRPr="00BA2CB2">
        <w:rPr>
          <w:rFonts w:ascii="Times New Roman" w:hAnsi="Times New Roman"/>
          <w:color w:val="000000"/>
          <w:sz w:val="24"/>
          <w:szCs w:val="24"/>
        </w:rPr>
        <w:t xml:space="preserve"> – kreipimosi dėl kainos perskaičiavimo išsiuntimo kitai šaliai datą naujausias paskelbtas vartojimo prekių ir paslaugų indeksas.</w:t>
      </w:r>
    </w:p>
    <w:p w14:paraId="55567A15"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Indpradžia</w:t>
      </w:r>
      <w:proofErr w:type="spellEnd"/>
      <w:r w:rsidRPr="00BA2CB2">
        <w:rPr>
          <w:rFonts w:ascii="Times New Roman" w:hAnsi="Times New Roman"/>
          <w:color w:val="000000"/>
          <w:sz w:val="24"/>
          <w:szCs w:val="24"/>
        </w:rPr>
        <w:t xml:space="preserve"> – laikotarpio pradžios datos (mėnesio) vartojimo prekių ir paslaugų indeksas. Pirmojo perskaičiavimo atveju laikotarpio pradžia (mėnuo) yra </w:t>
      </w:r>
      <w:sdt>
        <w:sdtPr>
          <w:rPr>
            <w:rFonts w:ascii="Times New Roman" w:hAnsi="Times New Roman"/>
            <w:color w:val="000000"/>
            <w:sz w:val="24"/>
            <w:szCs w:val="24"/>
          </w:rPr>
          <w:alias w:val="Pasirinkite"/>
          <w:tag w:val="Pasirinkite"/>
          <w:id w:val="-603956337"/>
          <w:placeholder>
            <w:docPart w:val="35C95A49DCB842F48947E6A2B550D7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mėnuo. Antrojo ir vėlesnių perskaičiavimų atveju laikotarpio pradžia (mėnuo) yra paskutinio perskaičiavimo metu naudotos paskelbto atitinkamo indekso reikšmės mėnuo.</w:t>
      </w:r>
    </w:p>
    <w:p w14:paraId="71964DF2"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E392058"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Ataskaitinis laikotarpis už suteiktas paslaugas yra vienas kalendorinis mėnuo.</w:t>
      </w:r>
    </w:p>
    <w:p w14:paraId="609AAB4E" w14:textId="732CC264"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color w:val="000000"/>
          <w:sz w:val="24"/>
          <w:szCs w:val="24"/>
        </w:rPr>
        <w:t>SABIS</w:t>
      </w:r>
      <w:r w:rsidRPr="00BA2CB2">
        <w:rPr>
          <w:rFonts w:ascii="Times New Roman" w:hAnsi="Times New Roman"/>
          <w:color w:val="000000"/>
          <w:sz w:val="24"/>
          <w:szCs w:val="24"/>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48AEB854"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w:t>
      </w:r>
      <w:r w:rsidR="002306DC">
        <w:rPr>
          <w:rFonts w:ascii="Times New Roman" w:hAnsi="Times New Roman"/>
          <w:sz w:val="24"/>
          <w:szCs w:val="24"/>
        </w:rPr>
        <w:t>nkiasdešimties</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 xml:space="preserve">vienkartinę baudą. Paslaugų teikėjas sumokėjęs nustatytą vienkartinę baudą, nėra atleidžiamas </w:t>
      </w:r>
      <w:r w:rsidRPr="003B06A2">
        <w:rPr>
          <w:rFonts w:ascii="Times New Roman" w:hAnsi="Times New Roman"/>
          <w:sz w:val="24"/>
          <w:szCs w:val="24"/>
        </w:rPr>
        <w:lastRenderedPageBreak/>
        <w:t>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lastRenderedPageBreak/>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1E7755DF"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2306DC">
        <w:rPr>
          <w:rFonts w:ascii="Times New Roman" w:eastAsia="Times New Roman" w:hAnsi="Times New Roman"/>
          <w:iCs/>
          <w:sz w:val="24"/>
          <w:szCs w:val="24"/>
        </w:rPr>
        <w:t>3</w:t>
      </w:r>
      <w:r w:rsidR="005016D2">
        <w:rPr>
          <w:rFonts w:ascii="Times New Roman" w:eastAsia="Times New Roman" w:hAnsi="Times New Roman"/>
          <w:iCs/>
          <w:sz w:val="24"/>
          <w:szCs w:val="24"/>
        </w:rPr>
        <w:t xml:space="preserve"> mėnesi</w:t>
      </w:r>
      <w:r w:rsidR="002306DC">
        <w:rPr>
          <w:rFonts w:ascii="Times New Roman" w:eastAsia="Times New Roman" w:hAnsi="Times New Roman"/>
          <w:iCs/>
          <w:sz w:val="24"/>
          <w:szCs w:val="24"/>
        </w:rPr>
        <w:t>ai</w:t>
      </w:r>
      <w:r w:rsidR="005016D2">
        <w:rPr>
          <w:rFonts w:ascii="Times New Roman" w:eastAsia="Times New Roman" w:hAnsi="Times New Roman"/>
          <w:iCs/>
          <w:sz w:val="24"/>
          <w:szCs w:val="24"/>
        </w:rPr>
        <w:t>.</w:t>
      </w:r>
    </w:p>
    <w:p w14:paraId="7BE31478" w14:textId="42F0CAEA"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795A4DF4" w:rsidR="000200B0" w:rsidRPr="006965AE"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tbl>
      <w:tblPr>
        <w:tblpPr w:leftFromText="180" w:rightFromText="180" w:vertAnchor="page" w:horzAnchor="margin" w:tblpXSpec="center" w:tblpY="14569"/>
        <w:tblW w:w="8930" w:type="dxa"/>
        <w:tblCellMar>
          <w:left w:w="10" w:type="dxa"/>
          <w:right w:w="10" w:type="dxa"/>
        </w:tblCellMar>
        <w:tblLook w:val="04A0" w:firstRow="1" w:lastRow="0" w:firstColumn="1" w:lastColumn="0" w:noHBand="0" w:noVBand="1"/>
      </w:tblPr>
      <w:tblGrid>
        <w:gridCol w:w="1843"/>
        <w:gridCol w:w="3472"/>
        <w:gridCol w:w="3615"/>
      </w:tblGrid>
      <w:tr w:rsidR="002306DC" w:rsidRPr="003B06A2" w14:paraId="27930224" w14:textId="77777777" w:rsidTr="002306DC">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972B8"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2EE96" w14:textId="77777777" w:rsidR="002306DC" w:rsidRPr="003B06A2" w:rsidRDefault="002306DC" w:rsidP="002306DC">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7C024" w14:textId="77777777" w:rsidR="002306DC" w:rsidRPr="003B06A2" w:rsidRDefault="002306DC" w:rsidP="002306DC">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2306DC" w:rsidRPr="003B06A2" w14:paraId="0BCB266C" w14:textId="77777777" w:rsidTr="002306D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5E97B" w14:textId="77777777" w:rsidR="002306DC" w:rsidRPr="003B06A2" w:rsidRDefault="002306DC" w:rsidP="002306DC">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FBAF"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46E9"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p>
        </w:tc>
      </w:tr>
      <w:tr w:rsidR="002306DC" w:rsidRPr="003B06A2" w14:paraId="04E0F787" w14:textId="77777777" w:rsidTr="002306D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DC58B" w14:textId="77777777" w:rsidR="002306DC" w:rsidRPr="003B06A2" w:rsidRDefault="002306DC" w:rsidP="002306DC">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lastRenderedPageBreak/>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023D6"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BA761"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p>
        </w:tc>
      </w:tr>
      <w:tr w:rsidR="002306DC" w:rsidRPr="003B06A2" w14:paraId="0A1D9EF6" w14:textId="77777777" w:rsidTr="002306D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4ADDD" w14:textId="77777777" w:rsidR="002306DC" w:rsidRPr="003B06A2" w:rsidRDefault="002306DC" w:rsidP="002306DC">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DD7E"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hyperlink r:id="rId12" w:history="1">
              <w:r w:rsidRPr="006965AE">
                <w:rPr>
                  <w:rStyle w:val="Hipersaitas"/>
                  <w:rFonts w:ascii="Times New Roman" w:eastAsia="Times New Roman" w:hAnsi="Times New Roman"/>
                  <w:sz w:val="24"/>
                  <w:szCs w:val="24"/>
                </w:rPr>
                <w:t>info</w:t>
              </w:r>
              <w:r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3D4F5" w14:textId="77777777" w:rsidR="002306DC" w:rsidRPr="003B06A2" w:rsidRDefault="002306DC" w:rsidP="002306DC">
            <w:pPr>
              <w:tabs>
                <w:tab w:val="left" w:pos="993"/>
              </w:tabs>
              <w:spacing w:after="0" w:line="276" w:lineRule="auto"/>
              <w:rPr>
                <w:rFonts w:ascii="Times New Roman" w:eastAsia="Times New Roman" w:hAnsi="Times New Roman"/>
                <w:color w:val="000000"/>
                <w:sz w:val="24"/>
                <w:szCs w:val="24"/>
              </w:rPr>
            </w:pPr>
          </w:p>
        </w:tc>
      </w:tr>
    </w:tbl>
    <w:p w14:paraId="382CBDBC" w14:textId="2777A206"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AA90FC8" w14:textId="77777777"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0B41DA5D" w14:textId="77777777"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6965AE">
        <w:rPr>
          <w:rFonts w:ascii="Times New Roman" w:hAnsi="Times New Roman"/>
          <w:color w:val="000000"/>
          <w:sz w:val="24"/>
          <w:szCs w:val="24"/>
        </w:rPr>
        <w:t>sausio</w:t>
      </w:r>
      <w:r w:rsidR="00940145" w:rsidRPr="00D1432B">
        <w:rPr>
          <w:rFonts w:ascii="Times New Roman" w:hAnsi="Times New Roman"/>
          <w:color w:val="000000"/>
          <w:sz w:val="24"/>
          <w:szCs w:val="24"/>
        </w:rPr>
        <w:t xml:space="preserve"> </w:t>
      </w:r>
      <w:r w:rsidR="006965AE">
        <w:rPr>
          <w:rFonts w:ascii="Times New Roman" w:hAnsi="Times New Roman"/>
          <w:color w:val="000000"/>
          <w:sz w:val="24"/>
          <w:szCs w:val="24"/>
        </w:rPr>
        <w:t>21</w:t>
      </w:r>
      <w:r w:rsidR="00940145" w:rsidRPr="00D1432B">
        <w:rPr>
          <w:rFonts w:ascii="Times New Roman" w:hAnsi="Times New Roman"/>
          <w:color w:val="000000"/>
          <w:sz w:val="24"/>
          <w:szCs w:val="24"/>
        </w:rPr>
        <w:t xml:space="preserve"> d. direktoriaus įsakymu Nr. VK-1</w:t>
      </w:r>
      <w:r w:rsidR="006965AE">
        <w:rPr>
          <w:rFonts w:ascii="Times New Roman" w:hAnsi="Times New Roman"/>
          <w:color w:val="000000"/>
          <w:sz w:val="24"/>
          <w:szCs w:val="24"/>
        </w:rPr>
        <w:t>01</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bookmarkStart w:id="3" w:name="_GoBack"/>
      <w:bookmarkEnd w:id="3"/>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(8 349)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(8 349)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Pr="003B06A2">
                <w:rPr>
                  <w:rStyle w:val="Hipersaitas"/>
                  <w:rFonts w:ascii="Times New Roman" w:hAnsi="Times New Roman"/>
                  <w:sz w:val="24"/>
                  <w:szCs w:val="24"/>
                  <w:lang w:val="lt-LT"/>
                </w:rPr>
                <w:t>centras@rppc.lt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AE76E0" w:rsidRDefault="00AE76E0" w:rsidP="00060821">
      <w:pPr>
        <w:spacing w:after="0"/>
      </w:pPr>
      <w:r>
        <w:separator/>
      </w:r>
    </w:p>
  </w:endnote>
  <w:endnote w:type="continuationSeparator" w:id="0">
    <w:p w14:paraId="33A38E76" w14:textId="77777777" w:rsidR="00AE76E0" w:rsidRDefault="00AE76E0"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AE76E0" w:rsidRDefault="00AE76E0" w:rsidP="00060821">
      <w:pPr>
        <w:spacing w:after="0"/>
      </w:pPr>
      <w:r>
        <w:separator/>
      </w:r>
    </w:p>
  </w:footnote>
  <w:footnote w:type="continuationSeparator" w:id="0">
    <w:p w14:paraId="695F3353" w14:textId="77777777" w:rsidR="00AE76E0" w:rsidRDefault="00AE76E0"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6"/>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7"/>
  </w:num>
  <w:num w:numId="24">
    <w:abstractNumId w:val="11"/>
  </w:num>
  <w:num w:numId="25">
    <w:abstractNumId w:val="15"/>
  </w:num>
  <w:num w:numId="26">
    <w:abstractNumId w:val="23"/>
  </w:num>
  <w:num w:numId="27">
    <w:abstractNumId w:val="4"/>
  </w:num>
  <w:num w:numId="28">
    <w:abstractNumId w:val="18"/>
  </w:num>
  <w:num w:numId="29">
    <w:abstractNumId w:val="19"/>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6DC"/>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4622"/>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1ECD"/>
    <w:rsid w:val="004A2D78"/>
    <w:rsid w:val="004A3B33"/>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2972"/>
    <w:rsid w:val="00514786"/>
    <w:rsid w:val="00515920"/>
    <w:rsid w:val="0051768B"/>
    <w:rsid w:val="00517ABA"/>
    <w:rsid w:val="00520CE5"/>
    <w:rsid w:val="0052176E"/>
    <w:rsid w:val="0052202D"/>
    <w:rsid w:val="00525E53"/>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C049E"/>
    <w:rsid w:val="005C13D9"/>
    <w:rsid w:val="005C293A"/>
    <w:rsid w:val="005D03AA"/>
    <w:rsid w:val="005D0923"/>
    <w:rsid w:val="005E1998"/>
    <w:rsid w:val="005E1D2F"/>
    <w:rsid w:val="005E210D"/>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4942"/>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1614"/>
    <w:rsid w:val="008D3D91"/>
    <w:rsid w:val="008D5293"/>
    <w:rsid w:val="008E095F"/>
    <w:rsid w:val="008E28A2"/>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0F4E"/>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76E0"/>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47E9D"/>
    <w:rsid w:val="00C57CF1"/>
    <w:rsid w:val="00C65380"/>
    <w:rsid w:val="00C70E27"/>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08DB"/>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EF752A"/>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as@rpp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02BAA7457493DBD604DCB966455C7"/>
        <w:category>
          <w:name w:val="Bendrosios nuostatos"/>
          <w:gallery w:val="placeholder"/>
        </w:category>
        <w:types>
          <w:type w:val="bbPlcHdr"/>
        </w:types>
        <w:behaviors>
          <w:behavior w:val="content"/>
        </w:behaviors>
        <w:guid w:val="{ABBB5BE7-FB7A-4E29-9359-E7BDD7F3C116}"/>
      </w:docPartPr>
      <w:docPartBody>
        <w:p w:rsidR="009A38CF" w:rsidRDefault="0006331B" w:rsidP="0006331B">
          <w:pPr>
            <w:pStyle w:val="E8B02BAA7457493DBD604DCB966455C7"/>
          </w:pPr>
          <w:r w:rsidRPr="003158C8">
            <w:rPr>
              <w:rStyle w:val="Vietosrezervavimoenklotekstas"/>
            </w:rPr>
            <w:t>Choose an item.</w:t>
          </w:r>
        </w:p>
      </w:docPartBody>
    </w:docPart>
    <w:docPart>
      <w:docPartPr>
        <w:name w:val="35C95A49DCB842F48947E6A2B550D7B1"/>
        <w:category>
          <w:name w:val="Bendrosios nuostatos"/>
          <w:gallery w:val="placeholder"/>
        </w:category>
        <w:types>
          <w:type w:val="bbPlcHdr"/>
        </w:types>
        <w:behaviors>
          <w:behavior w:val="content"/>
        </w:behaviors>
        <w:guid w:val="{3BEFFE30-7A40-4F46-8C9E-8E7598930A2F}"/>
      </w:docPartPr>
      <w:docPartBody>
        <w:p w:rsidR="009A38CF" w:rsidRDefault="0006331B" w:rsidP="0006331B">
          <w:pPr>
            <w:pStyle w:val="35C95A49DCB842F48947E6A2B550D7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B"/>
    <w:rsid w:val="0006331B"/>
    <w:rsid w:val="000F0C27"/>
    <w:rsid w:val="00357E31"/>
    <w:rsid w:val="003E12D2"/>
    <w:rsid w:val="00451A8D"/>
    <w:rsid w:val="00943857"/>
    <w:rsid w:val="009A38CF"/>
    <w:rsid w:val="009C39FD"/>
    <w:rsid w:val="009C4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31B"/>
    <w:rPr>
      <w:color w:val="808080"/>
    </w:rPr>
  </w:style>
  <w:style w:type="paragraph" w:customStyle="1" w:styleId="E8B02BAA7457493DBD604DCB966455C7">
    <w:name w:val="E8B02BAA7457493DBD604DCB966455C7"/>
    <w:rsid w:val="0006331B"/>
  </w:style>
  <w:style w:type="paragraph" w:customStyle="1" w:styleId="35C95A49DCB842F48947E6A2B550D7B1">
    <w:name w:val="35C95A49DCB842F48947E6A2B550D7B1"/>
    <w:rsid w:val="000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838EF-7B69-47CB-A8F6-A82C491A2EF4}">
  <ds:schemaRefs>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1dfd7ada-1fc0-4ec4-a980-6dd88fb76a22"/>
    <ds:schemaRef ds:uri="d44e4088-9f89-4dfc-868c-5b1bb7340ab6"/>
    <ds:schemaRef ds:uri="http://www.w3.org/XML/1998/namespace"/>
  </ds:schemaRefs>
</ds:datastoreItem>
</file>

<file path=customXml/itemProps3.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4.xml><?xml version="1.0" encoding="utf-8"?>
<ds:datastoreItem xmlns:ds="http://schemas.openxmlformats.org/officeDocument/2006/customXml" ds:itemID="{9558DDF9-FA6E-43A6-96D1-E8862169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32234</Words>
  <Characters>18374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23</cp:revision>
  <cp:lastPrinted>2018-01-08T07:51:00Z</cp:lastPrinted>
  <dcterms:created xsi:type="dcterms:W3CDTF">2025-02-10T12:12:00Z</dcterms:created>
  <dcterms:modified xsi:type="dcterms:W3CDTF">2025-02-20T10:24:00Z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