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42D6" w14:textId="27E00120" w:rsidR="006B0C61" w:rsidRPr="006B0C61" w:rsidRDefault="006B0C61" w:rsidP="006B0C61">
      <w:pPr>
        <w:spacing w:after="0" w:line="360" w:lineRule="auto"/>
        <w:jc w:val="right"/>
        <w:rPr>
          <w:rFonts w:ascii="Times New Roman" w:hAnsi="Times New Roman" w:cs="Times New Roman"/>
          <w:lang w:val="lt-LT"/>
        </w:rPr>
      </w:pPr>
      <w:r w:rsidRPr="006B0C61">
        <w:rPr>
          <w:rFonts w:ascii="Times New Roman" w:hAnsi="Times New Roman" w:cs="Times New Roman"/>
          <w:lang w:val="lt-LT"/>
        </w:rPr>
        <w:t>Specialiųjų sąlygų 1 priedas</w:t>
      </w:r>
    </w:p>
    <w:p w14:paraId="49018690" w14:textId="77777777" w:rsidR="006B0C61" w:rsidRDefault="006B0C61" w:rsidP="00DE7E98">
      <w:pPr>
        <w:spacing w:after="0" w:line="360" w:lineRule="auto"/>
        <w:jc w:val="center"/>
        <w:rPr>
          <w:rFonts w:ascii="Times New Roman" w:hAnsi="Times New Roman" w:cs="Times New Roman"/>
          <w:b/>
          <w:bCs/>
          <w:lang w:val="lt-LT"/>
        </w:rPr>
      </w:pPr>
    </w:p>
    <w:p w14:paraId="05BA0E1B" w14:textId="55020187" w:rsidR="00866A8F" w:rsidRPr="001A5B2E" w:rsidRDefault="00996C66" w:rsidP="00DE7E98">
      <w:pPr>
        <w:spacing w:after="0" w:line="360" w:lineRule="auto"/>
        <w:jc w:val="center"/>
        <w:rPr>
          <w:rFonts w:ascii="Times New Roman" w:hAnsi="Times New Roman" w:cs="Times New Roman"/>
          <w:b/>
          <w:bCs/>
          <w:lang w:val="lt-LT"/>
        </w:rPr>
      </w:pPr>
      <w:r w:rsidRPr="001A5B2E">
        <w:rPr>
          <w:rFonts w:ascii="Times New Roman" w:hAnsi="Times New Roman" w:cs="Times New Roman"/>
          <w:b/>
          <w:bCs/>
          <w:lang w:val="lt-LT"/>
        </w:rPr>
        <w:t xml:space="preserve">LIETUVOS PROBACIJOS TARNYBOS </w:t>
      </w:r>
      <w:r w:rsidR="00866A8F" w:rsidRPr="001A5B2E">
        <w:rPr>
          <w:rFonts w:ascii="Times New Roman" w:hAnsi="Times New Roman" w:cs="Times New Roman"/>
          <w:b/>
          <w:bCs/>
          <w:lang w:val="lt-LT"/>
        </w:rPr>
        <w:t>ANTPEČIŲ</w:t>
      </w:r>
      <w:r w:rsidR="006B0C61">
        <w:rPr>
          <w:rFonts w:ascii="Times New Roman" w:hAnsi="Times New Roman" w:cs="Times New Roman"/>
          <w:b/>
          <w:bCs/>
          <w:lang w:val="lt-LT"/>
        </w:rPr>
        <w:t xml:space="preserve">, </w:t>
      </w:r>
      <w:r w:rsidRPr="001A5B2E">
        <w:rPr>
          <w:rFonts w:ascii="Times New Roman" w:hAnsi="Times New Roman" w:cs="Times New Roman"/>
          <w:b/>
          <w:bCs/>
          <w:lang w:val="lt-LT"/>
        </w:rPr>
        <w:t xml:space="preserve">MOVŲ </w:t>
      </w:r>
      <w:r w:rsidR="006B0C61">
        <w:rPr>
          <w:rFonts w:ascii="Times New Roman" w:hAnsi="Times New Roman" w:cs="Times New Roman"/>
          <w:b/>
          <w:bCs/>
          <w:lang w:val="lt-LT"/>
        </w:rPr>
        <w:t>IR PAVARDŽIŲ JUOSTELIŲ</w:t>
      </w:r>
    </w:p>
    <w:p w14:paraId="383D36DA" w14:textId="6BACF5E5" w:rsidR="00866A8F" w:rsidRDefault="00996C66" w:rsidP="00DE7E98">
      <w:pPr>
        <w:spacing w:after="0" w:line="360" w:lineRule="auto"/>
        <w:jc w:val="center"/>
        <w:rPr>
          <w:rFonts w:ascii="Times New Roman" w:hAnsi="Times New Roman" w:cs="Times New Roman"/>
          <w:b/>
          <w:bCs/>
          <w:lang w:val="lt-LT"/>
        </w:rPr>
      </w:pPr>
      <w:r w:rsidRPr="001A5B2E">
        <w:rPr>
          <w:rFonts w:ascii="Times New Roman" w:hAnsi="Times New Roman" w:cs="Times New Roman"/>
          <w:b/>
          <w:bCs/>
          <w:lang w:val="lt-LT"/>
        </w:rPr>
        <w:t>TECHNINĖ SPECIFIKACIJA</w:t>
      </w:r>
    </w:p>
    <w:p w14:paraId="1006D747" w14:textId="77777777" w:rsidR="006B0C61" w:rsidRPr="001A5B2E" w:rsidRDefault="006B0C61" w:rsidP="00DE7E98">
      <w:pPr>
        <w:spacing w:after="0" w:line="360" w:lineRule="auto"/>
        <w:jc w:val="center"/>
        <w:rPr>
          <w:rFonts w:ascii="Times New Roman" w:hAnsi="Times New Roman" w:cs="Times New Roman"/>
          <w:b/>
          <w:bCs/>
          <w:lang w:val="lt-LT"/>
        </w:rPr>
      </w:pPr>
    </w:p>
    <w:p w14:paraId="5B54CF34" w14:textId="7C58F536" w:rsidR="00866A8F" w:rsidRPr="001A5B2E" w:rsidRDefault="00866A8F" w:rsidP="00DE7E98">
      <w:pPr>
        <w:pStyle w:val="ListParagraph"/>
        <w:numPr>
          <w:ilvl w:val="0"/>
          <w:numId w:val="1"/>
        </w:numPr>
        <w:spacing w:after="0" w:line="360" w:lineRule="auto"/>
        <w:jc w:val="center"/>
        <w:rPr>
          <w:rFonts w:ascii="Times New Roman" w:hAnsi="Times New Roman" w:cs="Times New Roman"/>
          <w:b/>
          <w:bCs/>
          <w:lang w:val="lt-LT"/>
        </w:rPr>
      </w:pPr>
      <w:r w:rsidRPr="001A5B2E">
        <w:rPr>
          <w:rFonts w:ascii="Times New Roman" w:hAnsi="Times New Roman" w:cs="Times New Roman"/>
          <w:b/>
          <w:bCs/>
          <w:lang w:val="lt-LT"/>
        </w:rPr>
        <w:t>Movos</w:t>
      </w:r>
    </w:p>
    <w:p w14:paraId="6B12CEE5" w14:textId="77777777" w:rsidR="00996C66" w:rsidRPr="001A5B2E" w:rsidRDefault="00996C66" w:rsidP="00DE7E98">
      <w:pPr>
        <w:spacing w:after="0" w:line="360" w:lineRule="auto"/>
        <w:rPr>
          <w:rFonts w:ascii="Times New Roman" w:hAnsi="Times New Roman" w:cs="Times New Roman"/>
          <w:b/>
          <w:bCs/>
          <w:lang w:val="lt-LT"/>
        </w:rPr>
      </w:pPr>
    </w:p>
    <w:p w14:paraId="5DC4342D" w14:textId="3ABB51B6"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1. Movos siuvamos iš tamsiai mėlynos spalvos mišriapluoščio audinio. </w:t>
      </w:r>
      <w:r w:rsidR="00992713" w:rsidRPr="001A5B2E">
        <w:rPr>
          <w:rFonts w:ascii="Times New Roman" w:hAnsi="Times New Roman" w:cs="Times New Roman"/>
          <w:lang w:val="lt-LT"/>
        </w:rPr>
        <w:t xml:space="preserve">Movos dviejų tipų – užmaunamos ir </w:t>
      </w:r>
      <w:r w:rsidR="00DE7E98" w:rsidRPr="001A5B2E">
        <w:rPr>
          <w:rFonts w:ascii="Times New Roman" w:hAnsi="Times New Roman" w:cs="Times New Roman"/>
          <w:lang w:val="lt-LT"/>
        </w:rPr>
        <w:t>tvirtinamos velcro juostele.</w:t>
      </w:r>
    </w:p>
    <w:p w14:paraId="4B12974F" w14:textId="77777777"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2. Movos plotis – 50 mm, aukštis – 100 mm. Leistini matų nukrypimai ±3 mm. </w:t>
      </w:r>
    </w:p>
    <w:p w14:paraId="74693AFA" w14:textId="4E3E9B96"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3. Movos tamsiai mėlynos spalvos viršutinis pagrindas padengtas floku, atliekant šilkografijos techniką. </w:t>
      </w:r>
    </w:p>
    <w:p w14:paraId="3AC2002A" w14:textId="225E31C0"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4. Ant movų, aukso (gold) spalvos metalizuotais siūlais (spalvos Nr. 4008 Gold 8 kataloge MADEIRA SUPER TWIST), siuvinėjami vidaus tarnybos laipsnių ženklai. Žvaigždutės  iškilios, 3 mm aukščio. Leistini matų nukrypimai ±1 mm. Vidaus tarnybos generolo movose 5 mm atstumu nuo išorinio movos krašto aukso spalvos siūlais išsiuvinėti 6 ąžuolo lapai, o vidaus tarnybos pulkininko, vidaus tarnybos pulkininko leitenanto ir vidaus tarnybos majoro movose – 2 ąžuolo lapai. Vidaus tarnybos generolo movos turi aukso spalvos apvadą. </w:t>
      </w:r>
    </w:p>
    <w:p w14:paraId="716A2CFC" w14:textId="3011CE2B"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5. Ant pareigūnų movų siuvinėjami pareigūnų tarnybinių laipsnių ženklai pagal 1 lentelės „Tarnybiniai laipsnių ženklai “ reikalavimus. </w:t>
      </w:r>
    </w:p>
    <w:p w14:paraId="51E5D1DB" w14:textId="5EC89C92"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6. Užmaunamos movos viršutinis ir apatinis kraštai nupeltakiuoti 1 mm pločio siūle. Movos apatinės dalies sujungimo kraštai turi būti paklijuoti ir užtvirtinti. Mova turi būti pastandinta, išlaikyti formą. </w:t>
      </w:r>
    </w:p>
    <w:p w14:paraId="098D3ACF" w14:textId="361F19AB"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7. Tvirtinamos su velkro juosta movos kraštas 2-3 mm pločio apsiūtas tamsiai mėlynos spalvos tekstūruotais poliesteriniais siūlais. Mova turi būti pastandinta, išlaikyti formą. Movos nugarinėje pusėje prisiūta juodos spalvos velkro juostos kieta dalis</w:t>
      </w:r>
      <w:r w:rsidR="00866A8F" w:rsidRPr="001A5B2E">
        <w:rPr>
          <w:rFonts w:ascii="Times New Roman" w:hAnsi="Times New Roman" w:cs="Times New Roman"/>
          <w:lang w:val="lt-LT"/>
        </w:rPr>
        <w:t xml:space="preserve"> </w:t>
      </w:r>
      <w:r w:rsidRPr="001A5B2E">
        <w:rPr>
          <w:rFonts w:ascii="Times New Roman" w:hAnsi="Times New Roman" w:cs="Times New Roman"/>
          <w:lang w:val="lt-LT"/>
        </w:rPr>
        <w:t xml:space="preserve">(su kabliukais). </w:t>
      </w:r>
    </w:p>
    <w:p w14:paraId="0345E1E2" w14:textId="62288AFD"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8. Movų ir išsiuvinėtų laipsnių ženklų spalva Pirkimo pavyzdžiui turi būti suderinta pagal Pirkėjo turimus gaminius iki pasiūlymų pateikimo termino. </w:t>
      </w:r>
    </w:p>
    <w:p w14:paraId="6CC7DE59" w14:textId="442EC1D2"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9. Movos pakuojamos į skaidrų polietileninį maišelį po 10 porų ir į kartoninę pakuotę po 20 įpakavimų. </w:t>
      </w:r>
    </w:p>
    <w:p w14:paraId="4AA9EE09" w14:textId="77777777" w:rsidR="00996C66" w:rsidRPr="001A5B2E"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10. Mova turi atitikti etaloną ir techninį aprašymą. Movos spalva turi atitikti etalono spalvą. </w:t>
      </w:r>
    </w:p>
    <w:p w14:paraId="2B7AB350" w14:textId="20ED2CB9" w:rsidR="00866A8F" w:rsidRPr="00741632" w:rsidRDefault="00996C66"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 xml:space="preserve">11. </w:t>
      </w:r>
      <w:bookmarkStart w:id="0" w:name="_Hlk190938050"/>
      <w:r w:rsidR="00B22758" w:rsidRPr="00741632">
        <w:rPr>
          <w:rFonts w:ascii="Times New Roman" w:hAnsi="Times New Roman" w:cs="Times New Roman"/>
          <w:lang w:val="lt-LT"/>
        </w:rPr>
        <w:t xml:space="preserve">Ekonomiškai naudingiausią pasiūlymą pateikęs tiekėjas iki sutarties sudarymo </w:t>
      </w:r>
      <w:r w:rsidRPr="00741632">
        <w:rPr>
          <w:rFonts w:ascii="Times New Roman" w:hAnsi="Times New Roman" w:cs="Times New Roman"/>
          <w:lang w:val="lt-LT"/>
        </w:rPr>
        <w:t>tur</w:t>
      </w:r>
      <w:r w:rsidR="00B22758" w:rsidRPr="00741632">
        <w:rPr>
          <w:rFonts w:ascii="Times New Roman" w:hAnsi="Times New Roman" w:cs="Times New Roman"/>
          <w:lang w:val="lt-LT"/>
        </w:rPr>
        <w:t xml:space="preserve">ės </w:t>
      </w:r>
      <w:r w:rsidRPr="00741632">
        <w:rPr>
          <w:rFonts w:ascii="Times New Roman" w:hAnsi="Times New Roman" w:cs="Times New Roman"/>
          <w:lang w:val="lt-LT"/>
        </w:rPr>
        <w:t xml:space="preserve">pateikti </w:t>
      </w:r>
      <w:bookmarkEnd w:id="0"/>
      <w:r w:rsidR="00866A8F" w:rsidRPr="00741632">
        <w:rPr>
          <w:rFonts w:ascii="Times New Roman" w:hAnsi="Times New Roman" w:cs="Times New Roman"/>
          <w:lang w:val="lt-LT"/>
        </w:rPr>
        <w:t xml:space="preserve">generolo ir pulkininko </w:t>
      </w:r>
      <w:r w:rsidRPr="00741632">
        <w:rPr>
          <w:rFonts w:ascii="Times New Roman" w:hAnsi="Times New Roman" w:cs="Times New Roman"/>
          <w:lang w:val="lt-LT"/>
        </w:rPr>
        <w:t>movų pavyzdži</w:t>
      </w:r>
      <w:r w:rsidR="00B22758" w:rsidRPr="00741632">
        <w:rPr>
          <w:rFonts w:ascii="Times New Roman" w:hAnsi="Times New Roman" w:cs="Times New Roman"/>
          <w:lang w:val="lt-LT"/>
        </w:rPr>
        <w:t>us</w:t>
      </w:r>
      <w:r w:rsidRPr="00741632">
        <w:rPr>
          <w:rFonts w:ascii="Times New Roman" w:hAnsi="Times New Roman" w:cs="Times New Roman"/>
          <w:lang w:val="lt-LT"/>
        </w:rPr>
        <w:t xml:space="preserve"> po 1 vnt. (1</w:t>
      </w:r>
      <w:r w:rsidR="00866A8F" w:rsidRPr="00741632">
        <w:rPr>
          <w:rFonts w:ascii="Times New Roman" w:hAnsi="Times New Roman" w:cs="Times New Roman"/>
          <w:lang w:val="lt-LT"/>
        </w:rPr>
        <w:t xml:space="preserve"> </w:t>
      </w:r>
      <w:r w:rsidRPr="00741632">
        <w:rPr>
          <w:rFonts w:ascii="Times New Roman" w:hAnsi="Times New Roman" w:cs="Times New Roman"/>
          <w:lang w:val="lt-LT"/>
        </w:rPr>
        <w:t>turi būti užmaunama, kita su velkro juosta).</w:t>
      </w:r>
      <w:r w:rsidR="001A5B2E" w:rsidRPr="00741632">
        <w:rPr>
          <w:rFonts w:ascii="Times New Roman" w:hAnsi="Times New Roman" w:cs="Times New Roman"/>
          <w:lang w:val="lt-LT"/>
        </w:rPr>
        <w:t xml:space="preserve"> Pavyzdžiai tur</w:t>
      </w:r>
      <w:r w:rsidR="00B22758" w:rsidRPr="00741632">
        <w:rPr>
          <w:rFonts w:ascii="Times New Roman" w:hAnsi="Times New Roman" w:cs="Times New Roman"/>
          <w:lang w:val="lt-LT"/>
        </w:rPr>
        <w:t xml:space="preserve">ės </w:t>
      </w:r>
      <w:r w:rsidR="001A5B2E" w:rsidRPr="00741632">
        <w:rPr>
          <w:rFonts w:ascii="Times New Roman" w:hAnsi="Times New Roman" w:cs="Times New Roman"/>
          <w:lang w:val="lt-LT"/>
        </w:rPr>
        <w:t xml:space="preserve"> būti pristatyti adresu</w:t>
      </w:r>
      <w:r w:rsidR="00B22758" w:rsidRPr="00741632">
        <w:rPr>
          <w:rFonts w:ascii="Times New Roman" w:hAnsi="Times New Roman" w:cs="Times New Roman"/>
          <w:lang w:val="lt-LT"/>
        </w:rPr>
        <w:t>:</w:t>
      </w:r>
      <w:r w:rsidR="001A5B2E" w:rsidRPr="00741632">
        <w:rPr>
          <w:rFonts w:ascii="Times New Roman" w:hAnsi="Times New Roman" w:cs="Times New Roman"/>
          <w:lang w:val="lt-LT"/>
        </w:rPr>
        <w:t xml:space="preserve"> Kareivių g. 1, Vilnius.</w:t>
      </w:r>
      <w:r w:rsidR="00DF2D95" w:rsidRPr="00741632">
        <w:rPr>
          <w:rFonts w:ascii="Times New Roman" w:hAnsi="Times New Roman" w:cs="Times New Roman"/>
          <w:lang w:val="lt-LT"/>
        </w:rPr>
        <w:t xml:space="preserve"> Esant neatitikima</w:t>
      </w:r>
      <w:r w:rsidR="000C62B1" w:rsidRPr="00741632">
        <w:rPr>
          <w:rFonts w:ascii="Times New Roman" w:hAnsi="Times New Roman" w:cs="Times New Roman"/>
          <w:lang w:val="lt-LT"/>
        </w:rPr>
        <w:t xml:space="preserve">ms </w:t>
      </w:r>
      <w:r w:rsidR="00DF2D95" w:rsidRPr="00741632">
        <w:rPr>
          <w:rFonts w:ascii="Times New Roman" w:hAnsi="Times New Roman" w:cs="Times New Roman"/>
          <w:lang w:val="lt-LT"/>
        </w:rPr>
        <w:t>turės būtų koreguojami pagal perkančiosios organizacijos pageidavimą</w:t>
      </w:r>
      <w:r w:rsidR="000C62B1" w:rsidRPr="00741632">
        <w:rPr>
          <w:rFonts w:ascii="Times New Roman" w:hAnsi="Times New Roman" w:cs="Times New Roman"/>
          <w:lang w:val="lt-LT"/>
        </w:rPr>
        <w:t>, nekeičiant pasiūlytų įkainių.</w:t>
      </w:r>
      <w:r w:rsidR="00DF2D95" w:rsidRPr="00741632">
        <w:rPr>
          <w:rFonts w:ascii="Times New Roman" w:hAnsi="Times New Roman" w:cs="Times New Roman"/>
          <w:lang w:val="lt-LT"/>
        </w:rPr>
        <w:t xml:space="preserve"> </w:t>
      </w:r>
    </w:p>
    <w:p w14:paraId="6765D062" w14:textId="015826F7" w:rsidR="00866A8F" w:rsidRPr="001A5B2E" w:rsidRDefault="00866A8F" w:rsidP="00DE7E98">
      <w:pPr>
        <w:pStyle w:val="ListParagraph"/>
        <w:numPr>
          <w:ilvl w:val="0"/>
          <w:numId w:val="1"/>
        </w:numPr>
        <w:spacing w:after="0" w:line="360" w:lineRule="auto"/>
        <w:jc w:val="center"/>
        <w:rPr>
          <w:rFonts w:ascii="Times New Roman" w:hAnsi="Times New Roman" w:cs="Times New Roman"/>
          <w:b/>
          <w:bCs/>
          <w:lang w:val="lt-LT"/>
        </w:rPr>
      </w:pPr>
      <w:r w:rsidRPr="001A5B2E">
        <w:rPr>
          <w:rFonts w:ascii="Times New Roman" w:hAnsi="Times New Roman" w:cs="Times New Roman"/>
          <w:b/>
          <w:bCs/>
          <w:lang w:val="lt-LT"/>
        </w:rPr>
        <w:lastRenderedPageBreak/>
        <w:t>Antpečiai</w:t>
      </w:r>
    </w:p>
    <w:p w14:paraId="49C6DC8E" w14:textId="77777777" w:rsidR="00866A8F" w:rsidRPr="001A5B2E" w:rsidRDefault="00866A8F" w:rsidP="00DE7E98">
      <w:pPr>
        <w:spacing w:after="0" w:line="360" w:lineRule="auto"/>
        <w:ind w:left="360"/>
        <w:rPr>
          <w:rFonts w:ascii="Times New Roman" w:hAnsi="Times New Roman" w:cs="Times New Roman"/>
          <w:b/>
          <w:bCs/>
          <w:lang w:val="lt-LT"/>
        </w:rPr>
      </w:pPr>
    </w:p>
    <w:p w14:paraId="36168105" w14:textId="33FDC9A3" w:rsidR="00866A8F" w:rsidRPr="001A5B2E" w:rsidRDefault="00866A8F" w:rsidP="00DE7E98">
      <w:pPr>
        <w:pStyle w:val="ListParagraph"/>
        <w:numPr>
          <w:ilvl w:val="0"/>
          <w:numId w:val="2"/>
        </w:numPr>
        <w:tabs>
          <w:tab w:val="left" w:pos="284"/>
        </w:tabs>
        <w:spacing w:after="0" w:line="360" w:lineRule="auto"/>
        <w:ind w:left="0" w:firstLine="0"/>
        <w:jc w:val="both"/>
        <w:rPr>
          <w:rFonts w:ascii="Times New Roman" w:hAnsi="Times New Roman" w:cs="Times New Roman"/>
          <w:lang w:val="lt-LT"/>
        </w:rPr>
      </w:pPr>
      <w:r w:rsidRPr="001A5B2E">
        <w:rPr>
          <w:rFonts w:ascii="Times New Roman" w:hAnsi="Times New Roman" w:cs="Times New Roman"/>
          <w:lang w:val="lt-LT"/>
        </w:rPr>
        <w:t>Antpečiai – tamsiai mėlynos spalvos, aksominio audinio, 120 mm ilgio ir 48 mm pločio. Antpečio galas, prie kurio tvirtinama 15 mm skersmens saga, suapvalintas, padaroma maža skylut</w:t>
      </w:r>
      <w:r w:rsidR="00DE7E98" w:rsidRPr="001A5B2E">
        <w:rPr>
          <w:rFonts w:ascii="Times New Roman" w:hAnsi="Times New Roman" w:cs="Times New Roman"/>
          <w:lang w:val="lt-LT"/>
        </w:rPr>
        <w:t>ė</w:t>
      </w:r>
      <w:r w:rsidRPr="001A5B2E">
        <w:rPr>
          <w:rFonts w:ascii="Times New Roman" w:hAnsi="Times New Roman" w:cs="Times New Roman"/>
          <w:lang w:val="lt-LT"/>
        </w:rPr>
        <w:t xml:space="preserve"> uniformos sagai. </w:t>
      </w:r>
      <w:r w:rsidR="00DE7E98" w:rsidRPr="001A5B2E">
        <w:rPr>
          <w:rFonts w:ascii="Times New Roman" w:hAnsi="Times New Roman" w:cs="Times New Roman"/>
          <w:lang w:val="lt-LT"/>
        </w:rPr>
        <w:t xml:space="preserve">Metalinis laipsnio ženklas tvirtinamas prie antpečio. </w:t>
      </w:r>
      <w:r w:rsidRPr="001A5B2E">
        <w:rPr>
          <w:rFonts w:ascii="Times New Roman" w:hAnsi="Times New Roman" w:cs="Times New Roman"/>
          <w:lang w:val="lt-LT"/>
        </w:rPr>
        <w:t>Padaromos skylutės metalinių laipsnių ženklų tvirtinimui.</w:t>
      </w:r>
    </w:p>
    <w:p w14:paraId="78DAA1FB" w14:textId="77777777" w:rsidR="00866A8F" w:rsidRPr="001A5B2E" w:rsidRDefault="00866A8F" w:rsidP="00DE7E98">
      <w:pPr>
        <w:pStyle w:val="ListParagraph"/>
        <w:numPr>
          <w:ilvl w:val="0"/>
          <w:numId w:val="2"/>
        </w:numPr>
        <w:tabs>
          <w:tab w:val="left" w:pos="284"/>
        </w:tabs>
        <w:spacing w:after="0" w:line="360" w:lineRule="auto"/>
        <w:ind w:left="0" w:firstLine="0"/>
        <w:jc w:val="both"/>
        <w:rPr>
          <w:rFonts w:ascii="Times New Roman" w:hAnsi="Times New Roman" w:cs="Times New Roman"/>
          <w:lang w:val="lt-LT"/>
        </w:rPr>
      </w:pPr>
      <w:r w:rsidRPr="001A5B2E">
        <w:rPr>
          <w:rFonts w:ascii="Times New Roman" w:hAnsi="Times New Roman" w:cs="Times New Roman"/>
          <w:lang w:val="lt-LT"/>
        </w:rPr>
        <w:t>Vidaus tarnybos generolo antpečių kraštas apsiūtas aukso spalvos apvadu, kitų vidaus tarnybos laipsnių antpečių – mėlynu apvadu.</w:t>
      </w:r>
    </w:p>
    <w:p w14:paraId="5D2B10A9" w14:textId="77777777" w:rsidR="00866A8F" w:rsidRPr="001A5B2E" w:rsidRDefault="00866A8F" w:rsidP="00DE7E98">
      <w:pPr>
        <w:pStyle w:val="ListParagraph"/>
        <w:numPr>
          <w:ilvl w:val="0"/>
          <w:numId w:val="2"/>
        </w:numPr>
        <w:tabs>
          <w:tab w:val="left" w:pos="284"/>
        </w:tabs>
        <w:spacing w:after="0" w:line="360" w:lineRule="auto"/>
        <w:ind w:left="0" w:firstLine="0"/>
        <w:jc w:val="both"/>
        <w:rPr>
          <w:rFonts w:ascii="Times New Roman" w:hAnsi="Times New Roman" w:cs="Times New Roman"/>
          <w:lang w:val="lt-LT"/>
        </w:rPr>
      </w:pPr>
      <w:r w:rsidRPr="001A5B2E">
        <w:rPr>
          <w:rFonts w:ascii="Times New Roman" w:hAnsi="Times New Roman" w:cs="Times New Roman"/>
          <w:lang w:val="lt-LT"/>
        </w:rPr>
        <w:t>Vidaus tarnybos generolo antpečiuose 5 mm atstumu nuo išorinio antpečio krašto aukso spalvos siūlais išsiuvinėti 6 ąžuolo lapai, o vidaus tarnybos pulkininko, vidaus tarnybos pulkininko leitenanto ir vidaus tarnybos majoro antpečiuose – 2 ąžuolo lapai.</w:t>
      </w:r>
    </w:p>
    <w:p w14:paraId="7C13B351" w14:textId="77777777" w:rsidR="00866A8F" w:rsidRPr="001A5B2E" w:rsidRDefault="00866A8F" w:rsidP="00DE7E98">
      <w:pPr>
        <w:pStyle w:val="ListParagraph"/>
        <w:numPr>
          <w:ilvl w:val="0"/>
          <w:numId w:val="2"/>
        </w:numPr>
        <w:tabs>
          <w:tab w:val="left" w:pos="284"/>
        </w:tabs>
        <w:spacing w:after="0" w:line="360" w:lineRule="auto"/>
        <w:ind w:left="0" w:firstLine="0"/>
        <w:jc w:val="both"/>
        <w:rPr>
          <w:rFonts w:ascii="Times New Roman" w:hAnsi="Times New Roman" w:cs="Times New Roman"/>
          <w:lang w:val="lt-LT"/>
        </w:rPr>
      </w:pPr>
      <w:r w:rsidRPr="001A5B2E">
        <w:rPr>
          <w:rFonts w:ascii="Times New Roman" w:hAnsi="Times New Roman" w:cs="Times New Roman"/>
          <w:lang w:val="lt-LT"/>
        </w:rPr>
        <w:t xml:space="preserve">Vidinėje pagrindo pusėje 40 mm nuo antpečio pradžios, skersai prisiuvama juostelė. </w:t>
      </w:r>
    </w:p>
    <w:p w14:paraId="4ED55A33" w14:textId="77777777" w:rsidR="00AE126E" w:rsidRPr="001A5B2E" w:rsidRDefault="00866A8F" w:rsidP="00DE7E98">
      <w:pPr>
        <w:pStyle w:val="ListParagraph"/>
        <w:numPr>
          <w:ilvl w:val="0"/>
          <w:numId w:val="2"/>
        </w:numPr>
        <w:tabs>
          <w:tab w:val="left" w:pos="284"/>
        </w:tabs>
        <w:spacing w:after="0" w:line="360" w:lineRule="auto"/>
        <w:ind w:left="0" w:firstLine="0"/>
        <w:jc w:val="both"/>
        <w:rPr>
          <w:rFonts w:ascii="Times New Roman" w:hAnsi="Times New Roman" w:cs="Times New Roman"/>
          <w:lang w:val="lt-LT"/>
        </w:rPr>
      </w:pPr>
      <w:r w:rsidRPr="001A5B2E">
        <w:rPr>
          <w:rFonts w:ascii="Times New Roman" w:hAnsi="Times New Roman" w:cs="Times New Roman"/>
          <w:lang w:val="lt-LT"/>
        </w:rPr>
        <w:t>Antpečio vidinės pusės gale prisiūta standinto audinio juostelė (110 mm) su skylute, kuria antpetis prisegamas prie uniforminių drabužių.</w:t>
      </w:r>
    </w:p>
    <w:p w14:paraId="1A65ACE8" w14:textId="07062A53" w:rsidR="00AE126E" w:rsidRPr="001A5B2E" w:rsidRDefault="00866A8F" w:rsidP="00DE7E98">
      <w:pPr>
        <w:pStyle w:val="ListParagraph"/>
        <w:numPr>
          <w:ilvl w:val="0"/>
          <w:numId w:val="2"/>
        </w:numPr>
        <w:tabs>
          <w:tab w:val="left" w:pos="284"/>
        </w:tabs>
        <w:spacing w:after="0" w:line="360" w:lineRule="auto"/>
        <w:ind w:left="0" w:firstLine="0"/>
        <w:jc w:val="both"/>
        <w:rPr>
          <w:rFonts w:ascii="Times New Roman" w:hAnsi="Times New Roman" w:cs="Times New Roman"/>
          <w:lang w:val="lt-LT"/>
        </w:rPr>
      </w:pPr>
      <w:r w:rsidRPr="001A5B2E">
        <w:rPr>
          <w:rFonts w:ascii="Times New Roman" w:hAnsi="Times New Roman" w:cs="Times New Roman"/>
          <w:lang w:val="lt-LT"/>
        </w:rPr>
        <w:t>Gaminys turi atitikti šiai gaminių kategorijai keliamus reikalavimus ir atitikti Lietuvos Respublikos teisingumo ministro 2024 m. birželio 6 d. įsakymu Nr. 1R-172 „</w:t>
      </w:r>
      <w:r w:rsidR="00AE126E" w:rsidRPr="001A5B2E">
        <w:rPr>
          <w:rFonts w:ascii="Times New Roman" w:hAnsi="Times New Roman" w:cs="Times New Roman"/>
          <w:lang w:val="lt-LT"/>
        </w:rPr>
        <w:t>Dėl bausmių vykdymo sistemos pareigūnų tarnybinės uniformos, kursantų uniformos ir skiriamųjų ženklų pavyzdžių aprašo patvirtinimo</w:t>
      </w:r>
      <w:r w:rsidRPr="001A5B2E">
        <w:rPr>
          <w:rFonts w:ascii="Times New Roman" w:hAnsi="Times New Roman" w:cs="Times New Roman"/>
          <w:lang w:val="lt-LT"/>
        </w:rPr>
        <w:t xml:space="preserve">“ patvirtintą </w:t>
      </w:r>
      <w:r w:rsidR="00AE126E" w:rsidRPr="001A5B2E">
        <w:rPr>
          <w:rFonts w:ascii="Times New Roman" w:hAnsi="Times New Roman" w:cs="Times New Roman"/>
          <w:lang w:val="lt-LT"/>
        </w:rPr>
        <w:t>Bausmių vykdymo sistemos pareigūnų tarnybinės uniformos, kursantų uniformos ir skiriamųjų ženklų pavyzdžių aprašą</w:t>
      </w:r>
      <w:r w:rsidRPr="001A5B2E">
        <w:rPr>
          <w:rFonts w:ascii="Times New Roman" w:hAnsi="Times New Roman" w:cs="Times New Roman"/>
          <w:lang w:val="lt-LT"/>
        </w:rPr>
        <w:t xml:space="preserve">. </w:t>
      </w:r>
      <w:r w:rsidR="00DD6559">
        <w:rPr>
          <w:rFonts w:ascii="Times New Roman" w:hAnsi="Times New Roman" w:cs="Times New Roman"/>
          <w:lang w:val="lt-LT"/>
        </w:rPr>
        <w:t>(</w:t>
      </w:r>
      <w:hyperlink r:id="rId8" w:tgtFrame="_blank" w:tooltip="https://e-seimas.lrs.lt/portal/legalAct/lt/TAD/89633860250511efb121d2fe3a0eff27?jfwid=-4fsid7eim" w:history="1">
        <w:r w:rsidR="00DD6559" w:rsidRPr="00DD6559">
          <w:rPr>
            <w:rStyle w:val="Hyperlink"/>
            <w:rFonts w:ascii="Times New Roman" w:hAnsi="Times New Roman" w:cs="Times New Roman"/>
          </w:rPr>
          <w:t>https://e-seimas.lrs.lt/portal/legalAct/lt/TAD/89633860250511efb121d2fe3a0eff27?jfwid=-4fsid7eim</w:t>
        </w:r>
      </w:hyperlink>
      <w:r w:rsidR="00DD6559" w:rsidRPr="00DD6559">
        <w:rPr>
          <w:rFonts w:ascii="Times New Roman" w:hAnsi="Times New Roman" w:cs="Times New Roman"/>
        </w:rPr>
        <w:t> </w:t>
      </w:r>
      <w:r w:rsidR="00DD6559">
        <w:rPr>
          <w:rFonts w:ascii="Times New Roman" w:hAnsi="Times New Roman" w:cs="Times New Roman"/>
        </w:rPr>
        <w:t>)</w:t>
      </w:r>
    </w:p>
    <w:p w14:paraId="5174BD66" w14:textId="35A10F81" w:rsidR="00AE126E" w:rsidRPr="001A5B2E" w:rsidRDefault="00866A8F" w:rsidP="00DE7E98">
      <w:pPr>
        <w:pStyle w:val="ListParagraph"/>
        <w:numPr>
          <w:ilvl w:val="0"/>
          <w:numId w:val="2"/>
        </w:numPr>
        <w:tabs>
          <w:tab w:val="left" w:pos="284"/>
        </w:tabs>
        <w:spacing w:after="0" w:line="360" w:lineRule="auto"/>
        <w:ind w:left="0" w:firstLine="0"/>
        <w:jc w:val="both"/>
        <w:rPr>
          <w:rFonts w:ascii="Times New Roman" w:hAnsi="Times New Roman" w:cs="Times New Roman"/>
          <w:lang w:val="lt-LT"/>
        </w:rPr>
      </w:pPr>
      <w:r w:rsidRPr="001A5B2E">
        <w:rPr>
          <w:rFonts w:ascii="Times New Roman" w:hAnsi="Times New Roman" w:cs="Times New Roman"/>
          <w:lang w:val="lt-LT"/>
        </w:rPr>
        <w:t xml:space="preserve">Įpakavimas. Antpečiai supakuojami poromis į skaidraus plastiko maišelius pagal </w:t>
      </w:r>
      <w:r w:rsidR="00AE126E" w:rsidRPr="001A5B2E">
        <w:rPr>
          <w:rFonts w:ascii="Times New Roman" w:hAnsi="Times New Roman" w:cs="Times New Roman"/>
          <w:lang w:val="lt-LT"/>
        </w:rPr>
        <w:t>laipsnius</w:t>
      </w:r>
      <w:r w:rsidRPr="001A5B2E">
        <w:rPr>
          <w:rFonts w:ascii="Times New Roman" w:hAnsi="Times New Roman" w:cs="Times New Roman"/>
          <w:lang w:val="lt-LT"/>
        </w:rPr>
        <w:t>.</w:t>
      </w:r>
    </w:p>
    <w:p w14:paraId="4C6D9648" w14:textId="77777777" w:rsidR="00AE126E" w:rsidRPr="001A5B2E" w:rsidRDefault="00AE126E" w:rsidP="00DE7E98">
      <w:pPr>
        <w:tabs>
          <w:tab w:val="left" w:pos="284"/>
        </w:tabs>
        <w:spacing w:after="0" w:line="360" w:lineRule="auto"/>
        <w:jc w:val="both"/>
        <w:rPr>
          <w:rFonts w:ascii="Times New Roman" w:hAnsi="Times New Roman" w:cs="Times New Roman"/>
          <w:lang w:val="lt-LT"/>
        </w:rPr>
      </w:pPr>
    </w:p>
    <w:p w14:paraId="5E2FF0D0" w14:textId="4200D085" w:rsidR="00CA43F2" w:rsidRPr="001A5B2E" w:rsidRDefault="00AE126E" w:rsidP="00DE7E98">
      <w:pPr>
        <w:pStyle w:val="ListParagraph"/>
        <w:numPr>
          <w:ilvl w:val="0"/>
          <w:numId w:val="1"/>
        </w:numPr>
        <w:tabs>
          <w:tab w:val="left" w:pos="284"/>
        </w:tabs>
        <w:spacing w:after="0" w:line="360" w:lineRule="auto"/>
        <w:jc w:val="center"/>
        <w:rPr>
          <w:rFonts w:ascii="Times New Roman" w:hAnsi="Times New Roman" w:cs="Times New Roman"/>
          <w:b/>
          <w:bCs/>
          <w:lang w:val="lt-LT"/>
        </w:rPr>
      </w:pPr>
      <w:r w:rsidRPr="001A5B2E">
        <w:rPr>
          <w:rFonts w:ascii="Times New Roman" w:hAnsi="Times New Roman" w:cs="Times New Roman"/>
          <w:b/>
          <w:bCs/>
          <w:lang w:val="lt-LT" w:eastAsia="lt-LT"/>
        </w:rPr>
        <w:t>Bausmių vykdymo sistemos pareigūnų vidaus tarnybos laipsnių ženklai ant antpečių ir movų</w:t>
      </w:r>
    </w:p>
    <w:p w14:paraId="5F1AE41A" w14:textId="3A8ECFBB" w:rsidR="00AE126E" w:rsidRPr="001A5B2E" w:rsidRDefault="00992713" w:rsidP="00992713">
      <w:pPr>
        <w:tabs>
          <w:tab w:val="left" w:pos="8070"/>
        </w:tabs>
        <w:spacing w:after="0" w:line="360" w:lineRule="auto"/>
        <w:jc w:val="both"/>
        <w:rPr>
          <w:rFonts w:ascii="Times New Roman" w:hAnsi="Times New Roman" w:cs="Times New Roman"/>
          <w:lang w:val="lt-LT"/>
        </w:rPr>
      </w:pPr>
      <w:r w:rsidRPr="001A5B2E">
        <w:rPr>
          <w:rFonts w:ascii="Times New Roman" w:hAnsi="Times New Roman" w:cs="Times New Roman"/>
          <w:lang w:val="lt-LT"/>
        </w:rPr>
        <w:tab/>
        <w:t>1 lentelė</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154"/>
        <w:gridCol w:w="4814"/>
        <w:gridCol w:w="6"/>
      </w:tblGrid>
      <w:tr w:rsidR="00AE126E" w:rsidRPr="001A5B2E" w14:paraId="48E6D54F" w14:textId="77777777" w:rsidTr="00AE126E">
        <w:tc>
          <w:tcPr>
            <w:tcW w:w="9747" w:type="dxa"/>
            <w:gridSpan w:val="4"/>
            <w:tcBorders>
              <w:bottom w:val="nil"/>
            </w:tcBorders>
          </w:tcPr>
          <w:p w14:paraId="24D98C44" w14:textId="5424D902" w:rsidR="00AE126E" w:rsidRPr="001A5B2E" w:rsidRDefault="00AE126E" w:rsidP="00AE126E">
            <w:pPr>
              <w:spacing w:after="0" w:line="240" w:lineRule="auto"/>
              <w:jc w:val="center"/>
              <w:rPr>
                <w:rFonts w:ascii="Times New Roman" w:hAnsi="Times New Roman" w:cs="Times New Roman"/>
                <w:sz w:val="22"/>
                <w:szCs w:val="22"/>
                <w:lang w:val="lt-LT" w:eastAsia="lt-LT"/>
              </w:rPr>
            </w:pPr>
          </w:p>
        </w:tc>
      </w:tr>
      <w:tr w:rsidR="00AE126E" w:rsidRPr="001A5B2E" w14:paraId="38CD45AE" w14:textId="77777777" w:rsidTr="00AE126E">
        <w:tc>
          <w:tcPr>
            <w:tcW w:w="4773" w:type="dxa"/>
            <w:tcBorders>
              <w:top w:val="nil"/>
              <w:bottom w:val="nil"/>
              <w:right w:val="nil"/>
            </w:tcBorders>
          </w:tcPr>
          <w:p w14:paraId="5A9211E9"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460" w:dyaOrig="1230" w14:anchorId="6366E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62.25pt" o:ole="">
                  <v:imagedata r:id="rId9" o:title=""/>
                </v:shape>
                <o:OLEObject Type="Embed" ProgID="PBrush" ShapeID="_x0000_i1025" DrawAspect="Content" ObjectID="_1801552724" r:id="rId10"/>
              </w:object>
            </w:r>
          </w:p>
        </w:tc>
        <w:tc>
          <w:tcPr>
            <w:tcW w:w="4974" w:type="dxa"/>
            <w:gridSpan w:val="3"/>
            <w:tcBorders>
              <w:top w:val="nil"/>
              <w:left w:val="nil"/>
              <w:bottom w:val="nil"/>
            </w:tcBorders>
          </w:tcPr>
          <w:p w14:paraId="30C60C29"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865" w:dyaOrig="1125" w14:anchorId="7DBF096D">
                <v:shape id="_x0000_i1026" type="#_x0000_t75" style="width:143.25pt;height:56.25pt" o:ole="">
                  <v:imagedata r:id="rId11" o:title=""/>
                </v:shape>
                <o:OLEObject Type="Embed" ProgID="PBrush" ShapeID="_x0000_i1026" DrawAspect="Content" ObjectID="_1801552725" r:id="rId12"/>
              </w:object>
            </w:r>
          </w:p>
        </w:tc>
      </w:tr>
      <w:tr w:rsidR="00AE126E" w:rsidRPr="001A5B2E" w14:paraId="31A39458" w14:textId="77777777" w:rsidTr="00AE126E">
        <w:tc>
          <w:tcPr>
            <w:tcW w:w="4773" w:type="dxa"/>
            <w:tcBorders>
              <w:top w:val="nil"/>
              <w:right w:val="nil"/>
            </w:tcBorders>
          </w:tcPr>
          <w:p w14:paraId="35F6F44F"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leitenanto</w:t>
            </w:r>
          </w:p>
          <w:p w14:paraId="5E075B35"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movos</w:t>
            </w:r>
          </w:p>
        </w:tc>
        <w:tc>
          <w:tcPr>
            <w:tcW w:w="4974" w:type="dxa"/>
            <w:gridSpan w:val="3"/>
            <w:tcBorders>
              <w:top w:val="nil"/>
              <w:left w:val="nil"/>
            </w:tcBorders>
          </w:tcPr>
          <w:p w14:paraId="5B42D84B"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 xml:space="preserve">vidaus tarnybos leitenanto </w:t>
            </w:r>
          </w:p>
          <w:p w14:paraId="2E709F7F"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antpečio</w:t>
            </w:r>
          </w:p>
        </w:tc>
      </w:tr>
      <w:tr w:rsidR="00AE126E" w:rsidRPr="001A5B2E" w14:paraId="75CF123C" w14:textId="77777777" w:rsidTr="00AE126E">
        <w:tc>
          <w:tcPr>
            <w:tcW w:w="9747" w:type="dxa"/>
            <w:gridSpan w:val="4"/>
            <w:tcBorders>
              <w:bottom w:val="nil"/>
            </w:tcBorders>
          </w:tcPr>
          <w:p w14:paraId="28C3ACF6" w14:textId="25B9B93E" w:rsidR="00AE126E" w:rsidRPr="001A5B2E" w:rsidRDefault="00AE126E" w:rsidP="00AE126E">
            <w:pPr>
              <w:spacing w:after="0" w:line="240" w:lineRule="auto"/>
              <w:rPr>
                <w:rFonts w:ascii="Times New Roman" w:hAnsi="Times New Roman" w:cs="Times New Roman"/>
                <w:sz w:val="22"/>
                <w:szCs w:val="22"/>
                <w:lang w:val="lt-LT" w:eastAsia="lt-LT"/>
              </w:rPr>
            </w:pPr>
          </w:p>
        </w:tc>
      </w:tr>
      <w:tr w:rsidR="00AE126E" w:rsidRPr="001A5B2E" w14:paraId="08C58A2A" w14:textId="77777777" w:rsidTr="00AE126E">
        <w:tc>
          <w:tcPr>
            <w:tcW w:w="4927" w:type="dxa"/>
            <w:gridSpan w:val="2"/>
            <w:tcBorders>
              <w:top w:val="nil"/>
              <w:bottom w:val="nil"/>
              <w:right w:val="nil"/>
            </w:tcBorders>
          </w:tcPr>
          <w:p w14:paraId="23FB82D5"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490" w:dyaOrig="1245" w14:anchorId="5A01F5C4">
                <v:shape id="_x0000_i1027" type="#_x0000_t75" style="width:124.5pt;height:63pt" o:ole="">
                  <v:imagedata r:id="rId13" o:title=""/>
                </v:shape>
                <o:OLEObject Type="Embed" ProgID="PBrush" ShapeID="_x0000_i1027" DrawAspect="Content" ObjectID="_1801552726" r:id="rId14"/>
              </w:object>
            </w:r>
          </w:p>
        </w:tc>
        <w:tc>
          <w:tcPr>
            <w:tcW w:w="4820" w:type="dxa"/>
            <w:gridSpan w:val="2"/>
            <w:tcBorders>
              <w:top w:val="nil"/>
              <w:left w:val="nil"/>
              <w:bottom w:val="nil"/>
            </w:tcBorders>
          </w:tcPr>
          <w:p w14:paraId="02D6E2C0"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865" w:dyaOrig="1155" w14:anchorId="183E4AAE">
                <v:shape id="_x0000_i1028" type="#_x0000_t75" style="width:143.25pt;height:58.5pt" o:ole="">
                  <v:imagedata r:id="rId15" o:title=""/>
                </v:shape>
                <o:OLEObject Type="Embed" ProgID="PBrush" ShapeID="_x0000_i1028" DrawAspect="Content" ObjectID="_1801552727" r:id="rId16"/>
              </w:object>
            </w:r>
          </w:p>
        </w:tc>
      </w:tr>
      <w:tr w:rsidR="00AE126E" w:rsidRPr="001A5B2E" w14:paraId="5961FB49" w14:textId="77777777" w:rsidTr="00AE126E">
        <w:tc>
          <w:tcPr>
            <w:tcW w:w="4927" w:type="dxa"/>
            <w:gridSpan w:val="2"/>
            <w:tcBorders>
              <w:top w:val="nil"/>
              <w:right w:val="nil"/>
            </w:tcBorders>
          </w:tcPr>
          <w:p w14:paraId="1D521965"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vyresniojo leitenanto</w:t>
            </w:r>
          </w:p>
          <w:p w14:paraId="71A501A2"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movos</w:t>
            </w:r>
          </w:p>
        </w:tc>
        <w:tc>
          <w:tcPr>
            <w:tcW w:w="4820" w:type="dxa"/>
            <w:gridSpan w:val="2"/>
            <w:tcBorders>
              <w:top w:val="nil"/>
              <w:left w:val="nil"/>
            </w:tcBorders>
          </w:tcPr>
          <w:p w14:paraId="623C9F85" w14:textId="77777777" w:rsidR="00AE126E" w:rsidRPr="001A5B2E" w:rsidRDefault="00AE126E" w:rsidP="00AE126E">
            <w:pPr>
              <w:spacing w:after="0" w:line="240" w:lineRule="auto"/>
              <w:ind w:firstLine="212"/>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vyresniojo leitenanto</w:t>
            </w:r>
          </w:p>
          <w:p w14:paraId="4AC096B2"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antpečio</w:t>
            </w:r>
          </w:p>
        </w:tc>
      </w:tr>
      <w:tr w:rsidR="00AE126E" w:rsidRPr="001A5B2E" w14:paraId="22DBF324" w14:textId="77777777" w:rsidTr="00AE126E">
        <w:trPr>
          <w:gridAfter w:val="1"/>
          <w:wAfter w:w="6" w:type="dxa"/>
        </w:trPr>
        <w:tc>
          <w:tcPr>
            <w:tcW w:w="9741" w:type="dxa"/>
            <w:gridSpan w:val="3"/>
            <w:tcBorders>
              <w:bottom w:val="nil"/>
            </w:tcBorders>
          </w:tcPr>
          <w:p w14:paraId="1642FC76" w14:textId="610448E0" w:rsidR="00AE126E" w:rsidRPr="001A5B2E" w:rsidRDefault="00AE126E" w:rsidP="00AE126E">
            <w:pPr>
              <w:spacing w:after="0" w:line="240" w:lineRule="auto"/>
              <w:jc w:val="center"/>
              <w:rPr>
                <w:rFonts w:ascii="Times New Roman" w:hAnsi="Times New Roman" w:cs="Times New Roman"/>
                <w:sz w:val="22"/>
                <w:szCs w:val="22"/>
                <w:lang w:val="lt-LT" w:eastAsia="lt-LT"/>
              </w:rPr>
            </w:pPr>
          </w:p>
        </w:tc>
      </w:tr>
      <w:tr w:rsidR="00AE126E" w:rsidRPr="001A5B2E" w14:paraId="3C49B05F" w14:textId="77777777" w:rsidTr="00AE126E">
        <w:trPr>
          <w:gridAfter w:val="1"/>
          <w:wAfter w:w="6" w:type="dxa"/>
        </w:trPr>
        <w:tc>
          <w:tcPr>
            <w:tcW w:w="4927" w:type="dxa"/>
            <w:gridSpan w:val="2"/>
            <w:tcBorders>
              <w:top w:val="nil"/>
              <w:bottom w:val="nil"/>
              <w:right w:val="nil"/>
            </w:tcBorders>
          </w:tcPr>
          <w:p w14:paraId="6B0B6F5D"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475" w:dyaOrig="1260" w14:anchorId="485C1D92">
                <v:shape id="_x0000_i1029" type="#_x0000_t75" style="width:123.75pt;height:63pt" o:ole="">
                  <v:imagedata r:id="rId17" o:title=""/>
                </v:shape>
                <o:OLEObject Type="Embed" ProgID="PBrush" ShapeID="_x0000_i1029" DrawAspect="Content" ObjectID="_1801552728" r:id="rId18"/>
              </w:object>
            </w:r>
          </w:p>
        </w:tc>
        <w:tc>
          <w:tcPr>
            <w:tcW w:w="4814" w:type="dxa"/>
            <w:tcBorders>
              <w:top w:val="nil"/>
              <w:left w:val="nil"/>
              <w:bottom w:val="nil"/>
            </w:tcBorders>
          </w:tcPr>
          <w:p w14:paraId="30BC20F9"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895" w:dyaOrig="1155" w14:anchorId="10E758B6">
                <v:shape id="_x0000_i1030" type="#_x0000_t75" style="width:144.75pt;height:58.5pt" o:ole="">
                  <v:imagedata r:id="rId19" o:title=""/>
                </v:shape>
                <o:OLEObject Type="Embed" ProgID="PBrush" ShapeID="_x0000_i1030" DrawAspect="Content" ObjectID="_1801552729" r:id="rId20"/>
              </w:object>
            </w:r>
          </w:p>
        </w:tc>
      </w:tr>
      <w:tr w:rsidR="00AE126E" w:rsidRPr="001A5B2E" w14:paraId="3DF409A1" w14:textId="77777777" w:rsidTr="00AE126E">
        <w:trPr>
          <w:gridAfter w:val="1"/>
          <w:wAfter w:w="6" w:type="dxa"/>
        </w:trPr>
        <w:tc>
          <w:tcPr>
            <w:tcW w:w="4927" w:type="dxa"/>
            <w:gridSpan w:val="2"/>
            <w:tcBorders>
              <w:top w:val="nil"/>
              <w:right w:val="nil"/>
            </w:tcBorders>
          </w:tcPr>
          <w:p w14:paraId="72000406"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kapitono</w:t>
            </w:r>
          </w:p>
          <w:p w14:paraId="05A76061"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movos</w:t>
            </w:r>
          </w:p>
        </w:tc>
        <w:tc>
          <w:tcPr>
            <w:tcW w:w="4814" w:type="dxa"/>
            <w:tcBorders>
              <w:top w:val="nil"/>
              <w:left w:val="nil"/>
            </w:tcBorders>
          </w:tcPr>
          <w:p w14:paraId="01292902"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kapitono</w:t>
            </w:r>
          </w:p>
          <w:p w14:paraId="2316D4F2"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antpečio</w:t>
            </w:r>
          </w:p>
        </w:tc>
      </w:tr>
      <w:tr w:rsidR="00AE126E" w:rsidRPr="001A5B2E" w14:paraId="4E279427" w14:textId="77777777" w:rsidTr="00AE126E">
        <w:trPr>
          <w:gridAfter w:val="1"/>
          <w:wAfter w:w="6" w:type="dxa"/>
        </w:trPr>
        <w:tc>
          <w:tcPr>
            <w:tcW w:w="9741" w:type="dxa"/>
            <w:gridSpan w:val="3"/>
            <w:tcBorders>
              <w:bottom w:val="nil"/>
            </w:tcBorders>
          </w:tcPr>
          <w:p w14:paraId="57360340" w14:textId="7C6CB2E8" w:rsidR="00AE126E" w:rsidRPr="001A5B2E" w:rsidRDefault="00AE126E" w:rsidP="00AE126E">
            <w:pPr>
              <w:spacing w:after="0" w:line="240" w:lineRule="auto"/>
              <w:jc w:val="center"/>
              <w:rPr>
                <w:rFonts w:ascii="Times New Roman" w:hAnsi="Times New Roman" w:cs="Times New Roman"/>
                <w:sz w:val="22"/>
                <w:szCs w:val="22"/>
                <w:lang w:val="lt-LT" w:eastAsia="lt-LT"/>
              </w:rPr>
            </w:pPr>
          </w:p>
        </w:tc>
      </w:tr>
      <w:tr w:rsidR="00AE126E" w:rsidRPr="001A5B2E" w14:paraId="11384CB3" w14:textId="77777777" w:rsidTr="00AE126E">
        <w:trPr>
          <w:gridAfter w:val="1"/>
          <w:wAfter w:w="6" w:type="dxa"/>
        </w:trPr>
        <w:tc>
          <w:tcPr>
            <w:tcW w:w="4927" w:type="dxa"/>
            <w:gridSpan w:val="2"/>
            <w:tcBorders>
              <w:top w:val="nil"/>
              <w:bottom w:val="nil"/>
              <w:right w:val="nil"/>
            </w:tcBorders>
          </w:tcPr>
          <w:p w14:paraId="5F6B7734"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190" w:dyaOrig="1110" w14:anchorId="40D41153">
                <v:shape id="_x0000_i1031" type="#_x0000_t75" style="width:128.25pt;height:66pt" o:ole="">
                  <v:imagedata r:id="rId21" o:title=""/>
                </v:shape>
                <o:OLEObject Type="Embed" ProgID="PBrush" ShapeID="_x0000_i1031" DrawAspect="Content" ObjectID="_1801552730" r:id="rId22"/>
              </w:object>
            </w:r>
          </w:p>
        </w:tc>
        <w:tc>
          <w:tcPr>
            <w:tcW w:w="4814" w:type="dxa"/>
            <w:tcBorders>
              <w:top w:val="nil"/>
              <w:left w:val="nil"/>
              <w:bottom w:val="nil"/>
            </w:tcBorders>
          </w:tcPr>
          <w:p w14:paraId="38C8FA54"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3015" w:dyaOrig="1200" w14:anchorId="22A9628A">
                <v:shape id="_x0000_i1032" type="#_x0000_t75" style="width:152.25pt;height:60pt" o:ole="">
                  <v:imagedata r:id="rId23" o:title=""/>
                </v:shape>
                <o:OLEObject Type="Embed" ProgID="PBrush" ShapeID="_x0000_i1032" DrawAspect="Content" ObjectID="_1801552731" r:id="rId24"/>
              </w:object>
            </w:r>
          </w:p>
        </w:tc>
      </w:tr>
      <w:tr w:rsidR="00AE126E" w:rsidRPr="001A5B2E" w14:paraId="5B264857" w14:textId="77777777" w:rsidTr="00AE126E">
        <w:trPr>
          <w:gridAfter w:val="1"/>
          <w:wAfter w:w="6" w:type="dxa"/>
        </w:trPr>
        <w:tc>
          <w:tcPr>
            <w:tcW w:w="4927" w:type="dxa"/>
            <w:gridSpan w:val="2"/>
            <w:tcBorders>
              <w:top w:val="nil"/>
              <w:right w:val="nil"/>
            </w:tcBorders>
          </w:tcPr>
          <w:p w14:paraId="37E31CE2"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majoro</w:t>
            </w:r>
          </w:p>
          <w:p w14:paraId="1ED7EA3D"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movos</w:t>
            </w:r>
          </w:p>
        </w:tc>
        <w:tc>
          <w:tcPr>
            <w:tcW w:w="4814" w:type="dxa"/>
            <w:tcBorders>
              <w:top w:val="nil"/>
              <w:left w:val="nil"/>
            </w:tcBorders>
          </w:tcPr>
          <w:p w14:paraId="5C41DB5C"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majoro</w:t>
            </w:r>
          </w:p>
          <w:p w14:paraId="658930E9"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antpečio</w:t>
            </w:r>
          </w:p>
        </w:tc>
      </w:tr>
      <w:tr w:rsidR="00AE126E" w:rsidRPr="001A5B2E" w14:paraId="7281B58E" w14:textId="77777777" w:rsidTr="00AE126E">
        <w:trPr>
          <w:gridAfter w:val="1"/>
          <w:wAfter w:w="6" w:type="dxa"/>
        </w:trPr>
        <w:tc>
          <w:tcPr>
            <w:tcW w:w="9741" w:type="dxa"/>
            <w:gridSpan w:val="3"/>
            <w:tcBorders>
              <w:bottom w:val="nil"/>
            </w:tcBorders>
          </w:tcPr>
          <w:p w14:paraId="2B0B7B30" w14:textId="71185FF2" w:rsidR="00AE126E" w:rsidRPr="001A5B2E" w:rsidRDefault="00AE126E" w:rsidP="00AE126E">
            <w:pPr>
              <w:spacing w:after="0" w:line="240" w:lineRule="auto"/>
              <w:jc w:val="center"/>
              <w:rPr>
                <w:rFonts w:ascii="Times New Roman" w:hAnsi="Times New Roman" w:cs="Times New Roman"/>
                <w:sz w:val="22"/>
                <w:szCs w:val="22"/>
                <w:lang w:val="lt-LT" w:eastAsia="lt-LT"/>
              </w:rPr>
            </w:pPr>
          </w:p>
        </w:tc>
      </w:tr>
      <w:tr w:rsidR="00AE126E" w:rsidRPr="001A5B2E" w14:paraId="78FD7A28" w14:textId="77777777" w:rsidTr="00AE126E">
        <w:trPr>
          <w:gridAfter w:val="1"/>
          <w:wAfter w:w="6" w:type="dxa"/>
        </w:trPr>
        <w:tc>
          <w:tcPr>
            <w:tcW w:w="4927" w:type="dxa"/>
            <w:gridSpan w:val="2"/>
            <w:tcBorders>
              <w:top w:val="nil"/>
              <w:bottom w:val="nil"/>
              <w:right w:val="nil"/>
            </w:tcBorders>
          </w:tcPr>
          <w:p w14:paraId="751EEF9C"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175" w:dyaOrig="1110" w14:anchorId="6F65495E">
                <v:shape id="_x0000_i1033" type="#_x0000_t75" style="width:127.5pt;height:66pt" o:ole="">
                  <v:imagedata r:id="rId25" o:title=""/>
                </v:shape>
                <o:OLEObject Type="Embed" ProgID="PBrush" ShapeID="_x0000_i1033" DrawAspect="Content" ObjectID="_1801552732" r:id="rId26"/>
              </w:object>
            </w:r>
          </w:p>
        </w:tc>
        <w:tc>
          <w:tcPr>
            <w:tcW w:w="4814" w:type="dxa"/>
            <w:tcBorders>
              <w:top w:val="nil"/>
              <w:left w:val="nil"/>
              <w:bottom w:val="nil"/>
            </w:tcBorders>
          </w:tcPr>
          <w:p w14:paraId="3EDB2A95"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3030" w:dyaOrig="1200" w14:anchorId="1BBC8A1F">
                <v:shape id="_x0000_i1034" type="#_x0000_t75" style="width:152.25pt;height:60pt" o:ole="">
                  <v:imagedata r:id="rId27" o:title=""/>
                </v:shape>
                <o:OLEObject Type="Embed" ProgID="PBrush" ShapeID="_x0000_i1034" DrawAspect="Content" ObjectID="_1801552733" r:id="rId28"/>
              </w:object>
            </w:r>
          </w:p>
        </w:tc>
      </w:tr>
      <w:tr w:rsidR="00AE126E" w:rsidRPr="001A5B2E" w14:paraId="0DB2E949" w14:textId="77777777" w:rsidTr="00AE126E">
        <w:trPr>
          <w:gridAfter w:val="1"/>
          <w:wAfter w:w="6" w:type="dxa"/>
        </w:trPr>
        <w:tc>
          <w:tcPr>
            <w:tcW w:w="4927" w:type="dxa"/>
            <w:gridSpan w:val="2"/>
            <w:tcBorders>
              <w:top w:val="nil"/>
              <w:right w:val="nil"/>
            </w:tcBorders>
          </w:tcPr>
          <w:p w14:paraId="2F443D2E"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pulkininko leitenanto</w:t>
            </w:r>
          </w:p>
          <w:p w14:paraId="67EBCFDF"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movos</w:t>
            </w:r>
          </w:p>
        </w:tc>
        <w:tc>
          <w:tcPr>
            <w:tcW w:w="4814" w:type="dxa"/>
            <w:tcBorders>
              <w:top w:val="nil"/>
              <w:left w:val="nil"/>
            </w:tcBorders>
          </w:tcPr>
          <w:p w14:paraId="5C9286C3"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pulkininko leitenanto</w:t>
            </w:r>
          </w:p>
          <w:p w14:paraId="5E177D58"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antpečio</w:t>
            </w:r>
          </w:p>
          <w:p w14:paraId="7C48BE21" w14:textId="77777777" w:rsidR="00AE126E" w:rsidRPr="001A5B2E" w:rsidRDefault="00AE126E" w:rsidP="00AE126E">
            <w:pPr>
              <w:spacing w:after="0" w:line="240" w:lineRule="auto"/>
              <w:rPr>
                <w:rFonts w:ascii="Times New Roman" w:hAnsi="Times New Roman" w:cs="Times New Roman"/>
                <w:sz w:val="22"/>
                <w:szCs w:val="22"/>
                <w:lang w:val="lt-LT" w:eastAsia="lt-LT"/>
              </w:rPr>
            </w:pPr>
          </w:p>
        </w:tc>
      </w:tr>
      <w:tr w:rsidR="00AE126E" w:rsidRPr="001A5B2E" w14:paraId="3C406894" w14:textId="77777777" w:rsidTr="00AE126E">
        <w:trPr>
          <w:gridAfter w:val="1"/>
          <w:wAfter w:w="6" w:type="dxa"/>
        </w:trPr>
        <w:tc>
          <w:tcPr>
            <w:tcW w:w="9741" w:type="dxa"/>
            <w:gridSpan w:val="3"/>
            <w:tcBorders>
              <w:bottom w:val="nil"/>
            </w:tcBorders>
          </w:tcPr>
          <w:p w14:paraId="4E12A493" w14:textId="4F25B5E2" w:rsidR="00AE126E" w:rsidRPr="001A5B2E" w:rsidRDefault="00AE126E" w:rsidP="00AE126E">
            <w:pPr>
              <w:spacing w:after="0" w:line="240" w:lineRule="auto"/>
              <w:jc w:val="center"/>
              <w:rPr>
                <w:rFonts w:ascii="Times New Roman" w:hAnsi="Times New Roman" w:cs="Times New Roman"/>
                <w:sz w:val="22"/>
                <w:szCs w:val="22"/>
                <w:lang w:val="lt-LT" w:eastAsia="lt-LT"/>
              </w:rPr>
            </w:pPr>
          </w:p>
        </w:tc>
      </w:tr>
      <w:tr w:rsidR="00AE126E" w:rsidRPr="001A5B2E" w14:paraId="3BC1038B" w14:textId="77777777" w:rsidTr="00AE126E">
        <w:trPr>
          <w:gridAfter w:val="1"/>
          <w:wAfter w:w="6" w:type="dxa"/>
        </w:trPr>
        <w:tc>
          <w:tcPr>
            <w:tcW w:w="4927" w:type="dxa"/>
            <w:gridSpan w:val="2"/>
            <w:tcBorders>
              <w:top w:val="nil"/>
              <w:bottom w:val="nil"/>
              <w:right w:val="nil"/>
            </w:tcBorders>
          </w:tcPr>
          <w:p w14:paraId="0DF8D30E"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2190" w:dyaOrig="1080" w14:anchorId="4AEE7B23">
                <v:shape id="_x0000_i1035" type="#_x0000_t75" style="width:131.25pt;height:65.25pt" o:ole="">
                  <v:imagedata r:id="rId29" o:title=""/>
                </v:shape>
                <o:OLEObject Type="Embed" ProgID="PBrush" ShapeID="_x0000_i1035" DrawAspect="Content" ObjectID="_1801552734" r:id="rId30"/>
              </w:object>
            </w:r>
          </w:p>
        </w:tc>
        <w:tc>
          <w:tcPr>
            <w:tcW w:w="4814" w:type="dxa"/>
            <w:tcBorders>
              <w:top w:val="nil"/>
              <w:left w:val="nil"/>
              <w:bottom w:val="nil"/>
            </w:tcBorders>
          </w:tcPr>
          <w:p w14:paraId="1DC57909"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3030" w:dyaOrig="1215" w14:anchorId="39F6D9E9">
                <v:shape id="_x0000_i1036" type="#_x0000_t75" style="width:152.25pt;height:60pt" o:ole="">
                  <v:imagedata r:id="rId31" o:title=""/>
                </v:shape>
                <o:OLEObject Type="Embed" ProgID="PBrush" ShapeID="_x0000_i1036" DrawAspect="Content" ObjectID="_1801552735" r:id="rId32"/>
              </w:object>
            </w:r>
          </w:p>
        </w:tc>
      </w:tr>
      <w:tr w:rsidR="00AE126E" w:rsidRPr="001A5B2E" w14:paraId="53018679" w14:textId="77777777" w:rsidTr="00AE126E">
        <w:trPr>
          <w:gridAfter w:val="1"/>
          <w:wAfter w:w="6" w:type="dxa"/>
        </w:trPr>
        <w:tc>
          <w:tcPr>
            <w:tcW w:w="4927" w:type="dxa"/>
            <w:gridSpan w:val="2"/>
            <w:tcBorders>
              <w:top w:val="nil"/>
              <w:right w:val="nil"/>
            </w:tcBorders>
          </w:tcPr>
          <w:p w14:paraId="76B1CAF4"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pulkininko</w:t>
            </w:r>
          </w:p>
          <w:p w14:paraId="1DC3DC38"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movos</w:t>
            </w:r>
          </w:p>
        </w:tc>
        <w:tc>
          <w:tcPr>
            <w:tcW w:w="4814" w:type="dxa"/>
            <w:tcBorders>
              <w:top w:val="nil"/>
              <w:left w:val="nil"/>
            </w:tcBorders>
          </w:tcPr>
          <w:p w14:paraId="7DE40145"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pulkininko</w:t>
            </w:r>
          </w:p>
          <w:p w14:paraId="2F11A55C"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antpečio</w:t>
            </w:r>
          </w:p>
        </w:tc>
      </w:tr>
      <w:tr w:rsidR="00AE126E" w:rsidRPr="001A5B2E" w14:paraId="33B6C273" w14:textId="77777777" w:rsidTr="00AE126E">
        <w:trPr>
          <w:gridAfter w:val="1"/>
          <w:wAfter w:w="6" w:type="dxa"/>
        </w:trPr>
        <w:tc>
          <w:tcPr>
            <w:tcW w:w="9741" w:type="dxa"/>
            <w:gridSpan w:val="3"/>
            <w:tcBorders>
              <w:bottom w:val="nil"/>
            </w:tcBorders>
          </w:tcPr>
          <w:p w14:paraId="3F3D74CD" w14:textId="74BF7963" w:rsidR="00AE126E" w:rsidRPr="001A5B2E" w:rsidRDefault="00AE126E" w:rsidP="00AE126E">
            <w:pPr>
              <w:spacing w:after="0" w:line="240" w:lineRule="auto"/>
              <w:jc w:val="center"/>
              <w:rPr>
                <w:rFonts w:ascii="Times New Roman" w:hAnsi="Times New Roman" w:cs="Times New Roman"/>
                <w:sz w:val="22"/>
                <w:szCs w:val="22"/>
                <w:lang w:val="lt-LT" w:eastAsia="lt-LT"/>
              </w:rPr>
            </w:pPr>
          </w:p>
        </w:tc>
      </w:tr>
      <w:tr w:rsidR="00AE126E" w:rsidRPr="001A5B2E" w14:paraId="31680C03" w14:textId="77777777" w:rsidTr="00AE126E">
        <w:trPr>
          <w:gridAfter w:val="1"/>
          <w:wAfter w:w="6" w:type="dxa"/>
        </w:trPr>
        <w:tc>
          <w:tcPr>
            <w:tcW w:w="4927" w:type="dxa"/>
            <w:gridSpan w:val="2"/>
            <w:tcBorders>
              <w:top w:val="nil"/>
              <w:bottom w:val="nil"/>
              <w:right w:val="nil"/>
            </w:tcBorders>
          </w:tcPr>
          <w:p w14:paraId="054E97CA"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3960" w:dyaOrig="2040" w14:anchorId="04BC466F">
                <v:shape id="_x0000_i1037" type="#_x0000_t75" style="width:128.25pt;height:65.25pt" o:ole="">
                  <v:imagedata r:id="rId33" o:title=""/>
                </v:shape>
                <o:OLEObject Type="Embed" ProgID="PBrush" ShapeID="_x0000_i1037" DrawAspect="Content" ObjectID="_1801552736" r:id="rId34"/>
              </w:object>
            </w:r>
          </w:p>
        </w:tc>
        <w:tc>
          <w:tcPr>
            <w:tcW w:w="4814" w:type="dxa"/>
            <w:tcBorders>
              <w:top w:val="nil"/>
              <w:left w:val="nil"/>
              <w:bottom w:val="nil"/>
            </w:tcBorders>
          </w:tcPr>
          <w:p w14:paraId="3321C3FA"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rPr>
              <w:object w:dxaOrig="7214" w:dyaOrig="2955" w14:anchorId="45E6B869">
                <v:shape id="_x0000_i1038" type="#_x0000_t75" style="width:165pt;height:66.75pt" o:ole="">
                  <v:imagedata r:id="rId35" o:title=""/>
                </v:shape>
                <o:OLEObject Type="Embed" ProgID="PBrush" ShapeID="_x0000_i1038" DrawAspect="Content" ObjectID="_1801552737" r:id="rId36"/>
              </w:object>
            </w:r>
          </w:p>
        </w:tc>
      </w:tr>
      <w:tr w:rsidR="00AE126E" w:rsidRPr="001A5B2E" w14:paraId="1A6337DC" w14:textId="77777777" w:rsidTr="00AE126E">
        <w:trPr>
          <w:gridAfter w:val="1"/>
          <w:wAfter w:w="6" w:type="dxa"/>
        </w:trPr>
        <w:tc>
          <w:tcPr>
            <w:tcW w:w="4927" w:type="dxa"/>
            <w:gridSpan w:val="2"/>
            <w:tcBorders>
              <w:top w:val="nil"/>
              <w:right w:val="nil"/>
            </w:tcBorders>
          </w:tcPr>
          <w:p w14:paraId="7FA19FC9"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generolo</w:t>
            </w:r>
          </w:p>
          <w:p w14:paraId="767BD3E8"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movos</w:t>
            </w:r>
          </w:p>
        </w:tc>
        <w:tc>
          <w:tcPr>
            <w:tcW w:w="4814" w:type="dxa"/>
            <w:tcBorders>
              <w:top w:val="nil"/>
              <w:left w:val="nil"/>
            </w:tcBorders>
          </w:tcPr>
          <w:p w14:paraId="077D6F15"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vidaus tarnybos generolo</w:t>
            </w:r>
          </w:p>
          <w:p w14:paraId="721B3F95" w14:textId="77777777" w:rsidR="00AE126E" w:rsidRPr="001A5B2E" w:rsidRDefault="00AE126E" w:rsidP="00AE126E">
            <w:pPr>
              <w:spacing w:after="0" w:line="240" w:lineRule="auto"/>
              <w:jc w:val="center"/>
              <w:rPr>
                <w:rFonts w:ascii="Times New Roman" w:hAnsi="Times New Roman" w:cs="Times New Roman"/>
                <w:sz w:val="22"/>
                <w:szCs w:val="22"/>
                <w:lang w:val="lt-LT" w:eastAsia="lt-LT"/>
              </w:rPr>
            </w:pPr>
            <w:r w:rsidRPr="001A5B2E">
              <w:rPr>
                <w:rFonts w:ascii="Times New Roman" w:hAnsi="Times New Roman" w:cs="Times New Roman"/>
                <w:sz w:val="22"/>
                <w:szCs w:val="22"/>
                <w:lang w:val="lt-LT" w:eastAsia="lt-LT"/>
              </w:rPr>
              <w:t>ženklas ant antpečio</w:t>
            </w:r>
          </w:p>
        </w:tc>
      </w:tr>
    </w:tbl>
    <w:p w14:paraId="023CD674" w14:textId="23EC16E3" w:rsidR="00866A8F" w:rsidRDefault="00866A8F" w:rsidP="00CA43F2">
      <w:pPr>
        <w:tabs>
          <w:tab w:val="left" w:pos="1245"/>
        </w:tabs>
        <w:spacing w:after="0" w:line="360" w:lineRule="auto"/>
        <w:rPr>
          <w:rFonts w:ascii="Times New Roman" w:hAnsi="Times New Roman" w:cs="Times New Roman"/>
          <w:b/>
          <w:bCs/>
          <w:lang w:val="lt-LT"/>
        </w:rPr>
      </w:pPr>
    </w:p>
    <w:p w14:paraId="5F0F98F1" w14:textId="2F126EDF" w:rsidR="00992713" w:rsidRPr="001A5B2E" w:rsidRDefault="00992713" w:rsidP="00DE7E98">
      <w:pPr>
        <w:pStyle w:val="ListParagraph"/>
        <w:numPr>
          <w:ilvl w:val="0"/>
          <w:numId w:val="1"/>
        </w:numPr>
        <w:tabs>
          <w:tab w:val="left" w:pos="1245"/>
        </w:tabs>
        <w:spacing w:after="0" w:line="360" w:lineRule="auto"/>
        <w:jc w:val="center"/>
        <w:rPr>
          <w:rFonts w:ascii="Times New Roman" w:hAnsi="Times New Roman" w:cs="Times New Roman"/>
          <w:b/>
          <w:bCs/>
          <w:lang w:val="lt-LT"/>
        </w:rPr>
      </w:pPr>
      <w:r w:rsidRPr="001A5B2E">
        <w:rPr>
          <w:rFonts w:ascii="Times New Roman" w:hAnsi="Times New Roman" w:cs="Times New Roman"/>
          <w:b/>
          <w:bCs/>
          <w:lang w:val="lt-LT"/>
        </w:rPr>
        <w:t>Pavardės juostelės</w:t>
      </w:r>
    </w:p>
    <w:p w14:paraId="0DE66D30" w14:textId="77777777" w:rsidR="00992713" w:rsidRPr="001A5B2E" w:rsidRDefault="00992713" w:rsidP="00DE7E98">
      <w:pPr>
        <w:spacing w:after="0" w:line="360" w:lineRule="auto"/>
        <w:rPr>
          <w:rFonts w:ascii="Times New Roman" w:hAnsi="Times New Roman" w:cs="Times New Roman"/>
          <w:b/>
          <w:bCs/>
          <w:lang w:val="lt-LT"/>
        </w:rPr>
      </w:pPr>
    </w:p>
    <w:p w14:paraId="30F4166F" w14:textId="77777777" w:rsidR="003945EE" w:rsidRDefault="00992713" w:rsidP="003945EE">
      <w:pPr>
        <w:pStyle w:val="ListParagraph"/>
        <w:numPr>
          <w:ilvl w:val="0"/>
          <w:numId w:val="5"/>
        </w:numPr>
        <w:spacing w:after="0" w:line="360" w:lineRule="auto"/>
        <w:ind w:left="-142" w:firstLine="502"/>
        <w:jc w:val="both"/>
        <w:rPr>
          <w:rFonts w:ascii="Times New Roman" w:hAnsi="Times New Roman" w:cs="Times New Roman"/>
          <w:lang w:val="lt-LT"/>
        </w:rPr>
      </w:pPr>
      <w:r w:rsidRPr="003945EE">
        <w:rPr>
          <w:rFonts w:ascii="Times New Roman" w:hAnsi="Times New Roman" w:cs="Times New Roman"/>
          <w:lang w:val="lt-LT"/>
        </w:rPr>
        <w:lastRenderedPageBreak/>
        <w:t>Pavardės juostelė</w:t>
      </w:r>
      <w:r w:rsidR="005425A5" w:rsidRPr="003945EE">
        <w:rPr>
          <w:rFonts w:ascii="Times New Roman" w:hAnsi="Times New Roman" w:cs="Times New Roman"/>
          <w:lang w:val="lt-LT"/>
        </w:rPr>
        <w:t xml:space="preserve"> – </w:t>
      </w:r>
      <w:r w:rsidRPr="003945EE">
        <w:rPr>
          <w:rFonts w:ascii="Times New Roman" w:hAnsi="Times New Roman" w:cs="Times New Roman"/>
          <w:lang w:val="lt-LT"/>
        </w:rPr>
        <w:t>juodos spalvos stačiakampė austa juostelė</w:t>
      </w:r>
      <w:r w:rsidR="005425A5" w:rsidRPr="003945EE">
        <w:rPr>
          <w:rFonts w:ascii="Times New Roman" w:hAnsi="Times New Roman" w:cs="Times New Roman"/>
          <w:lang w:val="lt-LT"/>
        </w:rPr>
        <w:t>.</w:t>
      </w:r>
      <w:r w:rsidRPr="003945EE">
        <w:rPr>
          <w:rFonts w:ascii="Times New Roman" w:hAnsi="Times New Roman" w:cs="Times New Roman"/>
          <w:lang w:val="lt-LT"/>
        </w:rPr>
        <w:t xml:space="preserve"> </w:t>
      </w:r>
      <w:r w:rsidR="005425A5" w:rsidRPr="003945EE">
        <w:rPr>
          <w:rFonts w:ascii="Times New Roman" w:hAnsi="Times New Roman" w:cs="Times New Roman"/>
          <w:lang w:val="lt-LT"/>
        </w:rPr>
        <w:t>Užrašas atspaudžiamas karštuoju būdu, geltonos spalvos didžiosiomis raidėmis ant pagrindinio audinio juostelės</w:t>
      </w:r>
      <w:r w:rsidRPr="003945EE">
        <w:rPr>
          <w:rFonts w:ascii="Times New Roman" w:hAnsi="Times New Roman" w:cs="Times New Roman"/>
          <w:lang w:val="lt-LT"/>
        </w:rPr>
        <w:t xml:space="preserve">. Raidžių šriftas Helvetica h 8 mm. </w:t>
      </w:r>
      <w:r w:rsidR="005425A5" w:rsidRPr="003945EE">
        <w:rPr>
          <w:rFonts w:ascii="Times New Roman" w:hAnsi="Times New Roman" w:cs="Times New Roman"/>
          <w:lang w:val="lt-LT"/>
        </w:rPr>
        <w:t>S</w:t>
      </w:r>
      <w:r w:rsidRPr="003945EE">
        <w:rPr>
          <w:rFonts w:ascii="Times New Roman" w:hAnsi="Times New Roman" w:cs="Times New Roman"/>
          <w:lang w:val="lt-LT"/>
        </w:rPr>
        <w:t>iūlai, kurie naudojami pavardės audimui, turi būti tekstūruoti poliesteriniai (PES), TRILOBAL, blizgūs, 170 dtex storio. Pavardės juostelės fonas turi būti juodos spalvos, siūlai, kurie naudojami audimui, turi būti tekstūruoti poliesteriniai (PES), sukti, pusiau matiniai, 78 dtex storio.</w:t>
      </w:r>
    </w:p>
    <w:p w14:paraId="5152C1BE" w14:textId="77777777" w:rsidR="003945EE" w:rsidRDefault="00992713" w:rsidP="003945EE">
      <w:pPr>
        <w:pStyle w:val="ListParagraph"/>
        <w:numPr>
          <w:ilvl w:val="0"/>
          <w:numId w:val="5"/>
        </w:numPr>
        <w:spacing w:after="0" w:line="360" w:lineRule="auto"/>
        <w:ind w:left="-142" w:firstLine="502"/>
        <w:jc w:val="both"/>
        <w:rPr>
          <w:rFonts w:ascii="Times New Roman" w:hAnsi="Times New Roman" w:cs="Times New Roman"/>
          <w:lang w:val="lt-LT"/>
        </w:rPr>
      </w:pPr>
      <w:r w:rsidRPr="003945EE">
        <w:rPr>
          <w:rFonts w:ascii="Times New Roman" w:hAnsi="Times New Roman" w:cs="Times New Roman"/>
          <w:lang w:val="lt-LT"/>
        </w:rPr>
        <w:t>Juostelės ilgis 100 mm + 1 mm, plotis 20 mm +1 mm. Pavardės juostelės kraštai apsiūti spec. mašina 2 mm pločio juodu apvadu. K</w:t>
      </w:r>
      <w:r w:rsidR="005425A5" w:rsidRPr="003945EE">
        <w:rPr>
          <w:rFonts w:ascii="Times New Roman" w:hAnsi="Times New Roman" w:cs="Times New Roman"/>
          <w:lang w:val="lt-LT"/>
        </w:rPr>
        <w:t>i</w:t>
      </w:r>
      <w:r w:rsidRPr="003945EE">
        <w:rPr>
          <w:rFonts w:ascii="Times New Roman" w:hAnsi="Times New Roman" w:cs="Times New Roman"/>
          <w:lang w:val="lt-LT"/>
        </w:rPr>
        <w:t xml:space="preserve">toje juostelės pusėje prisiuvama „Velcro“ </w:t>
      </w:r>
      <w:r w:rsidR="005425A5" w:rsidRPr="003945EE">
        <w:rPr>
          <w:rFonts w:ascii="Times New Roman" w:hAnsi="Times New Roman" w:cs="Times New Roman"/>
          <w:lang w:val="lt-LT"/>
        </w:rPr>
        <w:t>juostos kieta dalis (su kabliukais)</w:t>
      </w:r>
      <w:r w:rsidRPr="003945EE">
        <w:rPr>
          <w:rFonts w:ascii="Times New Roman" w:hAnsi="Times New Roman" w:cs="Times New Roman"/>
          <w:lang w:val="lt-LT"/>
        </w:rPr>
        <w:t xml:space="preserve">. Juostelė turi būti kokybiškai pagaminta, be defektų. Įpakavimo būdas: kiekviena juostelė komplektuojama su „Velcro“ kontaktinės juostos apatine dalimi ir pakuojama į atskirą polietileninį maišelį. Pavardės juostelė turi atitikti šį gaminio techninį aprašymą ir etaloną. </w:t>
      </w:r>
    </w:p>
    <w:p w14:paraId="7AA13ABC" w14:textId="2F39A3EF" w:rsidR="00992713" w:rsidRPr="003945EE" w:rsidRDefault="00741632" w:rsidP="003945EE">
      <w:pPr>
        <w:pStyle w:val="ListParagraph"/>
        <w:numPr>
          <w:ilvl w:val="0"/>
          <w:numId w:val="5"/>
        </w:numPr>
        <w:spacing w:after="0" w:line="360" w:lineRule="auto"/>
        <w:ind w:left="-142" w:firstLine="502"/>
        <w:jc w:val="both"/>
        <w:rPr>
          <w:rFonts w:ascii="Times New Roman" w:hAnsi="Times New Roman" w:cs="Times New Roman"/>
          <w:lang w:val="lt-LT"/>
        </w:rPr>
      </w:pPr>
      <w:r w:rsidRPr="003945EE">
        <w:rPr>
          <w:rFonts w:ascii="Times New Roman" w:hAnsi="Times New Roman" w:cs="Times New Roman"/>
          <w:lang w:val="lt-LT"/>
        </w:rPr>
        <w:t xml:space="preserve">Ekonomiškai naudingiausią pasiūlymą pateikęs tiekėjas iki sutarties sudarymo turės pateikti </w:t>
      </w:r>
      <w:r w:rsidR="00992713" w:rsidRPr="003945EE">
        <w:rPr>
          <w:rFonts w:ascii="Times New Roman" w:hAnsi="Times New Roman" w:cs="Times New Roman"/>
          <w:lang w:val="lt-LT"/>
        </w:rPr>
        <w:t>pavardės lentelės pavyzdį, vietoj pavardės turi</w:t>
      </w:r>
      <w:r w:rsidRPr="003945EE">
        <w:rPr>
          <w:rFonts w:ascii="Times New Roman" w:hAnsi="Times New Roman" w:cs="Times New Roman"/>
          <w:lang w:val="lt-LT"/>
        </w:rPr>
        <w:t xml:space="preserve"> būti </w:t>
      </w:r>
      <w:r w:rsidR="00992713" w:rsidRPr="003945EE">
        <w:rPr>
          <w:rFonts w:ascii="Times New Roman" w:hAnsi="Times New Roman" w:cs="Times New Roman"/>
          <w:lang w:val="lt-LT"/>
        </w:rPr>
        <w:t xml:space="preserve"> žodis </w:t>
      </w:r>
      <w:r w:rsidRPr="003945EE">
        <w:rPr>
          <w:rFonts w:ascii="Times New Roman" w:hAnsi="Times New Roman" w:cs="Times New Roman"/>
          <w:lang w:val="lt-LT"/>
        </w:rPr>
        <w:t>„</w:t>
      </w:r>
      <w:r w:rsidR="00992713" w:rsidRPr="003945EE">
        <w:rPr>
          <w:rFonts w:ascii="Times New Roman" w:hAnsi="Times New Roman" w:cs="Times New Roman"/>
          <w:lang w:val="lt-LT"/>
        </w:rPr>
        <w:t>PAVARDENIS</w:t>
      </w:r>
      <w:r w:rsidRPr="003945EE">
        <w:rPr>
          <w:rFonts w:ascii="Times New Roman" w:hAnsi="Times New Roman" w:cs="Times New Roman"/>
          <w:lang w:val="lt-LT"/>
        </w:rPr>
        <w:t>“</w:t>
      </w:r>
      <w:r w:rsidR="00992713" w:rsidRPr="003945EE">
        <w:rPr>
          <w:rFonts w:ascii="Times New Roman" w:hAnsi="Times New Roman" w:cs="Times New Roman"/>
          <w:lang w:val="lt-LT"/>
        </w:rPr>
        <w:t xml:space="preserve">. </w:t>
      </w:r>
      <w:r w:rsidRPr="003945EE">
        <w:rPr>
          <w:rFonts w:ascii="Times New Roman" w:hAnsi="Times New Roman" w:cs="Times New Roman"/>
          <w:lang w:val="lt-LT"/>
        </w:rPr>
        <w:t>Pavyzdys turės būti pristatytas adresu: Kareivių g. 1, Vilnius. Esant neatitikimams turės būtų koreguojamas pagal perkančiosios organizacijos pageidavimą, nekeičiant pasiūlytų įkainių.</w:t>
      </w:r>
    </w:p>
    <w:p w14:paraId="5E54DBF2" w14:textId="227EEEF0" w:rsidR="00992713" w:rsidRPr="001A5B2E" w:rsidRDefault="00992713" w:rsidP="00DE7E98">
      <w:pPr>
        <w:spacing w:after="0" w:line="360" w:lineRule="auto"/>
        <w:jc w:val="both"/>
        <w:rPr>
          <w:rFonts w:ascii="Times New Roman" w:hAnsi="Times New Roman" w:cs="Times New Roman"/>
          <w:lang w:val="lt-LT"/>
        </w:rPr>
      </w:pPr>
      <w:r w:rsidRPr="001A5B2E">
        <w:rPr>
          <w:rFonts w:ascii="Times New Roman" w:hAnsi="Times New Roman" w:cs="Times New Roman"/>
          <w:lang w:val="lt-LT"/>
        </w:rPr>
        <w:t>Austos pavardės juostelės audinio charakteristikos</w:t>
      </w:r>
    </w:p>
    <w:tbl>
      <w:tblPr>
        <w:tblStyle w:val="TableGrid"/>
        <w:tblW w:w="0" w:type="auto"/>
        <w:tblLook w:val="04A0" w:firstRow="1" w:lastRow="0" w:firstColumn="1" w:lastColumn="0" w:noHBand="0" w:noVBand="1"/>
      </w:tblPr>
      <w:tblGrid>
        <w:gridCol w:w="562"/>
        <w:gridCol w:w="4112"/>
        <w:gridCol w:w="2338"/>
        <w:gridCol w:w="2338"/>
      </w:tblGrid>
      <w:tr w:rsidR="00992713" w:rsidRPr="00741632" w14:paraId="050DD442" w14:textId="77777777" w:rsidTr="00992713">
        <w:tc>
          <w:tcPr>
            <w:tcW w:w="562" w:type="dxa"/>
          </w:tcPr>
          <w:p w14:paraId="5F4F2D4F" w14:textId="5A969D94"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Eil. Nr.</w:t>
            </w:r>
          </w:p>
        </w:tc>
        <w:tc>
          <w:tcPr>
            <w:tcW w:w="4112" w:type="dxa"/>
          </w:tcPr>
          <w:p w14:paraId="7B8A12D3" w14:textId="05DB87A6"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Rodiklio pavadinimas, dimensija</w:t>
            </w:r>
          </w:p>
        </w:tc>
        <w:tc>
          <w:tcPr>
            <w:tcW w:w="2338" w:type="dxa"/>
          </w:tcPr>
          <w:p w14:paraId="7B0134C4" w14:textId="6EF7A818" w:rsidR="00992713" w:rsidRPr="00741632" w:rsidRDefault="00992713" w:rsidP="00992713">
            <w:pPr>
              <w:jc w:val="right"/>
              <w:rPr>
                <w:rFonts w:ascii="Times New Roman" w:hAnsi="Times New Roman" w:cs="Times New Roman"/>
                <w:lang w:val="lt-LT"/>
              </w:rPr>
            </w:pPr>
            <w:r w:rsidRPr="00741632">
              <w:rPr>
                <w:rFonts w:ascii="Times New Roman" w:hAnsi="Times New Roman" w:cs="Times New Roman"/>
                <w:lang w:val="lt-LT"/>
              </w:rPr>
              <w:t>Rodiklio reikšmė</w:t>
            </w:r>
          </w:p>
        </w:tc>
        <w:tc>
          <w:tcPr>
            <w:tcW w:w="2338" w:type="dxa"/>
          </w:tcPr>
          <w:p w14:paraId="785236D0" w14:textId="2FB8B143" w:rsidR="00992713" w:rsidRPr="00741632" w:rsidRDefault="00992713" w:rsidP="00992713">
            <w:pPr>
              <w:ind w:firstLine="720"/>
              <w:jc w:val="both"/>
              <w:rPr>
                <w:rFonts w:ascii="Times New Roman" w:hAnsi="Times New Roman" w:cs="Times New Roman"/>
                <w:lang w:val="lt-LT"/>
              </w:rPr>
            </w:pPr>
            <w:r w:rsidRPr="00741632">
              <w:rPr>
                <w:rFonts w:ascii="Times New Roman" w:hAnsi="Times New Roman" w:cs="Times New Roman"/>
                <w:lang w:val="lt-LT"/>
              </w:rPr>
              <w:t>Bandymo metodo žymuo</w:t>
            </w:r>
          </w:p>
        </w:tc>
      </w:tr>
      <w:tr w:rsidR="00992713" w:rsidRPr="00741632" w14:paraId="0D9DF1AA" w14:textId="77777777" w:rsidTr="00992713">
        <w:tc>
          <w:tcPr>
            <w:tcW w:w="562" w:type="dxa"/>
          </w:tcPr>
          <w:p w14:paraId="7E94A3D7" w14:textId="5B927CD0"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1</w:t>
            </w:r>
          </w:p>
        </w:tc>
        <w:tc>
          <w:tcPr>
            <w:tcW w:w="4112" w:type="dxa"/>
          </w:tcPr>
          <w:p w14:paraId="275E7454" w14:textId="4F2E62BF"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Žaliavos sudėtis , %</w:t>
            </w:r>
          </w:p>
        </w:tc>
        <w:tc>
          <w:tcPr>
            <w:tcW w:w="2338" w:type="dxa"/>
          </w:tcPr>
          <w:p w14:paraId="6DA192DB" w14:textId="1333F69C"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PES 100</w:t>
            </w:r>
          </w:p>
        </w:tc>
        <w:tc>
          <w:tcPr>
            <w:tcW w:w="2338" w:type="dxa"/>
          </w:tcPr>
          <w:p w14:paraId="6A8BBB51" w14:textId="033BBAC0"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LST ISO 1833</w:t>
            </w:r>
          </w:p>
        </w:tc>
      </w:tr>
      <w:tr w:rsidR="00992713" w:rsidRPr="00741632" w14:paraId="1752DB1D" w14:textId="77777777" w:rsidTr="00992713">
        <w:tc>
          <w:tcPr>
            <w:tcW w:w="562" w:type="dxa"/>
          </w:tcPr>
          <w:p w14:paraId="7F4CB50F" w14:textId="05B6FEF7"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2</w:t>
            </w:r>
          </w:p>
        </w:tc>
        <w:tc>
          <w:tcPr>
            <w:tcW w:w="4112" w:type="dxa"/>
          </w:tcPr>
          <w:p w14:paraId="2C759550" w14:textId="77777777"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Matmenų pokytis išskalbus ir</w:t>
            </w:r>
          </w:p>
          <w:p w14:paraId="35EDFAD3" w14:textId="77777777"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išdžiovinus (matmenų ir ataudų</w:t>
            </w:r>
          </w:p>
          <w:p w14:paraId="3CCB0A65" w14:textId="05BC458D"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kryptimis), %</w:t>
            </w:r>
          </w:p>
        </w:tc>
        <w:tc>
          <w:tcPr>
            <w:tcW w:w="2338" w:type="dxa"/>
          </w:tcPr>
          <w:p w14:paraId="545A879A" w14:textId="1B026BC0"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Ne daugiau ± 2,0</w:t>
            </w:r>
          </w:p>
        </w:tc>
        <w:tc>
          <w:tcPr>
            <w:tcW w:w="2338" w:type="dxa"/>
          </w:tcPr>
          <w:p w14:paraId="48B6AEB4" w14:textId="77777777" w:rsidR="00992713" w:rsidRPr="00741632" w:rsidRDefault="00992713" w:rsidP="00992713">
            <w:pPr>
              <w:jc w:val="center"/>
              <w:rPr>
                <w:rFonts w:ascii="Times New Roman" w:hAnsi="Times New Roman" w:cs="Times New Roman"/>
                <w:lang w:val="lt-LT"/>
              </w:rPr>
            </w:pPr>
            <w:r w:rsidRPr="00741632">
              <w:rPr>
                <w:rFonts w:ascii="Times New Roman" w:hAnsi="Times New Roman" w:cs="Times New Roman"/>
                <w:lang w:val="lt-LT"/>
              </w:rPr>
              <w:t>LST EN ISO 5077, skalbimo</w:t>
            </w:r>
          </w:p>
          <w:p w14:paraId="2358FA19" w14:textId="77777777" w:rsidR="00992713" w:rsidRPr="00741632" w:rsidRDefault="00992713" w:rsidP="00992713">
            <w:pPr>
              <w:jc w:val="center"/>
              <w:rPr>
                <w:rFonts w:ascii="Times New Roman" w:hAnsi="Times New Roman" w:cs="Times New Roman"/>
                <w:lang w:val="lt-LT"/>
              </w:rPr>
            </w:pPr>
            <w:r w:rsidRPr="00741632">
              <w:rPr>
                <w:rFonts w:ascii="Times New Roman" w:hAnsi="Times New Roman" w:cs="Times New Roman"/>
                <w:lang w:val="lt-LT"/>
              </w:rPr>
              <w:t>procedūra 4N, džiovinimo</w:t>
            </w:r>
          </w:p>
          <w:p w14:paraId="277F483B" w14:textId="77777777" w:rsidR="00992713" w:rsidRPr="00741632" w:rsidRDefault="00992713" w:rsidP="00992713">
            <w:pPr>
              <w:jc w:val="center"/>
              <w:rPr>
                <w:rFonts w:ascii="Times New Roman" w:hAnsi="Times New Roman" w:cs="Times New Roman"/>
                <w:lang w:val="lt-LT"/>
              </w:rPr>
            </w:pPr>
            <w:r w:rsidRPr="00741632">
              <w:rPr>
                <w:rFonts w:ascii="Times New Roman" w:hAnsi="Times New Roman" w:cs="Times New Roman"/>
                <w:lang w:val="lt-LT"/>
              </w:rPr>
              <w:t>procedūra A pagal LST EN</w:t>
            </w:r>
          </w:p>
          <w:p w14:paraId="301100A7" w14:textId="5902CD48" w:rsidR="00992713" w:rsidRPr="00741632" w:rsidRDefault="00992713" w:rsidP="00992713">
            <w:pPr>
              <w:jc w:val="center"/>
              <w:rPr>
                <w:rFonts w:ascii="Times New Roman" w:hAnsi="Times New Roman" w:cs="Times New Roman"/>
                <w:lang w:val="lt-LT"/>
              </w:rPr>
            </w:pPr>
            <w:r w:rsidRPr="00741632">
              <w:rPr>
                <w:rFonts w:ascii="Times New Roman" w:hAnsi="Times New Roman" w:cs="Times New Roman"/>
                <w:lang w:val="lt-LT"/>
              </w:rPr>
              <w:t>ISO 6330</w:t>
            </w:r>
          </w:p>
        </w:tc>
      </w:tr>
      <w:tr w:rsidR="00992713" w:rsidRPr="00741632" w14:paraId="0F8E7419" w14:textId="77777777" w:rsidTr="00992713">
        <w:tc>
          <w:tcPr>
            <w:tcW w:w="562" w:type="dxa"/>
          </w:tcPr>
          <w:p w14:paraId="60ACB635" w14:textId="3824FB58"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3</w:t>
            </w:r>
          </w:p>
        </w:tc>
        <w:tc>
          <w:tcPr>
            <w:tcW w:w="4112" w:type="dxa"/>
          </w:tcPr>
          <w:p w14:paraId="5CD704D1" w14:textId="4C7C3CDF"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Nusidažymo atsparumas (balais):</w:t>
            </w:r>
          </w:p>
        </w:tc>
        <w:tc>
          <w:tcPr>
            <w:tcW w:w="2338" w:type="dxa"/>
          </w:tcPr>
          <w:p w14:paraId="3FE09F8A" w14:textId="107D5421" w:rsidR="00992713" w:rsidRPr="00741632" w:rsidRDefault="00992713" w:rsidP="00992713">
            <w:pPr>
              <w:jc w:val="both"/>
              <w:rPr>
                <w:rFonts w:ascii="Times New Roman" w:hAnsi="Times New Roman" w:cs="Times New Roman"/>
                <w:lang w:val="lt-LT"/>
              </w:rPr>
            </w:pPr>
          </w:p>
        </w:tc>
        <w:tc>
          <w:tcPr>
            <w:tcW w:w="2338" w:type="dxa"/>
          </w:tcPr>
          <w:p w14:paraId="27555444" w14:textId="77777777" w:rsidR="00992713" w:rsidRPr="00741632" w:rsidRDefault="00992713" w:rsidP="00992713">
            <w:pPr>
              <w:jc w:val="both"/>
              <w:rPr>
                <w:rFonts w:ascii="Times New Roman" w:hAnsi="Times New Roman" w:cs="Times New Roman"/>
                <w:lang w:val="lt-LT"/>
              </w:rPr>
            </w:pPr>
          </w:p>
        </w:tc>
      </w:tr>
      <w:tr w:rsidR="00992713" w:rsidRPr="00741632" w14:paraId="4D7BBDDD" w14:textId="77777777" w:rsidTr="00992713">
        <w:tc>
          <w:tcPr>
            <w:tcW w:w="562" w:type="dxa"/>
            <w:vMerge w:val="restart"/>
          </w:tcPr>
          <w:p w14:paraId="670889D1" w14:textId="77777777" w:rsidR="00992713" w:rsidRPr="00741632" w:rsidRDefault="00992713" w:rsidP="00992713">
            <w:pPr>
              <w:jc w:val="both"/>
              <w:rPr>
                <w:rFonts w:ascii="Times New Roman" w:hAnsi="Times New Roman" w:cs="Times New Roman"/>
                <w:lang w:val="lt-LT"/>
              </w:rPr>
            </w:pPr>
          </w:p>
        </w:tc>
        <w:tc>
          <w:tcPr>
            <w:tcW w:w="4112" w:type="dxa"/>
          </w:tcPr>
          <w:p w14:paraId="4D9C139B" w14:textId="240BEDEA"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skalbimui prie 40 °C</w:t>
            </w:r>
          </w:p>
        </w:tc>
        <w:tc>
          <w:tcPr>
            <w:tcW w:w="2338" w:type="dxa"/>
          </w:tcPr>
          <w:p w14:paraId="77A904BC" w14:textId="0F5D056D"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 4-5</w:t>
            </w:r>
          </w:p>
        </w:tc>
        <w:tc>
          <w:tcPr>
            <w:tcW w:w="2338" w:type="dxa"/>
          </w:tcPr>
          <w:p w14:paraId="2A27A1ED" w14:textId="79472610"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LST EN ISO 105-C06</w:t>
            </w:r>
          </w:p>
        </w:tc>
      </w:tr>
      <w:tr w:rsidR="00992713" w:rsidRPr="00741632" w14:paraId="11F09480" w14:textId="77777777" w:rsidTr="00992713">
        <w:tc>
          <w:tcPr>
            <w:tcW w:w="562" w:type="dxa"/>
            <w:vMerge/>
          </w:tcPr>
          <w:p w14:paraId="1F2FAD0A" w14:textId="77777777" w:rsidR="00992713" w:rsidRPr="00741632" w:rsidRDefault="00992713" w:rsidP="00992713">
            <w:pPr>
              <w:jc w:val="both"/>
              <w:rPr>
                <w:rFonts w:ascii="Times New Roman" w:hAnsi="Times New Roman" w:cs="Times New Roman"/>
                <w:lang w:val="lt-LT"/>
              </w:rPr>
            </w:pPr>
          </w:p>
        </w:tc>
        <w:tc>
          <w:tcPr>
            <w:tcW w:w="4112" w:type="dxa"/>
          </w:tcPr>
          <w:p w14:paraId="030E25BD" w14:textId="7BFBD654"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sausai trinčiai</w:t>
            </w:r>
          </w:p>
        </w:tc>
        <w:tc>
          <w:tcPr>
            <w:tcW w:w="2338" w:type="dxa"/>
          </w:tcPr>
          <w:p w14:paraId="50CA739D" w14:textId="5AAF2784"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 4-5</w:t>
            </w:r>
          </w:p>
        </w:tc>
        <w:tc>
          <w:tcPr>
            <w:tcW w:w="2338" w:type="dxa"/>
          </w:tcPr>
          <w:p w14:paraId="01C23179" w14:textId="7C3012B4"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LST EN ISO 105-X12,-X16</w:t>
            </w:r>
          </w:p>
        </w:tc>
      </w:tr>
      <w:tr w:rsidR="00992713" w:rsidRPr="00741632" w14:paraId="21156B6B" w14:textId="77777777" w:rsidTr="00992713">
        <w:tc>
          <w:tcPr>
            <w:tcW w:w="562" w:type="dxa"/>
            <w:vMerge/>
          </w:tcPr>
          <w:p w14:paraId="557DA60D" w14:textId="77777777" w:rsidR="00992713" w:rsidRPr="00741632" w:rsidRDefault="00992713" w:rsidP="00992713">
            <w:pPr>
              <w:jc w:val="both"/>
              <w:rPr>
                <w:rFonts w:ascii="Times New Roman" w:hAnsi="Times New Roman" w:cs="Times New Roman"/>
                <w:lang w:val="lt-LT"/>
              </w:rPr>
            </w:pPr>
          </w:p>
        </w:tc>
        <w:tc>
          <w:tcPr>
            <w:tcW w:w="4112" w:type="dxa"/>
          </w:tcPr>
          <w:p w14:paraId="5058305D" w14:textId="31D8FBBC"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šlapiai trinčiai</w:t>
            </w:r>
          </w:p>
        </w:tc>
        <w:tc>
          <w:tcPr>
            <w:tcW w:w="2338" w:type="dxa"/>
          </w:tcPr>
          <w:p w14:paraId="62445259" w14:textId="0C8BD603"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 4-5</w:t>
            </w:r>
          </w:p>
        </w:tc>
        <w:tc>
          <w:tcPr>
            <w:tcW w:w="2338" w:type="dxa"/>
          </w:tcPr>
          <w:p w14:paraId="7218161E" w14:textId="430B4592"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LST EN ISO 105-X12,-X16</w:t>
            </w:r>
          </w:p>
        </w:tc>
      </w:tr>
      <w:tr w:rsidR="00992713" w:rsidRPr="00741632" w14:paraId="30270786" w14:textId="77777777" w:rsidTr="00992713">
        <w:tc>
          <w:tcPr>
            <w:tcW w:w="562" w:type="dxa"/>
            <w:vMerge/>
          </w:tcPr>
          <w:p w14:paraId="4DC6BEB6" w14:textId="77777777" w:rsidR="00992713" w:rsidRPr="00741632" w:rsidRDefault="00992713" w:rsidP="00992713">
            <w:pPr>
              <w:jc w:val="both"/>
              <w:rPr>
                <w:rFonts w:ascii="Times New Roman" w:hAnsi="Times New Roman" w:cs="Times New Roman"/>
                <w:lang w:val="lt-LT"/>
              </w:rPr>
            </w:pPr>
          </w:p>
        </w:tc>
        <w:tc>
          <w:tcPr>
            <w:tcW w:w="4112" w:type="dxa"/>
          </w:tcPr>
          <w:p w14:paraId="5C8F39F6" w14:textId="11680B9A"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dirbtinei šviesai</w:t>
            </w:r>
          </w:p>
        </w:tc>
        <w:tc>
          <w:tcPr>
            <w:tcW w:w="2338" w:type="dxa"/>
          </w:tcPr>
          <w:p w14:paraId="7DAF7724" w14:textId="6B9DE982"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 4-5</w:t>
            </w:r>
          </w:p>
        </w:tc>
        <w:tc>
          <w:tcPr>
            <w:tcW w:w="2338" w:type="dxa"/>
          </w:tcPr>
          <w:p w14:paraId="4F7AAC0B" w14:textId="4FC58556"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LST EN ISO 105-B02</w:t>
            </w:r>
          </w:p>
        </w:tc>
      </w:tr>
      <w:tr w:rsidR="00992713" w:rsidRPr="00741632" w14:paraId="32290787" w14:textId="77777777" w:rsidTr="00992713">
        <w:tc>
          <w:tcPr>
            <w:tcW w:w="562" w:type="dxa"/>
            <w:vMerge/>
          </w:tcPr>
          <w:p w14:paraId="64587E3D" w14:textId="77777777" w:rsidR="00992713" w:rsidRPr="00741632" w:rsidRDefault="00992713" w:rsidP="00992713">
            <w:pPr>
              <w:jc w:val="both"/>
              <w:rPr>
                <w:rFonts w:ascii="Times New Roman" w:hAnsi="Times New Roman" w:cs="Times New Roman"/>
                <w:lang w:val="lt-LT"/>
              </w:rPr>
            </w:pPr>
          </w:p>
        </w:tc>
        <w:tc>
          <w:tcPr>
            <w:tcW w:w="4112" w:type="dxa"/>
          </w:tcPr>
          <w:p w14:paraId="31EFCCD8" w14:textId="1F146660"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organiniams tirpikliams</w:t>
            </w:r>
          </w:p>
        </w:tc>
        <w:tc>
          <w:tcPr>
            <w:tcW w:w="2338" w:type="dxa"/>
          </w:tcPr>
          <w:p w14:paraId="57923669" w14:textId="241417D0"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 4-5</w:t>
            </w:r>
          </w:p>
        </w:tc>
        <w:tc>
          <w:tcPr>
            <w:tcW w:w="2338" w:type="dxa"/>
          </w:tcPr>
          <w:p w14:paraId="1F3E3FF9" w14:textId="5F61D3E1" w:rsidR="00992713" w:rsidRPr="00741632" w:rsidRDefault="00992713" w:rsidP="00992713">
            <w:pPr>
              <w:jc w:val="both"/>
              <w:rPr>
                <w:rFonts w:ascii="Times New Roman" w:hAnsi="Times New Roman" w:cs="Times New Roman"/>
                <w:lang w:val="lt-LT"/>
              </w:rPr>
            </w:pPr>
            <w:r w:rsidRPr="00741632">
              <w:rPr>
                <w:rFonts w:ascii="Times New Roman" w:hAnsi="Times New Roman" w:cs="Times New Roman"/>
                <w:lang w:val="lt-LT"/>
              </w:rPr>
              <w:t>LST EN ISO 105-X05</w:t>
            </w:r>
          </w:p>
        </w:tc>
      </w:tr>
    </w:tbl>
    <w:p w14:paraId="3F9DD794" w14:textId="57E04ED3" w:rsidR="00992713" w:rsidRPr="001A5B2E" w:rsidRDefault="00992713" w:rsidP="00992713">
      <w:pPr>
        <w:jc w:val="center"/>
        <w:rPr>
          <w:noProof/>
          <w:lang w:val="lt-LT"/>
        </w:rPr>
      </w:pPr>
      <w:r w:rsidRPr="001A5B2E">
        <w:rPr>
          <w:noProof/>
          <w:lang w:val="lt-LT"/>
        </w:rPr>
        <w:lastRenderedPageBreak/>
        <w:drawing>
          <wp:inline distT="0" distB="0" distL="0" distR="0" wp14:anchorId="3FB61135" wp14:editId="4541EF2D">
            <wp:extent cx="4676775" cy="2781300"/>
            <wp:effectExtent l="0" t="0" r="9525" b="0"/>
            <wp:docPr id="1408744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775" cy="2781300"/>
                    </a:xfrm>
                    <a:prstGeom prst="rect">
                      <a:avLst/>
                    </a:prstGeom>
                    <a:noFill/>
                    <a:ln>
                      <a:noFill/>
                    </a:ln>
                  </pic:spPr>
                </pic:pic>
              </a:graphicData>
            </a:graphic>
          </wp:inline>
        </w:drawing>
      </w:r>
    </w:p>
    <w:p w14:paraId="1CEE19C4" w14:textId="77777777" w:rsidR="001A5B2E" w:rsidRPr="001A5B2E" w:rsidRDefault="001A5B2E" w:rsidP="001A5B2E">
      <w:pPr>
        <w:suppressAutoHyphens/>
        <w:spacing w:after="0" w:line="240" w:lineRule="auto"/>
        <w:ind w:left="283" w:hanging="283"/>
        <w:jc w:val="center"/>
        <w:rPr>
          <w:rFonts w:ascii="Times New Roman" w:eastAsia="Times New Roman" w:hAnsi="Times New Roman" w:cs="Times New Roman"/>
          <w:b/>
          <w:bCs/>
          <w:color w:val="000000"/>
          <w:kern w:val="0"/>
          <w:vertAlign w:val="superscript"/>
          <w:lang w:val="lt-LT" w:eastAsia="lt-LT"/>
          <w14:ligatures w14:val="none"/>
        </w:rPr>
      </w:pPr>
      <w:r w:rsidRPr="001A5B2E">
        <w:rPr>
          <w:rFonts w:ascii="Times New Roman" w:eastAsia="Times New Roman" w:hAnsi="Times New Roman" w:cs="Times New Roman"/>
          <w:b/>
          <w:bCs/>
          <w:color w:val="000000"/>
          <w:kern w:val="0"/>
          <w:lang w:val="lt-LT" w:eastAsia="lt-LT"/>
          <w14:ligatures w14:val="none"/>
        </w:rPr>
        <w:t>Prekėms taikomi minimalūs aplinkos apsaugos kriterijai</w:t>
      </w:r>
      <w:r w:rsidRPr="001A5B2E">
        <w:rPr>
          <w:rFonts w:ascii="Times New Roman" w:eastAsia="Times New Roman" w:hAnsi="Times New Roman" w:cs="Times New Roman"/>
          <w:b/>
          <w:bCs/>
          <w:color w:val="000000"/>
          <w:kern w:val="0"/>
          <w:vertAlign w:val="superscript"/>
          <w:lang w:val="lt-LT" w:eastAsia="lt-LT"/>
          <w14:ligatures w14:val="none"/>
        </w:rPr>
        <w:footnoteReference w:id="1"/>
      </w:r>
    </w:p>
    <w:p w14:paraId="755F3B28" w14:textId="77777777" w:rsidR="001A5B2E" w:rsidRPr="001A5B2E" w:rsidRDefault="001A5B2E" w:rsidP="001A5B2E">
      <w:pPr>
        <w:suppressAutoHyphens/>
        <w:spacing w:after="0" w:line="240" w:lineRule="auto"/>
        <w:ind w:left="283" w:hanging="283"/>
        <w:jc w:val="center"/>
        <w:rPr>
          <w:rFonts w:ascii="Times New Roman" w:eastAsia="Times New Roman" w:hAnsi="Times New Roman" w:cs="Times New Roman"/>
          <w:b/>
          <w:bCs/>
          <w:color w:val="000000"/>
          <w:kern w:val="0"/>
          <w:lang w:val="lt-LT" w:eastAsia="lt-LT"/>
          <w14:ligatures w14:val="none"/>
        </w:rPr>
      </w:pPr>
    </w:p>
    <w:p w14:paraId="616D6E42" w14:textId="77777777" w:rsidR="001A5B2E" w:rsidRPr="001A5B2E" w:rsidRDefault="001A5B2E" w:rsidP="001A5B2E">
      <w:pPr>
        <w:numPr>
          <w:ilvl w:val="0"/>
          <w:numId w:val="3"/>
        </w:numPr>
        <w:suppressAutoHyphens/>
        <w:spacing w:after="0" w:line="240" w:lineRule="auto"/>
        <w:ind w:firstLine="273"/>
        <w:contextualSpacing/>
        <w:rPr>
          <w:rFonts w:ascii="Times New Roman" w:eastAsia="Times New Roman" w:hAnsi="Times New Roman" w:cs="Times New Roman"/>
          <w:color w:val="000000"/>
          <w:kern w:val="0"/>
          <w:lang w:val="lt-LT" w:eastAsia="lt-LT"/>
          <w14:ligatures w14:val="none"/>
        </w:rPr>
      </w:pPr>
      <w:r w:rsidRPr="001A5B2E">
        <w:rPr>
          <w:rFonts w:ascii="Times New Roman" w:eastAsia="Times New Roman" w:hAnsi="Times New Roman" w:cs="Times New Roman"/>
          <w:b/>
          <w:bCs/>
          <w:color w:val="000000"/>
          <w:kern w:val="0"/>
          <w:lang w:val="lt-LT" w:eastAsia="lt-LT"/>
          <w14:ligatures w14:val="none"/>
        </w:rPr>
        <w:t>Tekstilės gaminiai:</w:t>
      </w:r>
    </w:p>
    <w:p w14:paraId="3E2BB637" w14:textId="77777777" w:rsidR="001A5B2E" w:rsidRPr="001A5B2E" w:rsidRDefault="001A5B2E" w:rsidP="001A5B2E">
      <w:pPr>
        <w:suppressAutoHyphens/>
        <w:spacing w:after="0" w:line="240" w:lineRule="auto"/>
        <w:ind w:firstLine="993"/>
        <w:jc w:val="both"/>
        <w:rPr>
          <w:rFonts w:ascii="Times New Roman" w:eastAsia="Times New Roman" w:hAnsi="Times New Roman" w:cs="Times New Roman"/>
          <w:b/>
          <w:bCs/>
          <w:color w:val="000000"/>
          <w:kern w:val="0"/>
          <w:lang w:val="lt-LT" w:eastAsia="lt-LT"/>
          <w14:ligatures w14:val="none"/>
        </w:rPr>
      </w:pPr>
      <w:r w:rsidRPr="001A5B2E">
        <w:rPr>
          <w:rFonts w:ascii="Times New Roman" w:eastAsia="Calibri" w:hAnsi="Times New Roman" w:cs="Times New Roman"/>
          <w:kern w:val="0"/>
          <w:lang w:val="lt-LT"/>
          <w14:ligatures w14:val="none"/>
        </w:rPr>
        <w:t xml:space="preserve">Gaminiams naudojamas </w:t>
      </w:r>
      <w:r w:rsidRPr="001A5B2E">
        <w:rPr>
          <w:rFonts w:ascii="Times New Roman" w:eastAsia="Times New Roman" w:hAnsi="Times New Roman" w:cs="Times New Roman"/>
          <w:kern w:val="0"/>
          <w:lang w:val="lt-LT"/>
          <w14:ligatures w14:val="none"/>
        </w:rPr>
        <w:t xml:space="preserve">tekstilės pluoštas turi atitikti minimalius aplinkos apsaugos kriterijus, nustatytus </w:t>
      </w:r>
      <w:r w:rsidRPr="001A5B2E">
        <w:rPr>
          <w:rFonts w:ascii="Times New Roman" w:eastAsia="Times New Roman" w:hAnsi="Times New Roman" w:cs="Times New Roman"/>
          <w:color w:val="000000"/>
          <w:kern w:val="0"/>
          <w:lang w:val="lt-LT"/>
          <w14:ligatures w14:val="none"/>
        </w:rPr>
        <w:t xml:space="preserve">Tvarko aprašo </w:t>
      </w:r>
      <w:r w:rsidRPr="001A5B2E">
        <w:rPr>
          <w:rFonts w:ascii="Times New Roman" w:eastAsia="Times New Roman" w:hAnsi="Times New Roman" w:cs="Times New Roman"/>
          <w:kern w:val="0"/>
          <w:lang w:val="lt-LT"/>
          <w14:ligatures w14:val="none"/>
        </w:rPr>
        <w:t xml:space="preserve">2 priedo IX skyriuje „Tekstilės gaminiai“ </w:t>
      </w:r>
      <w:r w:rsidRPr="001A5B2E">
        <w:rPr>
          <w:rFonts w:ascii="Times New Roman" w:eastAsia="Times New Roman" w:hAnsi="Times New Roman" w:cs="Times New Roman"/>
          <w:color w:val="000000"/>
          <w:kern w:val="0"/>
          <w:lang w:val="lt-LT"/>
          <w14:ligatures w14:val="none"/>
        </w:rPr>
        <w:t xml:space="preserve">9 punkte, </w:t>
      </w:r>
      <w:r w:rsidRPr="001A5B2E">
        <w:rPr>
          <w:rFonts w:ascii="Times New Roman" w:eastAsia="Times New Roman" w:hAnsi="Times New Roman" w:cs="Times New Roman"/>
          <w:b/>
          <w:bCs/>
          <w:color w:val="000000"/>
          <w:kern w:val="0"/>
          <w:lang w:val="lt-LT"/>
          <w14:ligatures w14:val="none"/>
        </w:rPr>
        <w:t>arba</w:t>
      </w:r>
      <w:r w:rsidRPr="001A5B2E">
        <w:rPr>
          <w:rFonts w:ascii="Times New Roman" w:eastAsia="Times New Roman" w:hAnsi="Times New Roman" w:cs="Times New Roman"/>
          <w:color w:val="000000"/>
          <w:kern w:val="0"/>
          <w:lang w:val="lt-LT"/>
          <w14:ligatures w14:val="none"/>
        </w:rPr>
        <w:t xml:space="preserve"> </w:t>
      </w:r>
      <w:r w:rsidRPr="001A5B2E">
        <w:rPr>
          <w:rFonts w:ascii="Times New Roman" w:eastAsia="Times New Roman" w:hAnsi="Times New Roman" w:cs="Times New Roman"/>
          <w:color w:val="000000"/>
          <w:kern w:val="0"/>
          <w:shd w:val="clear" w:color="auto" w:fill="FFFFFF"/>
          <w:lang w:val="lt-LT"/>
          <w14:ligatures w14:val="none"/>
        </w:rPr>
        <w:t xml:space="preserve">prekės, </w:t>
      </w:r>
      <w:r w:rsidRPr="001A5B2E">
        <w:rPr>
          <w:rFonts w:ascii="Times New Roman" w:eastAsia="Times New Roman" w:hAnsi="Times New Roman" w:cs="Times New Roman"/>
          <w:color w:val="000000"/>
          <w:kern w:val="0"/>
          <w:lang w:val="lt-LT"/>
          <w14:ligatures w14:val="none"/>
        </w:rPr>
        <w:t>neatsižvelgiant, ar yra produktų sąraše, atitinka jai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(Tvarkos aprašo 4.2 p.):</w:t>
      </w:r>
    </w:p>
    <w:p w14:paraId="2DFA2676" w14:textId="77777777" w:rsidR="001A5B2E" w:rsidRPr="001A5B2E" w:rsidRDefault="001A5B2E" w:rsidP="001A5B2E">
      <w:pPr>
        <w:suppressAutoHyphens/>
        <w:spacing w:after="0" w:line="240" w:lineRule="auto"/>
        <w:ind w:left="283" w:hanging="283"/>
        <w:jc w:val="center"/>
        <w:rPr>
          <w:rFonts w:ascii="Times New Roman" w:eastAsia="Times New Roman" w:hAnsi="Times New Roman" w:cs="Times New Roman"/>
          <w:color w:val="000000"/>
          <w:kern w:val="0"/>
          <w:lang w:val="lt-LT" w:eastAsia="lt-LT"/>
          <w14:ligatures w14:val="none"/>
        </w:rPr>
      </w:pPr>
      <w:r w:rsidRPr="001A5B2E">
        <w:rPr>
          <w:rFonts w:ascii="Times New Roman" w:eastAsia="Times New Roman" w:hAnsi="Times New Roman" w:cs="Times New Roman"/>
          <w:b/>
          <w:bCs/>
          <w:color w:val="000000"/>
          <w:kern w:val="0"/>
          <w:lang w:val="lt-LT" w:eastAsia="lt-LT"/>
          <w14:ligatures w14:val="none"/>
        </w:rPr>
        <w:t> </w:t>
      </w:r>
    </w:p>
    <w:p w14:paraId="70A24578" w14:textId="72BE6406"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1" w:name="part_289b7ab60e394662b300cc059252dce7"/>
      <w:bookmarkEnd w:id="1"/>
      <w:r w:rsidRPr="001A5B2E">
        <w:rPr>
          <w:rFonts w:ascii="Times New Roman" w:eastAsia="Times New Roman" w:hAnsi="Times New Roman" w:cs="Times New Roman"/>
          <w:color w:val="000000"/>
          <w:kern w:val="0"/>
          <w:lang w:val="lt-LT" w:eastAsia="lt-LT"/>
          <w14:ligatures w14:val="none"/>
        </w:rPr>
        <w:t>Tekstilės gaminiams taikomi reikalavimai</w:t>
      </w:r>
      <w:r w:rsidR="00146761">
        <w:rPr>
          <w:rFonts w:ascii="Times New Roman" w:eastAsia="Times New Roman" w:hAnsi="Times New Roman" w:cs="Times New Roman"/>
          <w:color w:val="000000"/>
          <w:kern w:val="0"/>
          <w:lang w:val="lt-LT" w:eastAsia="lt-LT"/>
          <w14:ligatures w14:val="none"/>
        </w:rPr>
        <w:t xml:space="preserve"> (IX skyrius)</w:t>
      </w:r>
    </w:p>
    <w:p w14:paraId="1C500D2C" w14:textId="77777777"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2" w:name="part_60bcf6d648ee42fcaafef5126bfc0012"/>
      <w:bookmarkEnd w:id="2"/>
      <w:r w:rsidRPr="001A5B2E">
        <w:rPr>
          <w:rFonts w:ascii="Times New Roman" w:eastAsia="Times New Roman" w:hAnsi="Times New Roman" w:cs="Times New Roman"/>
          <w:color w:val="000000"/>
          <w:kern w:val="0"/>
          <w:lang w:val="lt-LT" w:eastAsia="lt-LT"/>
          <w14:ligatures w14:val="none"/>
        </w:rPr>
        <w:t>9.1.  minimalūs aplinkos apsaugos kriterijai tekstilės gaminiams, kurių bent 80 proc. masės sudaro austi, neausti arba megzti tekstilės pluoštai:</w:t>
      </w:r>
    </w:p>
    <w:p w14:paraId="46161F22" w14:textId="77777777" w:rsidR="001A5B2E" w:rsidRPr="001A5B2E" w:rsidRDefault="001A5B2E" w:rsidP="001A5B2E">
      <w:pPr>
        <w:suppressAutoHyphens/>
        <w:spacing w:after="0" w:line="257" w:lineRule="atLeast"/>
        <w:ind w:firstLine="851"/>
        <w:jc w:val="both"/>
        <w:rPr>
          <w:rFonts w:ascii="Times New Roman" w:eastAsia="Times New Roman" w:hAnsi="Times New Roman" w:cs="Times New Roman"/>
          <w:color w:val="000000"/>
          <w:kern w:val="0"/>
          <w:lang w:val="lt-LT" w:eastAsia="lt-LT"/>
          <w14:ligatures w14:val="none"/>
        </w:rPr>
      </w:pPr>
      <w:bookmarkStart w:id="3" w:name="part_9c7b1fe9844840208704904e941b7453"/>
      <w:bookmarkEnd w:id="3"/>
      <w:r w:rsidRPr="001A5B2E">
        <w:rPr>
          <w:rFonts w:ascii="Times New Roman" w:eastAsia="Times New Roman" w:hAnsi="Times New Roman" w:cs="Times New Roman"/>
          <w:color w:val="000000"/>
          <w:kern w:val="0"/>
          <w:lang w:val="lt-LT" w:eastAsia="lt-LT"/>
          <w14:ligatures w14:val="none"/>
        </w:rPr>
        <w:t>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59B5467F" w14:textId="77777777" w:rsidR="001A5B2E" w:rsidRPr="001A5B2E" w:rsidRDefault="001A5B2E" w:rsidP="001A5B2E">
      <w:pPr>
        <w:suppressAutoHyphens/>
        <w:spacing w:after="0" w:line="240" w:lineRule="auto"/>
        <w:rPr>
          <w:rFonts w:ascii="Times New Roman" w:eastAsia="Times New Roman" w:hAnsi="Times New Roman" w:cs="Times New Roman"/>
          <w:color w:val="000000"/>
          <w:kern w:val="0"/>
          <w:lang w:val="lt-LT" w:eastAsia="lt-LT"/>
          <w14:ligatures w14:val="none"/>
        </w:rPr>
      </w:pPr>
      <w:r w:rsidRPr="001A5B2E">
        <w:rPr>
          <w:rFonts w:ascii="Times New Roman" w:eastAsia="Times New Roman" w:hAnsi="Times New Roman" w:cs="Times New Roman"/>
          <w:color w:val="000000"/>
          <w:kern w:val="0"/>
          <w:lang w:val="lt-LT" w:eastAsia="lt-LT"/>
          <w14:ligatures w14:val="none"/>
        </w:rPr>
        <w:t> </w:t>
      </w:r>
    </w:p>
    <w:p w14:paraId="1A5E6C9A" w14:textId="77777777"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4" w:name="part_4e0d2ae6180a40d2a7712c1ddf7bd362"/>
      <w:bookmarkEnd w:id="4"/>
      <w:r w:rsidRPr="001A5B2E">
        <w:rPr>
          <w:rFonts w:ascii="Times New Roman" w:eastAsia="Times New Roman" w:hAnsi="Times New Roman" w:cs="Times New Roman"/>
          <w:color w:val="000000"/>
          <w:kern w:val="0"/>
          <w:lang w:val="lt-LT" w:eastAsia="lt-LT"/>
          <w14:ligatures w14:val="none"/>
        </w:rPr>
        <w:t>9.1.2 tekstilės pluoštuose negali būti šių medžiagų:</w:t>
      </w:r>
    </w:p>
    <w:tbl>
      <w:tblPr>
        <w:tblW w:w="0" w:type="dxa"/>
        <w:tblCellMar>
          <w:left w:w="0" w:type="dxa"/>
          <w:right w:w="0" w:type="dxa"/>
        </w:tblCellMar>
        <w:tblLook w:val="04A0" w:firstRow="1" w:lastRow="0" w:firstColumn="1" w:lastColumn="0" w:noHBand="0" w:noVBand="1"/>
      </w:tblPr>
      <w:tblGrid>
        <w:gridCol w:w="2475"/>
        <w:gridCol w:w="3420"/>
        <w:gridCol w:w="1800"/>
        <w:gridCol w:w="1935"/>
      </w:tblGrid>
      <w:tr w:rsidR="001A5B2E" w:rsidRPr="001A5B2E" w14:paraId="67EB6DB5" w14:textId="77777777" w:rsidTr="00B27676">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790A17"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Cheminių 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4EC65"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DC8F1"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28EC1"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Bandymo metodas</w:t>
            </w:r>
          </w:p>
        </w:tc>
      </w:tr>
      <w:tr w:rsidR="001A5B2E" w:rsidRPr="001A5B2E" w14:paraId="644B36B8" w14:textId="77777777" w:rsidTr="00B27676">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CB2A9"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1.     Azodažikliai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6BEEB8A"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Negalima naudoti azodažiklių,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55EE76D"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Kiekvieno amino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4E0EF5B"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 w:val="20"/>
                <w:szCs w:val="20"/>
                <w:shd w:val="clear" w:color="auto" w:fill="FFFFFF"/>
                <w:lang w:val="lt-LT" w:eastAsia="lt-LT"/>
                <w14:ligatures w14:val="none"/>
              </w:rPr>
              <w:t>LST EN 14362-1 ir LST EN 14362-3 arba lygiavertis bandymo metodas</w:t>
            </w:r>
          </w:p>
        </w:tc>
      </w:tr>
      <w:tr w:rsidR="001A5B2E" w:rsidRPr="001A5B2E" w14:paraId="65DB5F9C" w14:textId="77777777" w:rsidTr="00B27676">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F27AE"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lastRenderedPageBreak/>
              <w:t>2.     Formaldehidas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D221B33"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Formaldehido likučiams galutiniame gaminyje taikomos ribinės vertės:</w:t>
            </w:r>
          </w:p>
          <w:p w14:paraId="707A36F6"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kūdikiams ir vaikams iki 3 metų</w:t>
            </w:r>
          </w:p>
          <w:p w14:paraId="1B9B677E"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visi kiti produktai</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3DE0472"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0–3 m. vaikams – 16 ppm</w:t>
            </w:r>
          </w:p>
          <w:p w14:paraId="675D61AD"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w:t>
            </w:r>
          </w:p>
          <w:p w14:paraId="04792901"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Visi kiti produktai </w:t>
            </w:r>
            <w:r w:rsidRPr="001A5B2E">
              <w:rPr>
                <w:rFonts w:ascii="Times New Roman" w:eastAsia="Times New Roman" w:hAnsi="Times New Roman" w:cs="Times New Roman"/>
                <w:kern w:val="0"/>
                <w:lang w:val="lt-LT" w:eastAsia="lt-LT"/>
                <w14:ligatures w14:val="none"/>
              </w:rPr>
              <w:t>–</w:t>
            </w:r>
            <w:r w:rsidRPr="001A5B2E">
              <w:rPr>
                <w:rFonts w:ascii="Times New Roman" w:eastAsia="Times New Roman" w:hAnsi="Times New Roman" w:cs="Times New Roman"/>
                <w:kern w:val="0"/>
                <w:sz w:val="20"/>
                <w:szCs w:val="20"/>
                <w:lang w:val="lt-LT" w:eastAsia="lt-LT"/>
                <w14:ligatures w14:val="none"/>
              </w:rPr>
              <w:t> 75 ppm</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726C835"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LST EN ISO 14184-1 arba lygiavertis bandymo metodas</w:t>
            </w:r>
          </w:p>
        </w:tc>
      </w:tr>
      <w:tr w:rsidR="001A5B2E" w:rsidRPr="001A5B2E" w14:paraId="53290315" w14:textId="77777777" w:rsidTr="00B27676">
        <w:trPr>
          <w:trHeight w:val="955"/>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2BEFD304"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3.     Pagalbinės medžiagos</w:t>
            </w:r>
          </w:p>
          <w:p w14:paraId="2A7F1726"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8A7C659"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Nurodytų medžiagų negali būti galutiniame gaminyje:</w:t>
            </w:r>
          </w:p>
          <w:p w14:paraId="0771315B"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nonifenolio</w:t>
            </w:r>
          </w:p>
          <w:p w14:paraId="1C7F2E8D"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oktifenolio</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6299D6E"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1589665F"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w:t>
            </w:r>
          </w:p>
        </w:tc>
      </w:tr>
      <w:tr w:rsidR="001A5B2E" w:rsidRPr="001A5B2E" w14:paraId="5B257074" w14:textId="77777777" w:rsidTr="00B27676">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81BC9" w14:textId="0F479865" w:rsidR="001A5B2E" w:rsidRPr="001A5B2E" w:rsidRDefault="001A5B2E" w:rsidP="003945E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FFEE216"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nonilfenoletoksilatų</w:t>
            </w:r>
          </w:p>
          <w:p w14:paraId="10342755"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oktilfenolio etoksilatų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BD5AA57"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EF4A9DE"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ISO 18254-1 ir ISO 18254-2 arba lygiavertis bandymo metodas</w:t>
            </w:r>
          </w:p>
        </w:tc>
      </w:tr>
      <w:tr w:rsidR="001A5B2E" w:rsidRPr="001A5B2E" w14:paraId="29687FCA" w14:textId="77777777" w:rsidTr="00B27676">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804EE"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4.     Dangos, laminatai ir membranos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9C202CA"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Dangos, plastizolio raštų, laminatų, membranų ir plastiko priedų sudėtyje negali būti šių ftalatų:</w:t>
            </w:r>
          </w:p>
          <w:p w14:paraId="62F1E189"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DEHP (bis-(etiheksil)ftalato)</w:t>
            </w:r>
          </w:p>
          <w:p w14:paraId="74664305"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BBP (butilbenzilftalato)</w:t>
            </w:r>
          </w:p>
          <w:p w14:paraId="1226197F"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DBP (dibutilftalato)</w:t>
            </w:r>
          </w:p>
          <w:p w14:paraId="5AACC838"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DMEP (bis-2-metoksietilftalato)</w:t>
            </w:r>
          </w:p>
          <w:p w14:paraId="3189F731"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DIBP (diizobutilftalato)</w:t>
            </w:r>
          </w:p>
          <w:p w14:paraId="14DCED64"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DIHP (Di-C6-8 šakotųjų alkiftalatų)</w:t>
            </w:r>
          </w:p>
          <w:p w14:paraId="7A8BDFF4"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DHNUP (Di-C7-11 šakotųjų alkilftalatų)</w:t>
            </w:r>
          </w:p>
          <w:p w14:paraId="631B908B" w14:textId="77777777" w:rsidR="001A5B2E" w:rsidRPr="001A5B2E" w:rsidRDefault="001A5B2E" w:rsidP="001A5B2E">
            <w:pPr>
              <w:suppressAutoHyphens/>
              <w:spacing w:after="0" w:line="240" w:lineRule="auto"/>
              <w:ind w:left="720" w:hanging="360"/>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       DHP (di-n-heksilftalatų)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3851CE8"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Bendras kiekis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14B2C627" w14:textId="77777777" w:rsidR="001A5B2E" w:rsidRPr="001A5B2E" w:rsidRDefault="001A5B2E" w:rsidP="001A5B2E">
            <w:pPr>
              <w:suppressAutoHyphens/>
              <w:spacing w:after="0" w:line="240" w:lineRule="auto"/>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kern w:val="0"/>
                <w:sz w:val="20"/>
                <w:szCs w:val="20"/>
                <w:lang w:val="lt-LT" w:eastAsia="lt-LT"/>
                <w14:ligatures w14:val="none"/>
              </w:rPr>
              <w:t>LST EN ISO 14389 arba lygiavertis bandymo metodas</w:t>
            </w:r>
          </w:p>
        </w:tc>
      </w:tr>
    </w:tbl>
    <w:p w14:paraId="28FB3603" w14:textId="77777777"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r w:rsidRPr="001A5B2E">
        <w:rPr>
          <w:rFonts w:ascii="Times New Roman" w:eastAsia="Times New Roman" w:hAnsi="Times New Roman" w:cs="Times New Roman"/>
          <w:color w:val="000000"/>
          <w:kern w:val="0"/>
          <w:lang w:val="lt-LT" w:eastAsia="lt-LT"/>
          <w14:ligatures w14:val="none"/>
        </w:rPr>
        <w:t> </w:t>
      </w:r>
    </w:p>
    <w:p w14:paraId="4853CB75" w14:textId="19F57AEB" w:rsidR="001A5B2E" w:rsidRPr="001A5B2E" w:rsidRDefault="001A5B2E" w:rsidP="003945EE">
      <w:pPr>
        <w:suppressAutoHyphens/>
        <w:spacing w:after="0" w:line="240" w:lineRule="auto"/>
        <w:jc w:val="both"/>
        <w:rPr>
          <w:rFonts w:ascii="Times New Roman" w:eastAsia="Times New Roman" w:hAnsi="Times New Roman" w:cs="Times New Roman"/>
          <w:color w:val="000000"/>
          <w:kern w:val="0"/>
          <w:lang w:val="lt-LT" w:eastAsia="lt-LT"/>
          <w14:ligatures w14:val="none"/>
        </w:rPr>
      </w:pPr>
      <w:r w:rsidRPr="001A5B2E">
        <w:rPr>
          <w:rFonts w:ascii="Times New Roman" w:eastAsia="Times New Roman" w:hAnsi="Times New Roman" w:cs="Times New Roman"/>
          <w:color w:val="000000"/>
          <w:kern w:val="0"/>
          <w:lang w:val="lt-LT" w:eastAsia="lt-LT"/>
          <w14:ligatures w14:val="none"/>
        </w:rPr>
        <w:t> </w:t>
      </w:r>
      <w:r w:rsidR="003945EE" w:rsidRPr="003945EE">
        <w:rPr>
          <w:rFonts w:ascii="Times New Roman" w:eastAsia="Times New Roman" w:hAnsi="Times New Roman" w:cs="Times New Roman"/>
          <w:color w:val="000000"/>
          <w:kern w:val="0"/>
          <w:lang w:val="lt-LT" w:eastAsia="lt-LT"/>
          <w14:ligatures w14:val="none"/>
        </w:rPr>
        <w:t>Atitiktį reikalavimams įrodantys dokumentai: (9.1.1 ir 9.1.2 papunkčiams)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3C1D1720" w14:textId="77777777" w:rsidR="003945EE" w:rsidRDefault="003945E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5" w:name="part_d32b29cf63d146b8ab8c2333848446f2"/>
      <w:bookmarkEnd w:id="5"/>
    </w:p>
    <w:p w14:paraId="51B13473" w14:textId="79794370"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r w:rsidRPr="001A5B2E">
        <w:rPr>
          <w:rFonts w:ascii="Times New Roman" w:eastAsia="Times New Roman" w:hAnsi="Times New Roman" w:cs="Times New Roman"/>
          <w:color w:val="000000"/>
          <w:kern w:val="0"/>
          <w:lang w:val="lt-LT" w:eastAsia="lt-LT"/>
          <w14:ligatures w14:val="none"/>
        </w:rPr>
        <w:t>9.2. minimalūs aplinkos apsaugos kriterijai taikomi tekstilės gaminiams, kuriuose:           </w:t>
      </w:r>
    </w:p>
    <w:p w14:paraId="1635FDAA" w14:textId="77777777"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6" w:name="part_dcfd6948deb34931ab8c15e80b2544ff"/>
      <w:bookmarkEnd w:id="6"/>
      <w:r w:rsidRPr="001A5B2E">
        <w:rPr>
          <w:rFonts w:ascii="Times New Roman" w:eastAsia="Times New Roman" w:hAnsi="Times New Roman" w:cs="Times New Roman"/>
          <w:color w:val="000000"/>
          <w:kern w:val="0"/>
          <w:lang w:val="lt-LT" w:eastAsia="lt-LT"/>
          <w14:ligatures w14:val="none"/>
        </w:rPr>
        <w:t>9.2.1. naudojamas poliesterio pluoštas turi būti 100 proc. pagamintas iš perdirbtų atliekų;</w:t>
      </w:r>
    </w:p>
    <w:p w14:paraId="30512D17" w14:textId="77777777"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7" w:name="part_b1fad1a3583c411f8543883f5c453f53"/>
      <w:bookmarkEnd w:id="7"/>
      <w:r w:rsidRPr="001A5B2E">
        <w:rPr>
          <w:rFonts w:ascii="Times New Roman" w:eastAsia="Times New Roman" w:hAnsi="Times New Roman" w:cs="Times New Roman"/>
          <w:color w:val="000000"/>
          <w:kern w:val="0"/>
          <w:lang w:val="lt-LT" w:eastAsia="lt-LT"/>
          <w14:ligatures w14:val="none"/>
        </w:rPr>
        <w:t>9.2.2. naudojamas medvilnės pluoštas turi atitikti bent vieną iš šių minimalių aplinkos apsaugos kriterijų:</w:t>
      </w:r>
    </w:p>
    <w:p w14:paraId="353B8606" w14:textId="77777777"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8" w:name="part_b1728d1e322840bf90e1cad9863ebad0"/>
      <w:bookmarkEnd w:id="8"/>
      <w:r w:rsidRPr="001A5B2E">
        <w:rPr>
          <w:rFonts w:ascii="Times New Roman" w:eastAsia="Times New Roman" w:hAnsi="Times New Roman" w:cs="Times New Roman"/>
          <w:color w:val="000000"/>
          <w:kern w:val="0"/>
          <w:lang w:val="lt-LT" w:eastAsia="lt-LT"/>
          <w14:ligatures w14:val="none"/>
        </w:rPr>
        <w:t>9.2.2.1.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479176A3" w14:textId="77777777" w:rsidR="001A5B2E" w:rsidRPr="001A5B2E" w:rsidRDefault="001A5B2E" w:rsidP="001A5B2E">
      <w:pPr>
        <w:suppressAutoHyphens/>
        <w:spacing w:after="0" w:line="240" w:lineRule="auto"/>
        <w:ind w:firstLine="851"/>
        <w:jc w:val="both"/>
        <w:rPr>
          <w:rFonts w:ascii="Times New Roman" w:eastAsia="Times New Roman" w:hAnsi="Times New Roman" w:cs="Times New Roman"/>
          <w:color w:val="000000"/>
          <w:kern w:val="0"/>
          <w:lang w:val="lt-LT" w:eastAsia="lt-LT"/>
          <w14:ligatures w14:val="none"/>
        </w:rPr>
      </w:pPr>
      <w:bookmarkStart w:id="9" w:name="part_0fb6f8a959114f1bbceac154bc0712ef"/>
      <w:bookmarkEnd w:id="9"/>
      <w:r w:rsidRPr="001A5B2E">
        <w:rPr>
          <w:rFonts w:ascii="Times New Roman" w:eastAsia="Times New Roman" w:hAnsi="Times New Roman" w:cs="Times New Roman"/>
          <w:color w:val="000000"/>
          <w:kern w:val="0"/>
          <w:lang w:val="lt-LT" w:eastAsia="lt-LT"/>
          <w14:ligatures w14:val="none"/>
        </w:rPr>
        <w:t>9.2.2.2. sudarytas iš ne mažiau kaip 10 proc. perdirbtos medvilnės pluošto;</w:t>
      </w:r>
    </w:p>
    <w:p w14:paraId="3281189E" w14:textId="77777777" w:rsidR="001A5B2E" w:rsidRPr="001A5B2E" w:rsidRDefault="001A5B2E" w:rsidP="001A5B2E">
      <w:pPr>
        <w:suppressAutoHyphens/>
        <w:spacing w:after="0" w:line="257" w:lineRule="atLeast"/>
        <w:ind w:firstLine="851"/>
        <w:jc w:val="both"/>
        <w:rPr>
          <w:rFonts w:ascii="Times New Roman" w:eastAsia="Times New Roman" w:hAnsi="Times New Roman" w:cs="Times New Roman"/>
          <w:color w:val="000000"/>
          <w:kern w:val="0"/>
          <w:lang w:val="lt-LT" w:eastAsia="lt-LT"/>
          <w14:ligatures w14:val="none"/>
        </w:rPr>
      </w:pPr>
      <w:bookmarkStart w:id="10" w:name="part_27386f8fbd98412582833a85fbe75de4"/>
      <w:bookmarkEnd w:id="10"/>
      <w:r w:rsidRPr="001A5B2E">
        <w:rPr>
          <w:rFonts w:ascii="Times New Roman" w:eastAsia="Times New Roman" w:hAnsi="Times New Roman" w:cs="Times New Roman"/>
          <w:color w:val="000000"/>
          <w:kern w:val="0"/>
          <w:lang w:val="lt-LT" w:eastAsia="lt-LT"/>
          <w14:ligatures w14:val="none"/>
        </w:rPr>
        <w:t>9.2.2.3. sudarytas iš ne mažiau kaip 10 proc. pluoštinių kanapių, dilgėlių ar linų pluošto.</w:t>
      </w:r>
    </w:p>
    <w:p w14:paraId="1D9A313A" w14:textId="77777777" w:rsidR="001A5B2E" w:rsidRPr="001A5B2E" w:rsidRDefault="001A5B2E" w:rsidP="001A5B2E">
      <w:pPr>
        <w:suppressAutoHyphens/>
        <w:spacing w:after="0" w:line="240" w:lineRule="auto"/>
        <w:jc w:val="both"/>
        <w:rPr>
          <w:rFonts w:ascii="Times New Roman" w:eastAsia="Times New Roman" w:hAnsi="Times New Roman" w:cs="Times New Roman"/>
          <w:i/>
          <w:iCs/>
          <w:color w:val="000000"/>
          <w:kern w:val="0"/>
          <w:sz w:val="20"/>
          <w:szCs w:val="20"/>
          <w:lang w:val="lt-LT" w:eastAsia="lt-LT"/>
          <w14:ligatures w14:val="none"/>
        </w:rPr>
      </w:pPr>
    </w:p>
    <w:p w14:paraId="3F5F5104"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b/>
          <w:color w:val="000000"/>
          <w:kern w:val="0"/>
          <w:lang w:val="lt-LT" w:eastAsia="lt-LT"/>
          <w14:ligatures w14:val="none"/>
        </w:rPr>
      </w:pPr>
      <w:r w:rsidRPr="001A5B2E">
        <w:rPr>
          <w:rFonts w:ascii="Times New Roman" w:eastAsia="Times New Roman" w:hAnsi="Times New Roman" w:cs="Times New Roman"/>
          <w:b/>
          <w:bCs/>
          <w:color w:val="000000"/>
          <w:kern w:val="0"/>
          <w:lang w:val="lt-LT" w:eastAsia="lt-LT"/>
          <w14:ligatures w14:val="none"/>
        </w:rPr>
        <w:t xml:space="preserve">Atitiktį reikalavimams įrodantys dokumentai: </w:t>
      </w:r>
      <w:r w:rsidRPr="001A5B2E">
        <w:rPr>
          <w:rFonts w:ascii="Times New Roman" w:eastAsia="Times New Roman" w:hAnsi="Times New Roman" w:cs="Times New Roman"/>
          <w:color w:val="000000"/>
          <w:kern w:val="0"/>
          <w:lang w:val="lt-LT" w:eastAsia="lt-LT"/>
          <w14:ligatures w14:val="none"/>
        </w:rPr>
        <w:t>g</w:t>
      </w:r>
      <w:r w:rsidRPr="001A5B2E">
        <w:rPr>
          <w:rFonts w:ascii="Times New Roman" w:eastAsia="Times New Roman" w:hAnsi="Times New Roman" w:cs="Times New Roman"/>
          <w:color w:val="000000"/>
          <w:kern w:val="0"/>
          <w:szCs w:val="20"/>
          <w:lang w:val="lt-LT"/>
          <w14:ligatures w14:val="none"/>
        </w:rPr>
        <w:t>amintojo ir (ar) tiekėjo techniniai dokumentai, gamintojo ir (ar) importuotojo, ir (ar) tiekėjo rašytiniai patvirtinimai, gamintojo bandymų ataskaita, protokolas, gamintojo ir (ar) tiekėjo deklaracija (pateikiant objektyvius įrodymus), aplinkosauginė produkto deklaracija,  pripažintos įstaigos arba notifikuotos institucijos atlikto bandymo protokolas arba kiti lygiaverčiai įrodymai.</w:t>
      </w:r>
    </w:p>
    <w:p w14:paraId="4156287F" w14:textId="77777777" w:rsidR="001A5B2E" w:rsidRPr="001A5B2E" w:rsidRDefault="001A5B2E" w:rsidP="001A5B2E">
      <w:pPr>
        <w:suppressAutoHyphens/>
        <w:spacing w:after="0" w:line="240" w:lineRule="auto"/>
        <w:rPr>
          <w:rFonts w:ascii="Calibri" w:eastAsia="Calibri" w:hAnsi="Calibri" w:cs="Times New Roman"/>
          <w:sz w:val="22"/>
          <w:szCs w:val="22"/>
          <w:lang w:val="lt-LT"/>
        </w:rPr>
      </w:pPr>
    </w:p>
    <w:p w14:paraId="215C6CFA" w14:textId="77777777" w:rsidR="001A5B2E" w:rsidRPr="001A5B2E" w:rsidRDefault="001A5B2E" w:rsidP="001A5B2E">
      <w:pPr>
        <w:numPr>
          <w:ilvl w:val="0"/>
          <w:numId w:val="3"/>
        </w:numPr>
        <w:suppressAutoHyphens/>
        <w:spacing w:after="0" w:line="240" w:lineRule="auto"/>
        <w:ind w:hanging="11"/>
        <w:contextualSpacing/>
        <w:jc w:val="both"/>
        <w:rPr>
          <w:rFonts w:ascii="Times New Roman" w:eastAsia="Calibri" w:hAnsi="Times New Roman" w:cs="Times New Roman"/>
          <w:b/>
          <w:bCs/>
          <w:lang w:val="lt-LT"/>
        </w:rPr>
      </w:pPr>
      <w:r w:rsidRPr="001A5B2E">
        <w:rPr>
          <w:rFonts w:ascii="Times New Roman" w:eastAsia="Calibri" w:hAnsi="Times New Roman" w:cs="Times New Roman"/>
          <w:b/>
          <w:bCs/>
          <w:lang w:val="lt-LT"/>
        </w:rPr>
        <w:t>Pakuotės:</w:t>
      </w:r>
    </w:p>
    <w:p w14:paraId="71CD6851"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14:ligatures w14:val="none"/>
        </w:rPr>
      </w:pPr>
      <w:r w:rsidRPr="001A5B2E">
        <w:rPr>
          <w:rFonts w:ascii="Times New Roman" w:eastAsia="Times New Roman" w:hAnsi="Times New Roman" w:cs="Times New Roman"/>
          <w:kern w:val="0"/>
          <w:lang w:val="lt-LT"/>
          <w14:ligatures w14:val="none"/>
        </w:rPr>
        <w:lastRenderedPageBreak/>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7027DFC9" w14:textId="77777777" w:rsidR="001A5B2E" w:rsidRPr="001A5B2E" w:rsidRDefault="001A5B2E" w:rsidP="001A5B2E">
      <w:pPr>
        <w:spacing w:after="0" w:line="240" w:lineRule="auto"/>
        <w:ind w:left="720"/>
        <w:contextualSpacing/>
        <w:rPr>
          <w:rFonts w:ascii="Times New Roman" w:eastAsia="Calibri" w:hAnsi="Times New Roman" w:cs="Times New Roman"/>
          <w:b/>
          <w:bCs/>
          <w:lang w:val="lt-LT"/>
        </w:rPr>
      </w:pPr>
    </w:p>
    <w:p w14:paraId="44C125AB" w14:textId="13A54FD7" w:rsidR="001A5B2E" w:rsidRPr="001A5B2E" w:rsidRDefault="001A5B2E" w:rsidP="001A5B2E">
      <w:pPr>
        <w:suppressAutoHyphens/>
        <w:spacing w:after="0" w:line="240" w:lineRule="auto"/>
        <w:ind w:firstLine="709"/>
        <w:jc w:val="both"/>
        <w:rPr>
          <w:rFonts w:ascii="Times New Roman" w:eastAsia="Times New Roman" w:hAnsi="Times New Roman" w:cs="Times New Roman"/>
          <w:color w:val="000000"/>
          <w:kern w:val="0"/>
          <w:lang w:val="lt-LT" w:eastAsia="lt-LT"/>
          <w14:ligatures w14:val="none"/>
        </w:rPr>
      </w:pPr>
      <w:bookmarkStart w:id="11" w:name="part_d87991cc908f473abc4e550dc2121b58"/>
      <w:bookmarkEnd w:id="11"/>
      <w:r w:rsidRPr="001A5B2E">
        <w:rPr>
          <w:rFonts w:ascii="Times New Roman" w:eastAsia="Times New Roman" w:hAnsi="Times New Roman" w:cs="Times New Roman"/>
          <w:color w:val="000000"/>
          <w:kern w:val="0"/>
          <w:lang w:val="lt-LT" w:eastAsia="lt-LT"/>
          <w14:ligatures w14:val="none"/>
        </w:rPr>
        <w:t>Pakuotėms taikomi reikalavimai</w:t>
      </w:r>
      <w:r w:rsidR="00146761">
        <w:rPr>
          <w:rFonts w:ascii="Times New Roman" w:eastAsia="Times New Roman" w:hAnsi="Times New Roman" w:cs="Times New Roman"/>
          <w:color w:val="000000"/>
          <w:kern w:val="0"/>
          <w:lang w:val="lt-LT" w:eastAsia="lt-LT"/>
          <w14:ligatures w14:val="none"/>
        </w:rPr>
        <w:t xml:space="preserve"> (II skyrius)</w:t>
      </w:r>
      <w:r w:rsidRPr="001A5B2E">
        <w:rPr>
          <w:rFonts w:ascii="Times New Roman" w:eastAsia="Times New Roman" w:hAnsi="Times New Roman" w:cs="Times New Roman"/>
          <w:color w:val="000000"/>
          <w:kern w:val="0"/>
          <w:lang w:val="lt-LT" w:eastAsia="lt-LT"/>
          <w14:ligatures w14:val="none"/>
        </w:rPr>
        <w:t>:</w:t>
      </w:r>
    </w:p>
    <w:p w14:paraId="40CEF081"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1A5B2E">
        <w:rPr>
          <w:rFonts w:ascii="Times New Roman" w:eastAsia="Times New Roman" w:hAnsi="Times New Roman" w:cs="Times New Roman"/>
          <w:color w:val="000000"/>
          <w:kern w:val="0"/>
          <w:lang w:val="lt-LT" w:eastAsia="lt-LT"/>
          <w14:ligatures w14:val="none"/>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78"/>
        <w:gridCol w:w="4125"/>
        <w:gridCol w:w="4322"/>
      </w:tblGrid>
      <w:tr w:rsidR="001A5B2E" w:rsidRPr="001A5B2E" w14:paraId="1E095CFE" w14:textId="77777777" w:rsidTr="00B27676">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ED6778"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741EE"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93168"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Ženklinimas</w:t>
            </w:r>
          </w:p>
        </w:tc>
      </w:tr>
      <w:tr w:rsidR="001A5B2E" w:rsidRPr="001A5B2E" w14:paraId="580E34E9"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13990"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94A397B"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F8BFA4E"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GL (arba GL nuo 70 iki 79)</w:t>
            </w:r>
          </w:p>
        </w:tc>
      </w:tr>
      <w:tr w:rsidR="001A5B2E" w:rsidRPr="001A5B2E" w14:paraId="42BF83DA"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0BFCA"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19A6681"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B5B063B"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FE (arba FE 40),</w:t>
            </w:r>
          </w:p>
          <w:p w14:paraId="0E0AD516"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ALU (arba ALU 41)</w:t>
            </w:r>
          </w:p>
          <w:p w14:paraId="509D6F31"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Nuo 42 iki 49</w:t>
            </w:r>
          </w:p>
        </w:tc>
      </w:tr>
      <w:tr w:rsidR="001A5B2E" w:rsidRPr="001A5B2E" w14:paraId="6F9AE750"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22AA5"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79ADDB9"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B38DD9F"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PAP (arba PAP nuo 20 iki 39)</w:t>
            </w:r>
          </w:p>
        </w:tc>
      </w:tr>
      <w:tr w:rsidR="001A5B2E" w:rsidRPr="001A5B2E" w14:paraId="3BB0CD15"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8DE00"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D597C3D"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D0032FC"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FOR (arba FOR nuo 50 iki 59)</w:t>
            </w:r>
          </w:p>
        </w:tc>
      </w:tr>
      <w:tr w:rsidR="001A5B2E" w:rsidRPr="001A5B2E" w14:paraId="5CCC2BC4"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868E3"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59C802B"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FEDB1D5"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TEX (arba TEX nuo 60 iki 69)</w:t>
            </w:r>
          </w:p>
        </w:tc>
      </w:tr>
      <w:tr w:rsidR="001A5B2E" w:rsidRPr="001A5B2E" w14:paraId="75829751"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7F3EB"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F153F8E"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Polietilentereftalatas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D342BD7"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PET arba PET 1</w:t>
            </w:r>
          </w:p>
        </w:tc>
      </w:tr>
      <w:tr w:rsidR="001A5B2E" w:rsidRPr="001A5B2E" w14:paraId="11986A14"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3F1D1"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290AE47"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37A9AFC"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HDPE (arba HDPE 2)</w:t>
            </w:r>
          </w:p>
        </w:tc>
      </w:tr>
      <w:tr w:rsidR="001A5B2E" w:rsidRPr="001A5B2E" w14:paraId="1272AF3A"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A3209"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0CE5761"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Polivinilchloridas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6FAE6BC"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PVC (arba PVC 3)</w:t>
            </w:r>
          </w:p>
        </w:tc>
      </w:tr>
      <w:tr w:rsidR="001A5B2E" w:rsidRPr="001A5B2E" w14:paraId="486BEC78"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8F5BF"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6B88AA2"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0AB586D"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LDPE (arba LDPE 4)</w:t>
            </w:r>
          </w:p>
        </w:tc>
      </w:tr>
      <w:tr w:rsidR="001A5B2E" w:rsidRPr="001A5B2E" w14:paraId="7220A2E0"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B8B23"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5F5B753"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E86BD7F"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PP (arba PP 5)</w:t>
            </w:r>
          </w:p>
        </w:tc>
      </w:tr>
      <w:tr w:rsidR="001A5B2E" w:rsidRPr="001A5B2E" w14:paraId="61C32366" w14:textId="77777777" w:rsidTr="00B27676">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5613C"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440305B"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Polistirenas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D8C1309" w14:textId="77777777" w:rsidR="001A5B2E" w:rsidRPr="001A5B2E" w:rsidRDefault="001A5B2E" w:rsidP="001A5B2E">
            <w:pPr>
              <w:suppressAutoHyphens/>
              <w:spacing w:after="0" w:line="240" w:lineRule="auto"/>
              <w:ind w:firstLine="709"/>
              <w:jc w:val="both"/>
              <w:rPr>
                <w:rFonts w:ascii="Times New Roman" w:eastAsia="Times New Roman" w:hAnsi="Times New Roman" w:cs="Times New Roman"/>
                <w:kern w:val="0"/>
                <w:lang w:val="lt-LT" w:eastAsia="lt-LT"/>
                <w14:ligatures w14:val="none"/>
              </w:rPr>
            </w:pPr>
            <w:r w:rsidRPr="001A5B2E">
              <w:rPr>
                <w:rFonts w:ascii="Times New Roman" w:eastAsia="Times New Roman" w:hAnsi="Times New Roman" w:cs="Times New Roman"/>
                <w:color w:val="000000"/>
                <w:kern w:val="0"/>
                <w:szCs w:val="20"/>
                <w:lang w:val="lt-LT" w:eastAsia="lt-LT"/>
                <w14:ligatures w14:val="none"/>
              </w:rPr>
              <w:t>PS (arba PS 6)</w:t>
            </w:r>
          </w:p>
        </w:tc>
      </w:tr>
    </w:tbl>
    <w:p w14:paraId="1631E5CF" w14:textId="77777777" w:rsidR="001A5B2E" w:rsidRPr="001A5B2E" w:rsidRDefault="001A5B2E" w:rsidP="001A5B2E">
      <w:pPr>
        <w:suppressAutoHyphens/>
        <w:spacing w:after="0" w:line="257" w:lineRule="atLeast"/>
        <w:ind w:firstLine="709"/>
        <w:jc w:val="both"/>
        <w:rPr>
          <w:rFonts w:ascii="Times New Roman" w:eastAsia="Times New Roman" w:hAnsi="Times New Roman" w:cs="Times New Roman"/>
          <w:color w:val="000000"/>
          <w:kern w:val="0"/>
          <w:lang w:val="lt-LT" w:eastAsia="lt-LT"/>
          <w14:ligatures w14:val="none"/>
        </w:rPr>
      </w:pPr>
    </w:p>
    <w:p w14:paraId="615F4548" w14:textId="06087AFF" w:rsidR="001A5B2E" w:rsidRDefault="001A5B2E" w:rsidP="00573A80">
      <w:pPr>
        <w:suppressAutoHyphens/>
        <w:spacing w:after="0" w:line="257" w:lineRule="atLeast"/>
        <w:ind w:firstLine="709"/>
        <w:jc w:val="both"/>
        <w:rPr>
          <w:rFonts w:ascii="Times New Roman" w:eastAsia="Calibri" w:hAnsi="Times New Roman" w:cs="Times New Roman"/>
          <w:b/>
          <w:bCs/>
          <w:kern w:val="0"/>
          <w:lang w:val="lt-LT"/>
          <w14:ligatures w14:val="none"/>
        </w:rPr>
      </w:pPr>
      <w:r w:rsidRPr="001A5B2E">
        <w:rPr>
          <w:rFonts w:ascii="Times New Roman" w:eastAsia="Times New Roman" w:hAnsi="Times New Roman" w:cs="Times New Roman"/>
          <w:b/>
          <w:bCs/>
          <w:color w:val="000000"/>
          <w:kern w:val="0"/>
          <w:lang w:val="lt-LT" w:eastAsia="lt-LT"/>
          <w14:ligatures w14:val="none"/>
        </w:rPr>
        <w:t>Atitiktį reikalavimams įrodantys dokumentai</w:t>
      </w:r>
      <w:r w:rsidRPr="001A5B2E">
        <w:rPr>
          <w:rFonts w:ascii="Times New Roman" w:eastAsia="Times New Roman" w:hAnsi="Times New Roman" w:cs="Times New Roman"/>
          <w:color w:val="000000"/>
          <w:kern w:val="0"/>
          <w:lang w:val="lt-LT" w:eastAsia="lt-LT"/>
          <w14:ligatures w14:val="none"/>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A5B2E">
        <w:rPr>
          <w:rFonts w:ascii="Times New Roman" w:eastAsia="Times New Roman" w:hAnsi="Times New Roman" w:cs="Times New Roman"/>
          <w:i/>
          <w:iCs/>
          <w:color w:val="000000"/>
          <w:kern w:val="0"/>
          <w:lang w:val="lt-LT" w:eastAsia="lt-LT"/>
          <w14:ligatures w14:val="none"/>
        </w:rPr>
        <w:t>Voluntary Standard for Repulping and Recycling Corrugated Fiberboard Treated to Improve Its Performance in the Presence of Water and Water Vapor, </w:t>
      </w:r>
      <w:r w:rsidRPr="001A5B2E">
        <w:rPr>
          <w:rFonts w:ascii="Times New Roman" w:eastAsia="Times New Roman" w:hAnsi="Times New Roman" w:cs="Times New Roman"/>
          <w:color w:val="000000"/>
          <w:kern w:val="0"/>
          <w:lang w:val="lt-LT" w:eastAsia="lt-LT"/>
          <w14:ligatures w14:val="none"/>
        </w:rPr>
        <w:t>standartas</w:t>
      </w:r>
      <w:r w:rsidRPr="001A5B2E">
        <w:rPr>
          <w:rFonts w:ascii="Times New Roman" w:eastAsia="Times New Roman" w:hAnsi="Times New Roman" w:cs="Times New Roman"/>
          <w:i/>
          <w:iCs/>
          <w:color w:val="000000"/>
          <w:kern w:val="0"/>
          <w:lang w:val="lt-LT" w:eastAsia="lt-LT"/>
          <w14:ligatures w14:val="none"/>
        </w:rPr>
        <w:t> RecyClass </w:t>
      </w:r>
      <w:r w:rsidRPr="001A5B2E">
        <w:rPr>
          <w:rFonts w:ascii="Times New Roman" w:eastAsia="Times New Roman" w:hAnsi="Times New Roman" w:cs="Times New Roman"/>
          <w:color w:val="000000"/>
          <w:kern w:val="0"/>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09F52D8" w14:textId="77777777" w:rsidR="00146761" w:rsidRDefault="00146761" w:rsidP="001A5B2E">
      <w:pPr>
        <w:tabs>
          <w:tab w:val="left" w:pos="567"/>
          <w:tab w:val="left" w:pos="993"/>
          <w:tab w:val="left" w:pos="1134"/>
        </w:tabs>
        <w:suppressAutoHyphens/>
        <w:autoSpaceDN w:val="0"/>
        <w:spacing w:after="0" w:line="240" w:lineRule="auto"/>
        <w:ind w:firstLine="851"/>
        <w:jc w:val="both"/>
        <w:textAlignment w:val="baseline"/>
        <w:rPr>
          <w:rFonts w:ascii="Times New Roman" w:eastAsia="Calibri" w:hAnsi="Times New Roman" w:cs="Times New Roman"/>
          <w:kern w:val="0"/>
          <w:lang w:val="lt-LT"/>
          <w14:ligatures w14:val="none"/>
        </w:rPr>
      </w:pPr>
    </w:p>
    <w:p w14:paraId="018F7871" w14:textId="47F4AD0B" w:rsidR="00447F7A" w:rsidRPr="001A5B2E" w:rsidRDefault="001A5B2E" w:rsidP="001A5B2E">
      <w:pPr>
        <w:tabs>
          <w:tab w:val="left" w:pos="567"/>
          <w:tab w:val="left" w:pos="993"/>
          <w:tab w:val="left" w:pos="1134"/>
        </w:tabs>
        <w:suppressAutoHyphens/>
        <w:autoSpaceDN w:val="0"/>
        <w:spacing w:after="0" w:line="240" w:lineRule="auto"/>
        <w:ind w:firstLine="851"/>
        <w:jc w:val="both"/>
        <w:textAlignment w:val="baseline"/>
        <w:rPr>
          <w:rFonts w:ascii="Times New Roman" w:eastAsia="Calibri" w:hAnsi="Times New Roman" w:cs="Times New Roman"/>
          <w:b/>
          <w:bCs/>
          <w:kern w:val="0"/>
          <w:lang w:val="lt-LT"/>
          <w14:ligatures w14:val="none"/>
        </w:rPr>
      </w:pPr>
      <w:r w:rsidRPr="001A5B2E">
        <w:rPr>
          <w:rFonts w:ascii="Times New Roman" w:eastAsia="Calibri" w:hAnsi="Times New Roman" w:cs="Times New Roman"/>
          <w:kern w:val="0"/>
          <w:lang w:val="lt-LT"/>
          <w14:ligatures w14:val="none"/>
        </w:rPr>
        <w:t>T</w:t>
      </w:r>
      <w:r w:rsidR="00447F7A" w:rsidRPr="001A5B2E">
        <w:rPr>
          <w:rFonts w:ascii="Times New Roman" w:eastAsia="Calibri" w:hAnsi="Times New Roman" w:cs="Times New Roman"/>
          <w:kern w:val="0"/>
          <w:lang w:val="lt-LT"/>
          <w14:ligatures w14:val="none"/>
        </w:rPr>
        <w:t xml:space="preserve">iekėjas privalo prekes atvežti ne kelių eismo piko valandomis, </w:t>
      </w:r>
      <w:r w:rsidR="00447F7A" w:rsidRPr="001A5B2E">
        <w:rPr>
          <w:rFonts w:ascii="Times New Roman" w:eastAsia="Calibri" w:hAnsi="Times New Roman" w:cs="Times New Roman"/>
          <w:kern w:val="0"/>
          <w:shd w:val="clear" w:color="auto" w:fill="FFFFFF"/>
          <w:lang w:val="lt-LT"/>
          <w14:ligatures w14:val="none"/>
        </w:rPr>
        <w:t>pirmadieniais – ketvirtadieniais nuo 09.30 val. iki 12.00 val. arba nuo 12.45 val. iki 16.00 val., penktadieniais ir švenčių dienų išvakarėse nuo 09.30 val. iki 12.00 val. arba nuo 12.45 val. iki 14.00 val. Už sutarties vykdymą pirkėjo paskirtas atsakingas asmuo</w:t>
      </w:r>
      <w:r w:rsidR="00447F7A" w:rsidRPr="001A5B2E">
        <w:rPr>
          <w:rFonts w:ascii="Times New Roman" w:eastAsia="Calibri" w:hAnsi="Times New Roman" w:cs="Times New Roman"/>
          <w:kern w:val="0"/>
          <w:lang w:val="lt-LT"/>
          <w14:ligatures w14:val="none"/>
        </w:rPr>
        <w:t xml:space="preserve"> </w:t>
      </w:r>
      <w:r w:rsidR="00447F7A" w:rsidRPr="001A5B2E">
        <w:rPr>
          <w:rFonts w:ascii="Times New Roman" w:eastAsia="Calibri" w:hAnsi="Times New Roman" w:cs="Times New Roman"/>
          <w:kern w:val="0"/>
          <w:shd w:val="clear" w:color="auto" w:fill="FFFFFF"/>
          <w:lang w:val="lt-LT"/>
          <w14:ligatures w14:val="none"/>
        </w:rPr>
        <w:t xml:space="preserve">priimdamas prekes fiziškai įsitikina, ar tiekėjas prekes pristatė ne kelių eismo piko valandomis. Nustačius, kad tiekėjas šiame punkte nustatyto reikalavimo nesilaiko, tiekėjui taikoma </w:t>
      </w:r>
      <w:r w:rsidR="00447F7A" w:rsidRPr="001A5B2E">
        <w:rPr>
          <w:rFonts w:ascii="Times New Roman" w:eastAsia="Calibri" w:hAnsi="Times New Roman" w:cs="Times New Roman"/>
          <w:kern w:val="0"/>
          <w:lang w:val="lt-LT"/>
          <w14:ligatures w14:val="none"/>
        </w:rPr>
        <w:t>100 (vieno šimto) Eur bauda.</w:t>
      </w:r>
    </w:p>
    <w:p w14:paraId="61A23A77" w14:textId="780C3C2C" w:rsidR="00447F7A" w:rsidRPr="001A5B2E" w:rsidRDefault="00447F7A" w:rsidP="001A5B2E">
      <w:pPr>
        <w:tabs>
          <w:tab w:val="left" w:pos="3855"/>
        </w:tabs>
        <w:jc w:val="both"/>
        <w:rPr>
          <w:lang w:val="lt-LT"/>
        </w:rPr>
      </w:pPr>
    </w:p>
    <w:sectPr w:rsidR="00447F7A" w:rsidRPr="001A5B2E" w:rsidSect="00741632">
      <w:pgSz w:w="12240" w:h="15840"/>
      <w:pgMar w:top="1134" w:right="79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F08A" w14:textId="77777777" w:rsidR="00E71C2E" w:rsidRDefault="00E71C2E" w:rsidP="001A5B2E">
      <w:pPr>
        <w:spacing w:after="0" w:line="240" w:lineRule="auto"/>
      </w:pPr>
      <w:r>
        <w:separator/>
      </w:r>
    </w:p>
  </w:endnote>
  <w:endnote w:type="continuationSeparator" w:id="0">
    <w:p w14:paraId="1B21DA1E" w14:textId="77777777" w:rsidR="00E71C2E" w:rsidRDefault="00E71C2E" w:rsidP="001A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8B78" w14:textId="77777777" w:rsidR="00E71C2E" w:rsidRDefault="00E71C2E" w:rsidP="001A5B2E">
      <w:pPr>
        <w:spacing w:after="0" w:line="240" w:lineRule="auto"/>
      </w:pPr>
      <w:r>
        <w:separator/>
      </w:r>
    </w:p>
  </w:footnote>
  <w:footnote w:type="continuationSeparator" w:id="0">
    <w:p w14:paraId="3D4A2ADD" w14:textId="77777777" w:rsidR="00E71C2E" w:rsidRDefault="00E71C2E" w:rsidP="001A5B2E">
      <w:pPr>
        <w:spacing w:after="0" w:line="240" w:lineRule="auto"/>
      </w:pPr>
      <w:r>
        <w:continuationSeparator/>
      </w:r>
    </w:p>
  </w:footnote>
  <w:footnote w:id="1">
    <w:p w14:paraId="196D774B" w14:textId="77777777" w:rsidR="001A5B2E" w:rsidRPr="004A3D95" w:rsidRDefault="001A5B2E" w:rsidP="001A5B2E">
      <w:pPr>
        <w:pStyle w:val="FootnoteText"/>
        <w:rPr>
          <w:b/>
          <w:bCs/>
          <w:sz w:val="18"/>
          <w:szCs w:val="14"/>
        </w:rPr>
      </w:pPr>
      <w:r>
        <w:rPr>
          <w:rStyle w:val="FootnoteReference"/>
        </w:rPr>
        <w:footnoteRef/>
      </w:r>
      <w:r>
        <w:t xml:space="preserve"> </w:t>
      </w:r>
      <w:r w:rsidRPr="00F00CC8">
        <w:rPr>
          <w:sz w:val="18"/>
          <w:szCs w:val="1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arba 4.2 papunkčiu. </w:t>
      </w:r>
      <w:r w:rsidRPr="004A3D95">
        <w:rPr>
          <w:b/>
          <w:bCs/>
          <w:sz w:val="18"/>
          <w:szCs w:val="14"/>
        </w:rPr>
        <w:t>Punktų numeracija šiame dokumente sutampa su Tvarkos aprašu.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B66C7"/>
    <w:multiLevelType w:val="hybridMultilevel"/>
    <w:tmpl w:val="10B66CA8"/>
    <w:lvl w:ilvl="0" w:tplc="3E48E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F253AB"/>
    <w:multiLevelType w:val="hybridMultilevel"/>
    <w:tmpl w:val="92925F68"/>
    <w:lvl w:ilvl="0" w:tplc="4A368E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9092D76"/>
    <w:multiLevelType w:val="hybridMultilevel"/>
    <w:tmpl w:val="1A50DBA2"/>
    <w:lvl w:ilvl="0" w:tplc="D5A81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5940D9"/>
    <w:multiLevelType w:val="hybridMultilevel"/>
    <w:tmpl w:val="C982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62B56"/>
    <w:multiLevelType w:val="hybridMultilevel"/>
    <w:tmpl w:val="CA86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790660">
    <w:abstractNumId w:val="3"/>
  </w:num>
  <w:num w:numId="2" w16cid:durableId="415397342">
    <w:abstractNumId w:val="0"/>
  </w:num>
  <w:num w:numId="3" w16cid:durableId="635718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65550">
    <w:abstractNumId w:val="2"/>
  </w:num>
  <w:num w:numId="5" w16cid:durableId="876819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66"/>
    <w:rsid w:val="000906C5"/>
    <w:rsid w:val="000C62B1"/>
    <w:rsid w:val="00146761"/>
    <w:rsid w:val="00193BEA"/>
    <w:rsid w:val="001A5B2E"/>
    <w:rsid w:val="00291247"/>
    <w:rsid w:val="002A2C97"/>
    <w:rsid w:val="002B569D"/>
    <w:rsid w:val="002C3192"/>
    <w:rsid w:val="003945EE"/>
    <w:rsid w:val="00447F7A"/>
    <w:rsid w:val="00476C2F"/>
    <w:rsid w:val="004F51E0"/>
    <w:rsid w:val="005425A5"/>
    <w:rsid w:val="00573A80"/>
    <w:rsid w:val="006B0C61"/>
    <w:rsid w:val="00741632"/>
    <w:rsid w:val="007913B1"/>
    <w:rsid w:val="00866A8F"/>
    <w:rsid w:val="008F1D3F"/>
    <w:rsid w:val="00966942"/>
    <w:rsid w:val="00992713"/>
    <w:rsid w:val="00996C66"/>
    <w:rsid w:val="00AE126E"/>
    <w:rsid w:val="00B22758"/>
    <w:rsid w:val="00C15BC5"/>
    <w:rsid w:val="00C95AB7"/>
    <w:rsid w:val="00CA3141"/>
    <w:rsid w:val="00CA43F2"/>
    <w:rsid w:val="00DC66CC"/>
    <w:rsid w:val="00DD6559"/>
    <w:rsid w:val="00DE7E98"/>
    <w:rsid w:val="00DF2D95"/>
    <w:rsid w:val="00E71C2E"/>
    <w:rsid w:val="00E8025B"/>
    <w:rsid w:val="00ED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226D"/>
  <w15:chartTrackingRefBased/>
  <w15:docId w15:val="{E5D8E4F1-9307-4457-A619-7CE1497E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C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C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C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C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C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C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C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C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C66"/>
    <w:rPr>
      <w:rFonts w:eastAsiaTheme="majorEastAsia" w:cstheme="majorBidi"/>
      <w:color w:val="272727" w:themeColor="text1" w:themeTint="D8"/>
    </w:rPr>
  </w:style>
  <w:style w:type="paragraph" w:styleId="Title">
    <w:name w:val="Title"/>
    <w:basedOn w:val="Normal"/>
    <w:next w:val="Normal"/>
    <w:link w:val="TitleChar"/>
    <w:uiPriority w:val="10"/>
    <w:qFormat/>
    <w:rsid w:val="0099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C66"/>
    <w:pPr>
      <w:spacing w:before="160"/>
      <w:jc w:val="center"/>
    </w:pPr>
    <w:rPr>
      <w:i/>
      <w:iCs/>
      <w:color w:val="404040" w:themeColor="text1" w:themeTint="BF"/>
    </w:rPr>
  </w:style>
  <w:style w:type="character" w:customStyle="1" w:styleId="QuoteChar">
    <w:name w:val="Quote Char"/>
    <w:basedOn w:val="DefaultParagraphFont"/>
    <w:link w:val="Quote"/>
    <w:uiPriority w:val="29"/>
    <w:rsid w:val="00996C66"/>
    <w:rPr>
      <w:i/>
      <w:iCs/>
      <w:color w:val="404040" w:themeColor="text1" w:themeTint="BF"/>
    </w:rPr>
  </w:style>
  <w:style w:type="paragraph" w:styleId="ListParagraph">
    <w:name w:val="List Paragraph"/>
    <w:basedOn w:val="Normal"/>
    <w:uiPriority w:val="34"/>
    <w:qFormat/>
    <w:rsid w:val="00996C66"/>
    <w:pPr>
      <w:ind w:left="720"/>
      <w:contextualSpacing/>
    </w:pPr>
  </w:style>
  <w:style w:type="character" w:styleId="IntenseEmphasis">
    <w:name w:val="Intense Emphasis"/>
    <w:basedOn w:val="DefaultParagraphFont"/>
    <w:uiPriority w:val="21"/>
    <w:qFormat/>
    <w:rsid w:val="00996C66"/>
    <w:rPr>
      <w:i/>
      <w:iCs/>
      <w:color w:val="2F5496" w:themeColor="accent1" w:themeShade="BF"/>
    </w:rPr>
  </w:style>
  <w:style w:type="paragraph" w:styleId="IntenseQuote">
    <w:name w:val="Intense Quote"/>
    <w:basedOn w:val="Normal"/>
    <w:next w:val="Normal"/>
    <w:link w:val="IntenseQuoteChar"/>
    <w:uiPriority w:val="30"/>
    <w:qFormat/>
    <w:rsid w:val="00996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C66"/>
    <w:rPr>
      <w:i/>
      <w:iCs/>
      <w:color w:val="2F5496" w:themeColor="accent1" w:themeShade="BF"/>
    </w:rPr>
  </w:style>
  <w:style w:type="character" w:styleId="IntenseReference">
    <w:name w:val="Intense Reference"/>
    <w:basedOn w:val="DefaultParagraphFont"/>
    <w:uiPriority w:val="32"/>
    <w:qFormat/>
    <w:rsid w:val="00996C66"/>
    <w:rPr>
      <w:b/>
      <w:bCs/>
      <w:smallCaps/>
      <w:color w:val="2F5496" w:themeColor="accent1" w:themeShade="BF"/>
      <w:spacing w:val="5"/>
    </w:rPr>
  </w:style>
  <w:style w:type="table" w:styleId="TableGrid">
    <w:name w:val="Table Grid"/>
    <w:basedOn w:val="TableNormal"/>
    <w:uiPriority w:val="39"/>
    <w:rsid w:val="0099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5B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B2E"/>
    <w:rPr>
      <w:sz w:val="20"/>
      <w:szCs w:val="20"/>
    </w:rPr>
  </w:style>
  <w:style w:type="character" w:styleId="FootnoteReference">
    <w:name w:val="footnote reference"/>
    <w:rsid w:val="001A5B2E"/>
    <w:rPr>
      <w:vertAlign w:val="superscript"/>
    </w:rPr>
  </w:style>
  <w:style w:type="character" w:styleId="Hyperlink">
    <w:name w:val="Hyperlink"/>
    <w:basedOn w:val="DefaultParagraphFont"/>
    <w:uiPriority w:val="99"/>
    <w:unhideWhenUsed/>
    <w:rsid w:val="00DD6559"/>
    <w:rPr>
      <w:color w:val="0563C1" w:themeColor="hyperlink"/>
      <w:u w:val="single"/>
    </w:rPr>
  </w:style>
  <w:style w:type="character" w:styleId="UnresolvedMention">
    <w:name w:val="Unresolved Mention"/>
    <w:basedOn w:val="DefaultParagraphFont"/>
    <w:uiPriority w:val="99"/>
    <w:semiHidden/>
    <w:unhideWhenUsed/>
    <w:rsid w:val="00DD6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298956">
      <w:bodyDiv w:val="1"/>
      <w:marLeft w:val="0"/>
      <w:marRight w:val="0"/>
      <w:marTop w:val="0"/>
      <w:marBottom w:val="0"/>
      <w:divBdr>
        <w:top w:val="none" w:sz="0" w:space="0" w:color="auto"/>
        <w:left w:val="none" w:sz="0" w:space="0" w:color="auto"/>
        <w:bottom w:val="none" w:sz="0" w:space="0" w:color="auto"/>
        <w:right w:val="none" w:sz="0" w:space="0" w:color="auto"/>
      </w:divBdr>
    </w:div>
    <w:div w:id="1821998903">
      <w:bodyDiv w:val="1"/>
      <w:marLeft w:val="0"/>
      <w:marRight w:val="0"/>
      <w:marTop w:val="0"/>
      <w:marBottom w:val="0"/>
      <w:divBdr>
        <w:top w:val="none" w:sz="0" w:space="0" w:color="auto"/>
        <w:left w:val="none" w:sz="0" w:space="0" w:color="auto"/>
        <w:bottom w:val="none" w:sz="0" w:space="0" w:color="auto"/>
        <w:right w:val="none" w:sz="0" w:space="0" w:color="auto"/>
      </w:divBdr>
    </w:div>
    <w:div w:id="18240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image" Target="media/image14.png"/><Relationship Id="rId8" Type="http://schemas.openxmlformats.org/officeDocument/2006/relationships/hyperlink" Target="https://e-seimas.lrs.lt/portal/legalAct/lt/TAD/89633860250511efb121d2fe3a0eff27?jfwid=-4fsid7ei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074D8-863A-4E5D-8BED-38007DE6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Butkevičienė</dc:creator>
  <cp:keywords/>
  <dc:description/>
  <cp:lastModifiedBy>Jovita Dilienė</cp:lastModifiedBy>
  <cp:revision>7</cp:revision>
  <dcterms:created xsi:type="dcterms:W3CDTF">2025-02-19T13:37:00Z</dcterms:created>
  <dcterms:modified xsi:type="dcterms:W3CDTF">2025-02-20T08:32:00Z</dcterms:modified>
</cp:coreProperties>
</file>