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17F6" w14:textId="77777777" w:rsidR="009D7E3B" w:rsidRPr="009D7E3B" w:rsidRDefault="009D7E3B" w:rsidP="009D7E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left"/>
        <w:outlineLvl w:val="1"/>
        <w:rPr>
          <w:rFonts w:ascii="Calibri" w:eastAsia="Calibri" w:hAnsi="Calibri" w:cs="Calibri"/>
          <w:color w:val="0070C0"/>
          <w:sz w:val="21"/>
          <w:szCs w:val="21"/>
          <w:bdr w:val="none" w:sz="0" w:space="0" w:color="auto"/>
          <w:lang w:eastAsia="lt-LT"/>
        </w:rPr>
      </w:pPr>
      <w:bookmarkStart w:id="0" w:name="_Ref38291223"/>
      <w:bookmarkStart w:id="1" w:name="_Ref38291334"/>
      <w:bookmarkStart w:id="2" w:name="_Ref38533412"/>
      <w:bookmarkStart w:id="3" w:name="_Toc126333942"/>
      <w:r w:rsidRPr="009D7E3B">
        <w:rPr>
          <w:rFonts w:ascii="Calibri" w:eastAsia="Calibri" w:hAnsi="Calibri" w:cs="Calibri"/>
          <w:color w:val="0070C0"/>
          <w:sz w:val="21"/>
          <w:szCs w:val="21"/>
          <w:bdr w:val="none" w:sz="0" w:space="0" w:color="auto"/>
          <w:lang w:eastAsia="lt-LT"/>
        </w:rPr>
        <w:t>Pirkimo sąlygų 4 priedas „Tiekėjų kvalifikacijos reikalavimai ir aplinkos apsaugos vadybos sistemų standartai“</w:t>
      </w:r>
      <w:bookmarkEnd w:id="0"/>
      <w:bookmarkEnd w:id="1"/>
      <w:bookmarkEnd w:id="2"/>
      <w:bookmarkEnd w:id="3"/>
    </w:p>
    <w:p w14:paraId="2267256C" w14:textId="77777777" w:rsidR="009D7E3B" w:rsidRPr="00573B35" w:rsidRDefault="009D7E3B" w:rsidP="009D7E3B">
      <w:pPr>
        <w:pStyle w:val="Body2"/>
        <w:rPr>
          <w:rFonts w:cs="Times New Roman"/>
          <w:lang w:val="lt-LT"/>
        </w:rPr>
      </w:pPr>
    </w:p>
    <w:p w14:paraId="3954C6FF" w14:textId="77777777" w:rsidR="009D7E3B" w:rsidRPr="00573B35" w:rsidRDefault="009D7E3B" w:rsidP="009D7E3B">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Calibri"/>
          <w:b/>
          <w:bCs/>
          <w:caps/>
          <w:color w:val="404040"/>
          <w:spacing w:val="20"/>
          <w:bdr w:val="none" w:sz="0" w:space="0" w:color="auto"/>
        </w:rPr>
      </w:pPr>
      <w:bookmarkStart w:id="4" w:name="_Hlk89686135"/>
      <w:r w:rsidRPr="00573B35">
        <w:rPr>
          <w:rFonts w:eastAsia="Calibri"/>
          <w:b/>
          <w:bCs/>
          <w:caps/>
          <w:smallCaps/>
          <w:color w:val="404040"/>
          <w:spacing w:val="20"/>
          <w:bdr w:val="none" w:sz="0" w:space="0" w:color="auto"/>
          <w:lang w:eastAsia="lt-LT"/>
        </w:rPr>
        <w:t xml:space="preserve">TIEKĖJŲ KVALIFIKACIJOS REIKALAVIMAI IR REIKALAVIMAI LAIKYTIS </w:t>
      </w:r>
      <w:r w:rsidRPr="00573B35">
        <w:rPr>
          <w:rFonts w:eastAsia="Calibri"/>
          <w:b/>
          <w:bCs/>
          <w:caps/>
          <w:color w:val="404040"/>
          <w:spacing w:val="20"/>
          <w:bdr w:val="none" w:sz="0" w:space="0" w:color="auto"/>
        </w:rPr>
        <w:t>APLINKOS APSAUGOS VADYBOS SISTEMOS STANDARTŲ</w:t>
      </w:r>
    </w:p>
    <w:bookmarkEnd w:id="4"/>
    <w:p w14:paraId="5231D849"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433B77"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4D20FD"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3. Kai tiekėjas remiasi kitų ūkio subjektų pajėgumais, kad atitiktų nustatytus ekonominio ir finansinio pajėgumo reikalavimus jie privalo prisiimti solidarią atsakomybę už sutarties įvykdymą.</w:t>
      </w:r>
    </w:p>
    <w:p w14:paraId="64F7852A"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4. Perkančiajai organizacijai išrinkus galimą laimėtoją, tik jo yra prašomi dokumentai, patvirtinantys atitikimą reikalavimams.</w:t>
      </w:r>
    </w:p>
    <w:p w14:paraId="06BC94D2"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eastAsia="Calibri"/>
          <w:b/>
          <w:i/>
          <w:iCs/>
          <w:color w:val="7030A0"/>
          <w:bdr w:val="none" w:sz="0" w:space="0" w:color="auto"/>
        </w:rPr>
      </w:pPr>
    </w:p>
    <w:tbl>
      <w:tblPr>
        <w:tblStyle w:val="Lentelstinklelis"/>
        <w:tblW w:w="11052" w:type="dxa"/>
        <w:tblLayout w:type="fixed"/>
        <w:tblLook w:val="04A0" w:firstRow="1" w:lastRow="0" w:firstColumn="1" w:lastColumn="0" w:noHBand="0" w:noVBand="1"/>
      </w:tblPr>
      <w:tblGrid>
        <w:gridCol w:w="562"/>
        <w:gridCol w:w="3402"/>
        <w:gridCol w:w="3686"/>
        <w:gridCol w:w="3402"/>
      </w:tblGrid>
      <w:tr w:rsidR="0098584D" w:rsidRPr="00573B35" w14:paraId="11B17D50" w14:textId="77777777" w:rsidTr="00FE34C8">
        <w:tc>
          <w:tcPr>
            <w:tcW w:w="562" w:type="dxa"/>
          </w:tcPr>
          <w:p w14:paraId="4E6E7C10" w14:textId="41F5100C" w:rsidR="00992543" w:rsidRPr="00573B35"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573B35">
              <w:rPr>
                <w:rFonts w:ascii="Times New Roman" w:eastAsia="Times New Roman" w:hAnsi="Times New Roman" w:cs="Times New Roman"/>
                <w:b/>
                <w:bCs/>
                <w:color w:val="auto"/>
                <w:sz w:val="22"/>
                <w:szCs w:val="22"/>
                <w:lang w:val="lt-LT"/>
              </w:rPr>
              <w:t>Eil. Nr.</w:t>
            </w:r>
          </w:p>
        </w:tc>
        <w:tc>
          <w:tcPr>
            <w:tcW w:w="3402" w:type="dxa"/>
            <w:vAlign w:val="center"/>
          </w:tcPr>
          <w:p w14:paraId="7F9A5D2E" w14:textId="1CFA9995" w:rsidR="00992543" w:rsidRPr="00573B35" w:rsidRDefault="00544A11" w:rsidP="00D90A96">
            <w:pPr>
              <w:spacing w:line="276" w:lineRule="auto"/>
              <w:jc w:val="center"/>
              <w:rPr>
                <w:b/>
                <w:bCs/>
              </w:rPr>
            </w:pPr>
            <w:r w:rsidRPr="00573B35">
              <w:rPr>
                <w:b/>
                <w:bCs/>
              </w:rPr>
              <w:t>R</w:t>
            </w:r>
            <w:r w:rsidR="00992543" w:rsidRPr="00573B35">
              <w:rPr>
                <w:b/>
                <w:bCs/>
              </w:rPr>
              <w:t>eikalavimas</w:t>
            </w:r>
          </w:p>
        </w:tc>
        <w:tc>
          <w:tcPr>
            <w:tcW w:w="3686" w:type="dxa"/>
            <w:vAlign w:val="center"/>
          </w:tcPr>
          <w:p w14:paraId="5FF5B913" w14:textId="72C09878" w:rsidR="00992543" w:rsidRPr="00573B35" w:rsidRDefault="00992543" w:rsidP="00D90A96">
            <w:pPr>
              <w:spacing w:line="276" w:lineRule="auto"/>
              <w:jc w:val="center"/>
              <w:rPr>
                <w:rFonts w:eastAsia="Times New Roman"/>
                <w:b/>
                <w:bCs/>
              </w:rPr>
            </w:pPr>
            <w:r w:rsidRPr="00573B35">
              <w:rPr>
                <w:b/>
                <w:bCs/>
              </w:rPr>
              <w:t>Atitikį pagrindžiantys dokumentai</w:t>
            </w:r>
          </w:p>
        </w:tc>
        <w:tc>
          <w:tcPr>
            <w:tcW w:w="3402" w:type="dxa"/>
            <w:vAlign w:val="center"/>
          </w:tcPr>
          <w:p w14:paraId="70CA0868" w14:textId="0401BF7C" w:rsidR="00992543" w:rsidRPr="00573B35" w:rsidRDefault="00992543" w:rsidP="00D90A96">
            <w:pPr>
              <w:spacing w:line="276" w:lineRule="auto"/>
              <w:jc w:val="center"/>
              <w:rPr>
                <w:rFonts w:eastAsia="Times New Roman"/>
                <w:b/>
                <w:bCs/>
              </w:rPr>
            </w:pPr>
            <w:r w:rsidRPr="00573B35">
              <w:rPr>
                <w:b/>
                <w:bCs/>
              </w:rPr>
              <w:t>Subjektas, kuris turi atitikti reikalavimą</w:t>
            </w:r>
          </w:p>
        </w:tc>
      </w:tr>
      <w:tr w:rsidR="00F97ED3" w:rsidRPr="00573B35" w14:paraId="74618EE0" w14:textId="77777777" w:rsidTr="00FE34C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F0F4" w:themeFill="accent1" w:themeFillTint="33"/>
          </w:tcPr>
          <w:p w14:paraId="0F21A93C" w14:textId="6F26ED00" w:rsidR="00F97ED3" w:rsidRPr="00573B35" w:rsidRDefault="00F97ED3" w:rsidP="00F97ED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573B35">
              <w:rPr>
                <w:rFonts w:ascii="Times New Roman" w:eastAsia="Times New Roman" w:hAnsi="Times New Roman" w:cs="Times New Roman"/>
                <w:color w:val="auto"/>
                <w:sz w:val="22"/>
                <w:szCs w:val="22"/>
                <w:lang w:val="lt-LT"/>
              </w:rPr>
              <w:t>1.</w:t>
            </w:r>
          </w:p>
        </w:tc>
        <w:tc>
          <w:tcPr>
            <w:tcW w:w="3402" w:type="dxa"/>
            <w:shd w:val="clear" w:color="auto" w:fill="E6F0F4" w:themeFill="accent1" w:themeFillTint="33"/>
          </w:tcPr>
          <w:p w14:paraId="196611C8" w14:textId="391CB750" w:rsidR="00F97ED3" w:rsidRPr="00573B35" w:rsidRDefault="00F97ED3" w:rsidP="00F97ED3">
            <w:pPr>
              <w:rPr>
                <w:rFonts w:eastAsia="Times New Roman"/>
                <w:lang w:eastAsia="lt-LT"/>
              </w:rPr>
            </w:pPr>
            <w:r w:rsidRPr="00573B35">
              <w:rPr>
                <w:rFonts w:eastAsia="Calibri"/>
                <w:b/>
                <w:bCs/>
                <w:color w:val="000000"/>
                <w:bdr w:val="none" w:sz="0" w:space="0" w:color="auto"/>
                <w:lang w:eastAsia="lt-LT"/>
              </w:rPr>
              <w:t>Teisė verstis veikla</w:t>
            </w:r>
          </w:p>
        </w:tc>
        <w:tc>
          <w:tcPr>
            <w:tcW w:w="3686" w:type="dxa"/>
            <w:shd w:val="clear" w:color="auto" w:fill="E6F0F4" w:themeFill="accent1" w:themeFillTint="33"/>
          </w:tcPr>
          <w:p w14:paraId="7BC4D4DC" w14:textId="77777777" w:rsidR="00F97ED3" w:rsidRPr="00573B35" w:rsidRDefault="00F97ED3" w:rsidP="00F97ED3">
            <w:pPr>
              <w:rPr>
                <w:lang w:eastAsia="en-GB"/>
              </w:rPr>
            </w:pPr>
          </w:p>
        </w:tc>
        <w:tc>
          <w:tcPr>
            <w:tcW w:w="3402" w:type="dxa"/>
            <w:shd w:val="clear" w:color="auto" w:fill="E6F0F4" w:themeFill="accent1" w:themeFillTint="33"/>
          </w:tcPr>
          <w:p w14:paraId="4926E665" w14:textId="77777777" w:rsidR="00F97ED3" w:rsidRPr="00573B35" w:rsidRDefault="00F97ED3" w:rsidP="00F97ED3">
            <w:pPr>
              <w:spacing w:line="276" w:lineRule="auto"/>
              <w:rPr>
                <w:rFonts w:eastAsia="Times New Roman"/>
              </w:rPr>
            </w:pPr>
          </w:p>
        </w:tc>
      </w:tr>
      <w:tr w:rsidR="00713BFC" w:rsidRPr="00573B35" w14:paraId="108669AE" w14:textId="77777777" w:rsidTr="00FE34C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C2717" w14:textId="77777777" w:rsidR="00713BFC" w:rsidRPr="00573B35" w:rsidRDefault="00713BFC" w:rsidP="00713B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8"/>
              <w:jc w:val="center"/>
              <w:rPr>
                <w:rFonts w:ascii="Times New Roman" w:eastAsia="Times New Roman" w:hAnsi="Times New Roman" w:cs="Times New Roman"/>
                <w:color w:val="auto"/>
                <w:sz w:val="22"/>
                <w:szCs w:val="22"/>
                <w:lang w:val="lt-LT"/>
              </w:rPr>
            </w:pPr>
            <w:r w:rsidRPr="00573B35">
              <w:rPr>
                <w:rFonts w:ascii="Times New Roman" w:eastAsia="Times New Roman" w:hAnsi="Times New Roman" w:cs="Times New Roman"/>
                <w:color w:val="auto"/>
                <w:sz w:val="22"/>
                <w:szCs w:val="22"/>
                <w:lang w:val="lt-LT"/>
              </w:rPr>
              <w:t>1.1.</w:t>
            </w:r>
          </w:p>
          <w:p w14:paraId="376767C3" w14:textId="6C31FD6E" w:rsidR="00713BFC" w:rsidRPr="00573B35" w:rsidRDefault="00713BFC" w:rsidP="00713B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center"/>
              <w:rPr>
                <w:rFonts w:ascii="Times New Roman" w:eastAsia="Times New Roman" w:hAnsi="Times New Roman" w:cs="Times New Roman"/>
                <w:color w:val="auto"/>
                <w:sz w:val="22"/>
                <w:szCs w:val="22"/>
                <w:lang w:val="lt-LT"/>
              </w:rPr>
            </w:pPr>
          </w:p>
        </w:tc>
        <w:tc>
          <w:tcPr>
            <w:tcW w:w="3402" w:type="dxa"/>
          </w:tcPr>
          <w:p w14:paraId="033ADCA8" w14:textId="6FAB2D1D" w:rsidR="00713BFC" w:rsidRPr="00573B35" w:rsidRDefault="00713BFC" w:rsidP="0024789B">
            <w:pPr>
              <w:rPr>
                <w:rFonts w:eastAsia="Times New Roman"/>
                <w:color w:val="FF0000"/>
                <w:lang w:eastAsia="lt-LT"/>
              </w:rPr>
            </w:pPr>
            <w:bookmarkStart w:id="5" w:name="_Hlk172127265"/>
            <w:r w:rsidRPr="00573B35">
              <w:rPr>
                <w:rFonts w:eastAsia="Times New Roman"/>
                <w:lang w:eastAsia="lt-LT"/>
              </w:rPr>
              <w:t xml:space="preserve">Tiekėjas, Tiekėjų grupės partneriai kartu, subtiekėjai toje srityje, kurioje vykdys veiklą, turi turėti teisę būti ypatingojo statinio statybos rangovu: </w:t>
            </w:r>
            <w:bookmarkEnd w:id="5"/>
            <w:r w:rsidRPr="00573B35">
              <w:rPr>
                <w:rFonts w:eastAsia="Times New Roman"/>
                <w:lang w:eastAsia="lt-LT"/>
              </w:rPr>
              <w:t>statinių grupė – negyvenamieji pastatai. Darbų sritys:</w:t>
            </w:r>
          </w:p>
          <w:p w14:paraId="275702C2" w14:textId="77777777" w:rsidR="00713BFC" w:rsidRPr="00573B35" w:rsidRDefault="00713BFC" w:rsidP="0024789B">
            <w:pPr>
              <w:pStyle w:val="Sraopastraipa"/>
              <w:tabs>
                <w:tab w:val="left" w:pos="0"/>
              </w:tabs>
              <w:ind w:left="35"/>
              <w:rPr>
                <w:rFonts w:eastAsia="Times New Roman"/>
                <w:lang w:eastAsia="lt-LT"/>
              </w:rPr>
            </w:pPr>
            <w:r w:rsidRPr="00573B35">
              <w:rPr>
                <w:rFonts w:eastAsia="Times New Roman"/>
                <w:b/>
                <w:bCs/>
                <w:lang w:eastAsia="lt-LT"/>
              </w:rPr>
              <w:t>Bendrieji statybos darbai</w:t>
            </w:r>
            <w:r w:rsidRPr="00573B35">
              <w:rPr>
                <w:rFonts w:eastAsia="Times New Roman"/>
                <w:lang w:eastAsia="lt-LT"/>
              </w:rPr>
              <w:t xml:space="preserve">: </w:t>
            </w:r>
          </w:p>
          <w:p w14:paraId="1332D2AA" w14:textId="27B60468" w:rsidR="00713BFC" w:rsidRPr="00573B35" w:rsidRDefault="00713BFC" w:rsidP="0024789B">
            <w:pPr>
              <w:pStyle w:val="Sraopastraipa"/>
              <w:numPr>
                <w:ilvl w:val="0"/>
                <w:numId w:val="12"/>
              </w:numPr>
              <w:tabs>
                <w:tab w:val="left" w:pos="0"/>
              </w:tabs>
              <w:rPr>
                <w:rFonts w:eastAsia="Times New Roman"/>
                <w:lang w:eastAsia="lt-LT"/>
              </w:rPr>
            </w:pPr>
            <w:r w:rsidRPr="00573B35">
              <w:rPr>
                <w:rFonts w:eastAsia="Times New Roman"/>
                <w:lang w:eastAsia="lt-LT"/>
              </w:rPr>
              <w:t xml:space="preserve">hidroizoliacija; </w:t>
            </w:r>
          </w:p>
          <w:p w14:paraId="6C58DF03" w14:textId="1364AE3F" w:rsidR="00713BFC" w:rsidRPr="00573B35" w:rsidRDefault="00713BFC" w:rsidP="0024789B">
            <w:pPr>
              <w:pStyle w:val="Sraopastraipa"/>
              <w:numPr>
                <w:ilvl w:val="0"/>
                <w:numId w:val="12"/>
              </w:numPr>
              <w:tabs>
                <w:tab w:val="left" w:pos="0"/>
              </w:tabs>
              <w:rPr>
                <w:rFonts w:eastAsia="Times New Roman"/>
                <w:lang w:eastAsia="lt-LT"/>
              </w:rPr>
            </w:pPr>
            <w:r w:rsidRPr="00573B35">
              <w:rPr>
                <w:rFonts w:eastAsia="Times New Roman"/>
                <w:lang w:eastAsia="lt-LT"/>
              </w:rPr>
              <w:t>stogų įrengimas</w:t>
            </w:r>
          </w:p>
          <w:p w14:paraId="62703EE3" w14:textId="77777777" w:rsidR="00713BFC" w:rsidRPr="00573B35" w:rsidRDefault="00713BFC" w:rsidP="00713B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2"/>
                <w:szCs w:val="22"/>
                <w:bdr w:val="none" w:sz="0" w:space="0" w:color="auto"/>
                <w:lang w:val="lt-LT" w:eastAsia="lt-LT"/>
              </w:rPr>
            </w:pPr>
          </w:p>
          <w:p w14:paraId="5DE22900" w14:textId="77777777" w:rsidR="00713BFC" w:rsidRPr="00573B35" w:rsidRDefault="00713BFC" w:rsidP="00713B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2"/>
                <w:szCs w:val="22"/>
                <w:bdr w:val="none" w:sz="0" w:space="0" w:color="auto"/>
                <w:lang w:val="lt-LT" w:eastAsia="lt-LT"/>
              </w:rPr>
            </w:pPr>
          </w:p>
          <w:p w14:paraId="206027B0" w14:textId="77777777" w:rsidR="00713BFC" w:rsidRPr="00573B35" w:rsidRDefault="00713BFC" w:rsidP="00713B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2"/>
                <w:szCs w:val="22"/>
                <w:bdr w:val="none" w:sz="0" w:space="0" w:color="auto"/>
                <w:lang w:val="lt-LT" w:eastAsia="lt-LT"/>
              </w:rPr>
            </w:pPr>
          </w:p>
          <w:p w14:paraId="15046F85" w14:textId="7D7C7FB8" w:rsidR="00713BFC" w:rsidRPr="00573B35" w:rsidRDefault="00713BFC" w:rsidP="00713B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p>
        </w:tc>
        <w:tc>
          <w:tcPr>
            <w:tcW w:w="3686" w:type="dxa"/>
            <w:tcBorders>
              <w:top w:val="single" w:sz="4" w:space="0" w:color="000000" w:themeColor="text1"/>
              <w:left w:val="single" w:sz="4" w:space="0" w:color="auto"/>
              <w:bottom w:val="single" w:sz="4" w:space="0" w:color="000000" w:themeColor="text1"/>
              <w:right w:val="single" w:sz="4" w:space="0" w:color="000000" w:themeColor="text1"/>
            </w:tcBorders>
          </w:tcPr>
          <w:p w14:paraId="11702DD6" w14:textId="77777777" w:rsidR="00713BFC" w:rsidRPr="00573B35" w:rsidRDefault="00713BFC" w:rsidP="00713BFC">
            <w:pPr>
              <w:autoSpaceDE w:val="0"/>
              <w:autoSpaceDN w:val="0"/>
              <w:adjustRightInd w:val="0"/>
              <w:rPr>
                <w:color w:val="000000"/>
              </w:rPr>
            </w:pPr>
            <w:r w:rsidRPr="00573B35">
              <w:rPr>
                <w:color w:val="000000"/>
              </w:rPr>
              <w:t xml:space="preserve">Pateikiama: </w:t>
            </w:r>
          </w:p>
          <w:p w14:paraId="179B2F14" w14:textId="77777777" w:rsidR="00713BFC" w:rsidRPr="00573B35" w:rsidRDefault="00713BFC" w:rsidP="00713BFC">
            <w:pPr>
              <w:autoSpaceDE w:val="0"/>
              <w:autoSpaceDN w:val="0"/>
              <w:adjustRightInd w:val="0"/>
              <w:rPr>
                <w:color w:val="000000"/>
              </w:rPr>
            </w:pPr>
            <w:r w:rsidRPr="00573B35">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3769DEEB" w14:textId="77777777" w:rsidR="00713BFC" w:rsidRPr="00573B35" w:rsidRDefault="00713BFC" w:rsidP="00713BFC">
            <w:pPr>
              <w:autoSpaceDE w:val="0"/>
              <w:autoSpaceDN w:val="0"/>
              <w:adjustRightInd w:val="0"/>
              <w:rPr>
                <w:color w:val="000000"/>
              </w:rPr>
            </w:pPr>
          </w:p>
          <w:p w14:paraId="7399B03D" w14:textId="77777777" w:rsidR="00713BFC" w:rsidRPr="00573B35" w:rsidRDefault="00713BFC" w:rsidP="00713BFC">
            <w:pPr>
              <w:autoSpaceDE w:val="0"/>
              <w:autoSpaceDN w:val="0"/>
              <w:adjustRightInd w:val="0"/>
              <w:rPr>
                <w:i/>
                <w:iCs/>
                <w:color w:val="000000"/>
              </w:rPr>
            </w:pPr>
            <w:r w:rsidRPr="00573B35">
              <w:rPr>
                <w:i/>
                <w:iCs/>
                <w:color w:val="000000"/>
              </w:rPr>
              <w:t>Užsienio šalies tiekėjo* turimos kvalifikacijos patvirtinimo dokumentai Lietuvoje gali būti išduoti ir po pasiūlymų pateikimo datos, tačiau  teisę tiekėjas kilmės šalyje turi būti įgijęs iki pasiūlymų pateikimo termino pabaigos. Teisės pripažinimo dokumentai turi būti gauti iki pirkimo sutarties pasirašymo.</w:t>
            </w:r>
          </w:p>
          <w:p w14:paraId="6A0B1050" w14:textId="77777777" w:rsidR="00713BFC" w:rsidRPr="00573B35" w:rsidRDefault="00713BFC" w:rsidP="00713BFC">
            <w:pPr>
              <w:autoSpaceDE w:val="0"/>
              <w:autoSpaceDN w:val="0"/>
              <w:adjustRightInd w:val="0"/>
              <w:rPr>
                <w:color w:val="000000"/>
              </w:rPr>
            </w:pPr>
          </w:p>
          <w:p w14:paraId="457DCC84" w14:textId="77777777" w:rsidR="00713BFC" w:rsidRPr="00573B35" w:rsidRDefault="00713BFC" w:rsidP="00713BFC">
            <w:pPr>
              <w:autoSpaceDE w:val="0"/>
              <w:autoSpaceDN w:val="0"/>
              <w:adjustRightInd w:val="0"/>
              <w:rPr>
                <w:i/>
                <w:iCs/>
                <w:color w:val="000000"/>
              </w:rPr>
            </w:pPr>
            <w:r w:rsidRPr="00573B35">
              <w:rPr>
                <w:i/>
                <w:iCs/>
                <w:color w:val="000000"/>
              </w:rPr>
              <w:t>Perkančioji organizacija informaciją apie išduotus kvalifikacijos dokumentus pasitikrina SSVA registruose</w:t>
            </w:r>
          </w:p>
          <w:p w14:paraId="061BBCAC" w14:textId="77777777" w:rsidR="00713BFC" w:rsidRPr="00573B35" w:rsidRDefault="00713BFC" w:rsidP="00713BFC">
            <w:pPr>
              <w:autoSpaceDE w:val="0"/>
              <w:autoSpaceDN w:val="0"/>
              <w:adjustRightInd w:val="0"/>
              <w:rPr>
                <w:i/>
                <w:iCs/>
                <w:color w:val="000000"/>
              </w:rPr>
            </w:pPr>
            <w:hyperlink r:id="rId11" w:history="1">
              <w:r w:rsidRPr="00573B35">
                <w:rPr>
                  <w:rStyle w:val="Hipersaitas"/>
                  <w:i/>
                  <w:iCs/>
                </w:rPr>
                <w:t>https://www.ssva.lt/cms/registrai</w:t>
              </w:r>
            </w:hyperlink>
          </w:p>
          <w:p w14:paraId="7121C85B" w14:textId="77777777" w:rsidR="00713BFC" w:rsidRPr="00573B35" w:rsidRDefault="00713BFC" w:rsidP="00713BFC">
            <w:pPr>
              <w:autoSpaceDE w:val="0"/>
              <w:autoSpaceDN w:val="0"/>
              <w:adjustRightInd w:val="0"/>
              <w:rPr>
                <w:color w:val="000000"/>
              </w:rPr>
            </w:pPr>
          </w:p>
          <w:p w14:paraId="66370653" w14:textId="4F69EF60" w:rsidR="00713BFC" w:rsidRPr="00573B35" w:rsidRDefault="00FE34C8" w:rsidP="00713BFC">
            <w:pPr>
              <w:rPr>
                <w:lang w:eastAsia="en-GB"/>
              </w:rPr>
            </w:pPr>
            <w:r>
              <w:rPr>
                <w:rFonts w:eastAsia="Times New Roman"/>
                <w:i/>
                <w:iCs/>
                <w:lang w:eastAsia="lt-LT"/>
              </w:rPr>
              <w:t>P</w:t>
            </w:r>
            <w:r w:rsidR="000D25AF" w:rsidRPr="00573B35">
              <w:rPr>
                <w:rFonts w:eastAsia="Times New Roman"/>
                <w:i/>
                <w:iCs/>
                <w:lang w:eastAsia="lt-LT"/>
              </w:rPr>
              <w:t>ateikiam</w:t>
            </w:r>
            <w:r>
              <w:rPr>
                <w:rFonts w:eastAsia="Times New Roman"/>
                <w:i/>
                <w:iCs/>
                <w:lang w:eastAsia="lt-LT"/>
              </w:rPr>
              <w:t>i</w:t>
            </w:r>
            <w:r w:rsidR="000D25AF" w:rsidRPr="00573B35">
              <w:rPr>
                <w:rFonts w:eastAsia="Times New Roman"/>
                <w:i/>
                <w:iCs/>
                <w:lang w:eastAsia="lt-LT"/>
              </w:rPr>
              <w:t xml:space="preserve"> dokumenta</w:t>
            </w:r>
            <w:r>
              <w:rPr>
                <w:rFonts w:eastAsia="Times New Roman"/>
                <w:i/>
                <w:iCs/>
                <w:lang w:eastAsia="lt-LT"/>
              </w:rPr>
              <w:t>i</w:t>
            </w:r>
            <w:r w:rsidR="000D25AF" w:rsidRPr="00573B35">
              <w:rPr>
                <w:rFonts w:eastAsia="Times New Roman"/>
                <w:i/>
                <w:iCs/>
                <w:lang w:eastAsia="lt-LT"/>
              </w:rPr>
              <w:t xml:space="preserve"> elektroninėje formoje</w:t>
            </w:r>
            <w:r>
              <w:rPr>
                <w:rFonts w:eastAsia="Times New Roman"/>
                <w:i/>
                <w:iCs/>
                <w:lang w:eastAsia="lt-LT"/>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0FA3" w14:textId="77777777" w:rsidR="00713BFC" w:rsidRPr="00573B35" w:rsidRDefault="00713BFC" w:rsidP="00713BFC">
            <w:pPr>
              <w:autoSpaceDE w:val="0"/>
              <w:autoSpaceDN w:val="0"/>
              <w:adjustRightInd w:val="0"/>
              <w:rPr>
                <w:color w:val="000000"/>
              </w:rPr>
            </w:pPr>
            <w:r w:rsidRPr="00573B35">
              <w:rPr>
                <w:color w:val="000000"/>
              </w:rPr>
              <w:t>1. Jeigu pasiūlymą teikia ūkio subjektų grupė – reikalavimą turi atitikti kiekvienas ūkio subjektų grupės narys (-</w:t>
            </w:r>
            <w:proofErr w:type="spellStart"/>
            <w:r w:rsidRPr="00573B35">
              <w:rPr>
                <w:color w:val="000000"/>
              </w:rPr>
              <w:t>iai</w:t>
            </w:r>
            <w:proofErr w:type="spellEnd"/>
            <w:r w:rsidRPr="00573B35">
              <w:rPr>
                <w:color w:val="000000"/>
              </w:rPr>
              <w:t>), pagal jų prisiimamus įsipareigojimus pirkimo sutarčiai vykdyti;</w:t>
            </w:r>
          </w:p>
          <w:p w14:paraId="0DF4A620" w14:textId="77777777" w:rsidR="00713BFC" w:rsidRPr="00573B35" w:rsidRDefault="00713BFC" w:rsidP="00713BFC">
            <w:pPr>
              <w:autoSpaceDE w:val="0"/>
              <w:autoSpaceDN w:val="0"/>
              <w:adjustRightInd w:val="0"/>
              <w:rPr>
                <w:color w:val="000000"/>
              </w:rPr>
            </w:pPr>
          </w:p>
          <w:p w14:paraId="7D95DF28" w14:textId="77777777" w:rsidR="00713BFC" w:rsidRPr="00573B35" w:rsidRDefault="00713BFC" w:rsidP="00713BFC">
            <w:pPr>
              <w:autoSpaceDE w:val="0"/>
              <w:autoSpaceDN w:val="0"/>
              <w:adjustRightInd w:val="0"/>
              <w:rPr>
                <w:color w:val="000000"/>
              </w:rPr>
            </w:pPr>
            <w:r w:rsidRPr="00573B35">
              <w:rPr>
                <w:color w:val="000000"/>
              </w:rPr>
              <w:t>2. Tiekėjas gali remtis kitų ūkio subjektų pajėgumais tik tuomet, kai tie subjektai, kurių pajėgumais buvo pasiremta, patys tieks prekes, teiks paslaugas ar atliks darbus, kuriems reikia jų pajėgumų;</w:t>
            </w:r>
          </w:p>
          <w:p w14:paraId="799EF0F2" w14:textId="77777777" w:rsidR="00713BFC" w:rsidRPr="00573B35" w:rsidRDefault="00713BFC" w:rsidP="00713BFC">
            <w:pPr>
              <w:autoSpaceDE w:val="0"/>
              <w:autoSpaceDN w:val="0"/>
              <w:adjustRightInd w:val="0"/>
              <w:rPr>
                <w:color w:val="000000"/>
              </w:rPr>
            </w:pPr>
          </w:p>
          <w:p w14:paraId="618E7803" w14:textId="77777777" w:rsidR="00713BFC" w:rsidRPr="00573B35" w:rsidRDefault="00713BFC" w:rsidP="00713BFC">
            <w:pPr>
              <w:autoSpaceDE w:val="0"/>
              <w:autoSpaceDN w:val="0"/>
              <w:adjustRightInd w:val="0"/>
              <w:rPr>
                <w:color w:val="000000"/>
              </w:rPr>
            </w:pPr>
            <w:r w:rsidRPr="00573B35">
              <w:rPr>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19EEDEC" w14:textId="77777777" w:rsidR="00713BFC" w:rsidRPr="00573B35" w:rsidRDefault="00713BFC" w:rsidP="00713BFC">
            <w:pPr>
              <w:autoSpaceDE w:val="0"/>
              <w:autoSpaceDN w:val="0"/>
              <w:adjustRightInd w:val="0"/>
              <w:rPr>
                <w:color w:val="000000"/>
              </w:rPr>
            </w:pPr>
            <w:r w:rsidRPr="00573B35">
              <w:rPr>
                <w:color w:val="000000"/>
              </w:rPr>
              <w:t>Tokiu atveju tiekėjas privalo įsipareigoti, kad pirkimo sutartį vykdys tik tokią teisę turintys asmenys ir pirkimo vykdytojui pareikalavus, tiekėjas turės pateikti dokumentus, įrodančius subtiekėjo teisę verstis atitinkama veikla, kuriai jis pasitelkiamas.</w:t>
            </w:r>
          </w:p>
          <w:p w14:paraId="67FA8327" w14:textId="61D6D5AC" w:rsidR="00713BFC" w:rsidRPr="00573B35" w:rsidRDefault="00713BFC" w:rsidP="00713BFC">
            <w:pPr>
              <w:spacing w:line="276" w:lineRule="auto"/>
              <w:rPr>
                <w:lang w:eastAsia="en-GB"/>
              </w:rPr>
            </w:pPr>
          </w:p>
        </w:tc>
      </w:tr>
      <w:tr w:rsidR="00F97ED3" w:rsidRPr="00573B35" w14:paraId="341589E7" w14:textId="77777777" w:rsidTr="00FE34C8">
        <w:trPr>
          <w:trHeight w:val="342"/>
        </w:trPr>
        <w:tc>
          <w:tcPr>
            <w:tcW w:w="562" w:type="dxa"/>
            <w:shd w:val="clear" w:color="auto" w:fill="E6F0F4" w:themeFill="accent1" w:themeFillTint="33"/>
          </w:tcPr>
          <w:p w14:paraId="72F62ED7" w14:textId="544D335C" w:rsidR="00F97ED3" w:rsidRPr="00573B35" w:rsidRDefault="00F97ED3" w:rsidP="00F97ED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183"/>
              <w:rPr>
                <w:rFonts w:ascii="Times New Roman" w:eastAsia="Times New Roman" w:hAnsi="Times New Roman" w:cs="Times New Roman"/>
                <w:color w:val="auto"/>
                <w:sz w:val="22"/>
                <w:szCs w:val="22"/>
                <w:lang w:val="lt-LT"/>
              </w:rPr>
            </w:pPr>
            <w:r w:rsidRPr="00573B35">
              <w:rPr>
                <w:rFonts w:ascii="Times New Roman" w:eastAsia="Times New Roman" w:hAnsi="Times New Roman" w:cs="Times New Roman"/>
                <w:color w:val="auto"/>
                <w:sz w:val="22"/>
                <w:szCs w:val="22"/>
                <w:lang w:val="lt-LT"/>
              </w:rPr>
              <w:t xml:space="preserve">2. </w:t>
            </w:r>
          </w:p>
        </w:tc>
        <w:tc>
          <w:tcPr>
            <w:tcW w:w="10490" w:type="dxa"/>
            <w:gridSpan w:val="3"/>
            <w:tcBorders>
              <w:right w:val="single" w:sz="4" w:space="0" w:color="000000"/>
            </w:tcBorders>
            <w:shd w:val="clear" w:color="auto" w:fill="E6F0F4" w:themeFill="accent1" w:themeFillTint="33"/>
          </w:tcPr>
          <w:p w14:paraId="7034C925" w14:textId="164D3653" w:rsidR="00F97ED3" w:rsidRPr="00573B35" w:rsidRDefault="00F97ED3" w:rsidP="00122A59">
            <w:pPr>
              <w:rPr>
                <w:lang w:eastAsia="lt-LT"/>
              </w:rPr>
            </w:pPr>
            <w:r w:rsidRPr="00573B35">
              <w:rPr>
                <w:rFonts w:eastAsia="Calibri"/>
                <w:b/>
                <w:bCs/>
                <w:color w:val="000000"/>
                <w:bdr w:val="none" w:sz="0" w:space="0" w:color="auto"/>
                <w:lang w:eastAsia="lt-LT"/>
              </w:rPr>
              <w:t>Techninis ir profesinis pajėgumas</w:t>
            </w:r>
          </w:p>
        </w:tc>
      </w:tr>
      <w:tr w:rsidR="000407D3" w:rsidRPr="00573B35" w14:paraId="32ED3804" w14:textId="77777777" w:rsidTr="001F1DF7">
        <w:trPr>
          <w:trHeight w:val="1975"/>
        </w:trPr>
        <w:tc>
          <w:tcPr>
            <w:tcW w:w="562" w:type="dxa"/>
          </w:tcPr>
          <w:p w14:paraId="491AA233" w14:textId="08C777AB" w:rsidR="000407D3" w:rsidRPr="00573B35" w:rsidRDefault="000407D3" w:rsidP="000407D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8"/>
              <w:rPr>
                <w:rFonts w:ascii="Times New Roman" w:eastAsia="Times New Roman" w:hAnsi="Times New Roman" w:cs="Times New Roman"/>
                <w:color w:val="auto"/>
                <w:sz w:val="22"/>
                <w:szCs w:val="22"/>
                <w:lang w:val="lt-LT"/>
              </w:rPr>
            </w:pPr>
            <w:r w:rsidRPr="00573B35">
              <w:rPr>
                <w:rFonts w:ascii="Times New Roman" w:eastAsia="Times New Roman" w:hAnsi="Times New Roman" w:cs="Times New Roman"/>
                <w:color w:val="auto"/>
                <w:sz w:val="22"/>
                <w:szCs w:val="22"/>
                <w:lang w:val="lt-LT"/>
              </w:rPr>
              <w:t>2.1.</w:t>
            </w:r>
          </w:p>
        </w:tc>
        <w:tc>
          <w:tcPr>
            <w:tcW w:w="3402" w:type="dxa"/>
          </w:tcPr>
          <w:p w14:paraId="00EE9AFC" w14:textId="77777777" w:rsidR="000407D3" w:rsidRPr="00573B35" w:rsidRDefault="000407D3" w:rsidP="000407D3">
            <w:r w:rsidRPr="00573B35">
              <w:t>Tiekėjas, pirkimo sutarties vykdymui, privalo turėti kvalifikuotus specialistus:</w:t>
            </w:r>
          </w:p>
          <w:p w14:paraId="5CBC7443" w14:textId="30337243" w:rsidR="000407D3" w:rsidRPr="00573B35" w:rsidRDefault="000407D3" w:rsidP="000407D3">
            <w:pPr>
              <w:contextualSpacing/>
              <w:rPr>
                <w:lang w:eastAsia="lt-LT"/>
              </w:rPr>
            </w:pPr>
            <w:r w:rsidRPr="00573B35">
              <w:rPr>
                <w:lang w:eastAsia="lt-LT"/>
              </w:rPr>
              <w:t xml:space="preserve">1. Ne mažiau kaip vieną statinio statybos vadovą, turintį teisę eiti statinio statybos vadovo pareigas ypatinguosiuose statiniuose priskiriamuose statinių grupėms –  negyvenamieji pastatai </w:t>
            </w:r>
          </w:p>
          <w:p w14:paraId="5ED64E39" w14:textId="77777777" w:rsidR="00713BFC" w:rsidRPr="00573B35" w:rsidRDefault="00713BFC" w:rsidP="000407D3">
            <w:pPr>
              <w:ind w:firstLine="37"/>
              <w:rPr>
                <w:b/>
                <w:bCs/>
              </w:rPr>
            </w:pPr>
          </w:p>
          <w:p w14:paraId="57F934F8" w14:textId="2C053530" w:rsidR="000407D3" w:rsidRPr="00573B35" w:rsidRDefault="000407D3" w:rsidP="000407D3">
            <w:pPr>
              <w:ind w:firstLine="37"/>
            </w:pPr>
            <w:r w:rsidRPr="00573B35">
              <w:rPr>
                <w:b/>
                <w:bCs/>
              </w:rPr>
              <w:t>Pastaba</w:t>
            </w:r>
            <w:r w:rsidRPr="00573B35">
              <w:rPr>
                <w:b/>
                <w:bCs/>
                <w:i/>
                <w:iCs/>
              </w:rPr>
              <w:t xml:space="preserve">. </w:t>
            </w:r>
            <w:r w:rsidRPr="00573B35">
              <w:rPr>
                <w:i/>
                <w:iCs/>
              </w:rPr>
              <w:t>Jeigu tiekėjo kvalifikacija nebuvo tikrinama arba tikrinama ne visa apimtimi, tiekėjas perkančiajai organizacijai įsipareigoja, kad pirkimo sutartį vykdys tik tokią teisę turintys asmenys</w:t>
            </w:r>
          </w:p>
          <w:p w14:paraId="1DCD4796" w14:textId="0E71EF6E" w:rsidR="000407D3" w:rsidRPr="00573B35" w:rsidRDefault="000407D3" w:rsidP="000407D3">
            <w:r w:rsidRPr="00573B35">
              <w:br/>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83A5EA" w14:textId="77777777" w:rsidR="000D25AF" w:rsidRPr="00573B35" w:rsidRDefault="000D25AF" w:rsidP="000D25AF">
            <w:pPr>
              <w:rPr>
                <w:b/>
                <w:lang w:eastAsia="lt-LT"/>
              </w:rPr>
            </w:pPr>
            <w:r w:rsidRPr="00573B35">
              <w:rPr>
                <w:b/>
                <w:bCs/>
                <w:lang w:eastAsia="lt-LT"/>
              </w:rPr>
              <w:t>Pateikiama:</w:t>
            </w:r>
            <w:r w:rsidRPr="00573B35">
              <w:rPr>
                <w:lang w:eastAsia="lt-LT"/>
              </w:rPr>
              <w:t xml:space="preserve"> </w:t>
            </w:r>
          </w:p>
          <w:p w14:paraId="3980C18C" w14:textId="77777777" w:rsidR="000D25AF" w:rsidRPr="00573B35" w:rsidRDefault="000D25AF" w:rsidP="000D25AF">
            <w:pPr>
              <w:pBdr>
                <w:top w:val="none" w:sz="0" w:space="0" w:color="auto"/>
                <w:left w:val="none" w:sz="0" w:space="0" w:color="auto"/>
                <w:bottom w:val="none" w:sz="0" w:space="0" w:color="auto"/>
                <w:right w:val="none" w:sz="0" w:space="0" w:color="auto"/>
                <w:between w:val="none" w:sz="0" w:space="0" w:color="auto"/>
                <w:bar w:val="none" w:sz="0" w:color="auto"/>
              </w:pBdr>
              <w:tabs>
                <w:tab w:val="left" w:pos="182"/>
              </w:tabs>
              <w:jc w:val="left"/>
              <w:rPr>
                <w:bCs/>
                <w:lang w:eastAsia="lt-LT"/>
              </w:rPr>
            </w:pPr>
            <w:r w:rsidRPr="00573B35">
              <w:rPr>
                <w:bCs/>
                <w:lang w:eastAsia="lt-LT"/>
              </w:rPr>
              <w:t xml:space="preserve"> 1. Tiekėjo patvirtintas specialistų (-o), kurie (-</w:t>
            </w:r>
            <w:proofErr w:type="spellStart"/>
            <w:r w:rsidRPr="00573B35">
              <w:rPr>
                <w:bCs/>
                <w:lang w:eastAsia="lt-LT"/>
              </w:rPr>
              <w:t>is</w:t>
            </w:r>
            <w:proofErr w:type="spellEnd"/>
            <w:r w:rsidRPr="00573B35">
              <w:rPr>
                <w:bCs/>
                <w:lang w:eastAsia="lt-LT"/>
              </w:rPr>
              <w:t>) bus atsakingi (-</w:t>
            </w:r>
            <w:proofErr w:type="spellStart"/>
            <w:r w:rsidRPr="00573B35">
              <w:rPr>
                <w:bCs/>
                <w:lang w:eastAsia="lt-LT"/>
              </w:rPr>
              <w:t>as</w:t>
            </w:r>
            <w:proofErr w:type="spellEnd"/>
            <w:r w:rsidRPr="00573B35">
              <w:rPr>
                <w:bCs/>
                <w:lang w:eastAsia="lt-LT"/>
              </w:rPr>
              <w:t>) už pirkimo sutarties vykdymą, sąrašas (pateikiamas užpildytas pirkimo dokumentų 12 priedas</w:t>
            </w:r>
            <w:r w:rsidRPr="00573B35">
              <w:rPr>
                <w:rFonts w:eastAsia="Calibri"/>
                <w:bCs/>
                <w:i/>
                <w:iCs/>
                <w:bdr w:val="none" w:sz="0" w:space="0" w:color="auto"/>
              </w:rPr>
              <w:t xml:space="preserve"> „Tiekėjo vadovaujančių darbuotojų (specialistų) ir asmenų, atsakingų už sutarties įvykdymą sąrašas“</w:t>
            </w:r>
            <w:r w:rsidRPr="00573B35">
              <w:rPr>
                <w:bCs/>
                <w:lang w:eastAsia="lt-LT"/>
              </w:rPr>
              <w:t xml:space="preserve">). </w:t>
            </w:r>
          </w:p>
          <w:p w14:paraId="1B8DF2E6" w14:textId="77777777" w:rsidR="000D25AF" w:rsidRPr="00573B35" w:rsidRDefault="000D25AF" w:rsidP="000D25AF">
            <w:pPr>
              <w:rPr>
                <w:rFonts w:eastAsia="Lucida Sans Unicode"/>
              </w:rPr>
            </w:pPr>
            <w:r w:rsidRPr="00573B35">
              <w:rPr>
                <w:rFonts w:eastAsia="Lucida Sans Unicode"/>
              </w:rPr>
              <w:t>2. Siūlomo specialisto pasirašyta deklaracija, kurioje jis įsipareigoja vykdyti pirkimo sutartį (tais atvejais, kai specialistas pasiūlymo pateikimo metu nėra Tiekėjo darbuotojas).</w:t>
            </w:r>
          </w:p>
          <w:p w14:paraId="52111817" w14:textId="77777777" w:rsidR="000407D3" w:rsidRPr="00573B35" w:rsidRDefault="000407D3" w:rsidP="000407D3">
            <w:pPr>
              <w:rPr>
                <w:rFonts w:eastAsia="Lucida Sans Unicode"/>
              </w:rPr>
            </w:pPr>
            <w:r w:rsidRPr="00573B35">
              <w:rPr>
                <w:rFonts w:eastAsia="Lucida Sans Unicode"/>
              </w:rPr>
              <w:t>kai specialistas pasiūlymo pateikimo metu nėra Tiekėjo darbuotojas).</w:t>
            </w:r>
          </w:p>
          <w:p w14:paraId="74D614AD" w14:textId="4963CB4B" w:rsidR="000407D3" w:rsidRPr="00573B35" w:rsidRDefault="000407D3" w:rsidP="000407D3">
            <w:r w:rsidRPr="00573B35">
              <w:t>2. 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w:t>
            </w:r>
            <w:r w:rsidR="001F1DF7">
              <w:t>**</w:t>
            </w:r>
            <w:r w:rsidRPr="00573B35">
              <w:t xml:space="preserve"> išduoti dokumentai, patvirtinantys turimą kvalifikaciją ir teisės pripažinimo dokumentai.</w:t>
            </w:r>
          </w:p>
          <w:p w14:paraId="72C7C23A" w14:textId="57F2FEEF" w:rsidR="000407D3" w:rsidRPr="00573B35" w:rsidRDefault="000407D3" w:rsidP="000407D3">
            <w:r w:rsidRPr="00573B35">
              <w:t xml:space="preserve"> Užsienio šalies specialisto</w:t>
            </w:r>
            <w:r w:rsidR="001F1DF7">
              <w:t>**</w:t>
            </w:r>
            <w:r w:rsidRPr="00573B35">
              <w:t xml:space="preserve">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w:t>
            </w:r>
            <w:r w:rsidR="001F1DF7">
              <w:t>**</w:t>
            </w:r>
            <w:r w:rsidRPr="00573B35">
              <w:t xml:space="preserve"> turi pareigą kreiptis į SSVA ir gauti teisės pripažinimo dokumentą. Užsienio šalies specialistai</w:t>
            </w:r>
            <w:r w:rsidR="001F1DF7">
              <w:t>**</w:t>
            </w:r>
            <w:r w:rsidRPr="00573B35">
              <w:t xml:space="preserve"> turi siekti teisės pripažinimo dokumentą gauti per įmanomai trumpiausią laiką, t. y., iš anksto parengti ir operatyviai pateikti SSVA visus reikiamus dokumentus, esant poreikiui juos nedelsiant tikslinti, aktyviai bendradarbiauti.</w:t>
            </w:r>
          </w:p>
          <w:p w14:paraId="0BB7D8CB" w14:textId="2704901B" w:rsidR="00FE34C8" w:rsidRDefault="000407D3" w:rsidP="00573B35">
            <w:r w:rsidRPr="00573B35">
              <w:t>Pirkimo vykdytojas informaciją apie Lietuvoje išduotus kvalifikacijos dokumentus pasitikrina SSVA registruose</w:t>
            </w:r>
            <w:r w:rsidR="00FE34C8">
              <w:t>.</w:t>
            </w:r>
            <w:r w:rsidRPr="00573B35">
              <w:t xml:space="preserve"> </w:t>
            </w:r>
            <w:hyperlink r:id="rId12" w:history="1">
              <w:r w:rsidRPr="00573B35">
                <w:t>https://www.ssva.lt/cms/registrai</w:t>
              </w:r>
            </w:hyperlink>
            <w:r w:rsidRPr="00573B35">
              <w:t>.</w:t>
            </w:r>
          </w:p>
          <w:p w14:paraId="673FFCCA" w14:textId="3DD97474" w:rsidR="000407D3" w:rsidRPr="00573B35" w:rsidRDefault="001F1DF7" w:rsidP="00573B35">
            <w:pPr>
              <w:rPr>
                <w:b/>
                <w:bCs/>
                <w:lang w:eastAsia="lt-LT"/>
              </w:rPr>
            </w:pPr>
            <w:r>
              <w:rPr>
                <w:rFonts w:eastAsia="Times New Roman"/>
                <w:i/>
                <w:iCs/>
                <w:lang w:eastAsia="lt-LT"/>
              </w:rPr>
              <w:t>P</w:t>
            </w:r>
            <w:r w:rsidR="000407D3" w:rsidRPr="00573B35">
              <w:rPr>
                <w:rFonts w:eastAsia="Times New Roman"/>
                <w:i/>
                <w:iCs/>
                <w:lang w:eastAsia="lt-LT"/>
              </w:rPr>
              <w:t>ateikiamas dokumenta</w:t>
            </w:r>
            <w:r>
              <w:rPr>
                <w:rFonts w:eastAsia="Times New Roman"/>
                <w:i/>
                <w:iCs/>
                <w:lang w:eastAsia="lt-LT"/>
              </w:rPr>
              <w:t xml:space="preserve">i </w:t>
            </w:r>
            <w:r w:rsidR="000407D3" w:rsidRPr="00573B35">
              <w:rPr>
                <w:rFonts w:eastAsia="Times New Roman"/>
                <w:i/>
                <w:iCs/>
                <w:lang w:eastAsia="lt-LT"/>
              </w:rPr>
              <w:t>elektroninėje formoje</w:t>
            </w:r>
            <w:r>
              <w:rPr>
                <w:rFonts w:eastAsia="Times New Roman"/>
                <w:i/>
                <w:iCs/>
                <w:lang w:eastAsia="lt-LT"/>
              </w:rPr>
              <w:t>***</w:t>
            </w:r>
          </w:p>
        </w:tc>
        <w:tc>
          <w:tcPr>
            <w:tcW w:w="3402" w:type="dxa"/>
            <w:tcBorders>
              <w:top w:val="single" w:sz="4" w:space="0" w:color="000000"/>
              <w:left w:val="single" w:sz="4" w:space="0" w:color="000000"/>
              <w:bottom w:val="single" w:sz="4" w:space="0" w:color="000000"/>
              <w:right w:val="single" w:sz="4" w:space="0" w:color="000000"/>
            </w:tcBorders>
          </w:tcPr>
          <w:p w14:paraId="6AC68E49" w14:textId="77777777" w:rsidR="000407D3" w:rsidRPr="00573B35" w:rsidRDefault="000407D3" w:rsidP="000407D3">
            <w:pPr>
              <w:rPr>
                <w:lang w:eastAsia="lt-LT"/>
              </w:rPr>
            </w:pPr>
            <w:r w:rsidRPr="00573B35">
              <w:rPr>
                <w:lang w:eastAsia="lt-LT"/>
              </w:rPr>
              <w:t>Tiekėjas. Jeigu pasiūlymą teikia ūkio subjektų grupė – reikalavimą turi atitikti ūkio subjektų grupės nario (-</w:t>
            </w:r>
            <w:proofErr w:type="spellStart"/>
            <w:r w:rsidRPr="00573B35">
              <w:rPr>
                <w:lang w:eastAsia="lt-LT"/>
              </w:rPr>
              <w:t>ių</w:t>
            </w:r>
            <w:proofErr w:type="spellEnd"/>
            <w:r w:rsidRPr="00573B35">
              <w:rPr>
                <w:lang w:eastAsia="lt-LT"/>
              </w:rPr>
              <w:t xml:space="preserve">) specialistai, atsižvelgiant į jų prisiimamus įsipareigojimus pirkimo sutarčiai vykdyti </w:t>
            </w:r>
          </w:p>
          <w:p w14:paraId="5E4D6D8B" w14:textId="77777777" w:rsidR="000407D3" w:rsidRPr="00573B35" w:rsidRDefault="000407D3" w:rsidP="000407D3">
            <w:pPr>
              <w:rPr>
                <w:lang w:eastAsia="lt-LT"/>
              </w:rPr>
            </w:pPr>
            <w:r w:rsidRPr="00573B35">
              <w:rPr>
                <w:lang w:eastAsia="lt-LT"/>
              </w:rPr>
              <w:t>Tiekėjas gali remtis kitų ūkio subjektų pajėgumais tik tuo atveju, jeigu tie subjektai (jų darbuotojai) patys vykdys tą pirkimo sutarties dalį, kuriai reikia jų turimų pajėgumų.</w:t>
            </w:r>
          </w:p>
          <w:p w14:paraId="1CFD8FC3" w14:textId="4680E0AA" w:rsidR="000407D3" w:rsidRPr="00573B35" w:rsidRDefault="000407D3" w:rsidP="000407D3">
            <w:pPr>
              <w:rPr>
                <w:lang w:eastAsia="lt-LT"/>
              </w:rPr>
            </w:pPr>
            <w:r w:rsidRPr="00573B35">
              <w:rPr>
                <w:lang w:eastAsia="lt-LT"/>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CD1AD2C" w14:textId="77777777" w:rsidR="000407D3" w:rsidRPr="00573B35" w:rsidRDefault="000407D3" w:rsidP="000407D3">
            <w:pPr>
              <w:rPr>
                <w:lang w:eastAsia="lt-LT"/>
              </w:rPr>
            </w:pPr>
          </w:p>
        </w:tc>
      </w:tr>
      <w:tr w:rsidR="000407D3" w:rsidRPr="00573B35" w14:paraId="0672DA7D" w14:textId="77777777" w:rsidTr="00FE34C8">
        <w:tc>
          <w:tcPr>
            <w:tcW w:w="562" w:type="dxa"/>
          </w:tcPr>
          <w:p w14:paraId="5B9D16AE" w14:textId="7CDE8338" w:rsidR="000407D3" w:rsidRPr="00573B35" w:rsidRDefault="00071499" w:rsidP="0007149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60"/>
              <w:jc w:val="both"/>
              <w:rPr>
                <w:rFonts w:ascii="Times New Roman" w:eastAsia="Times New Roman" w:hAnsi="Times New Roman" w:cs="Times New Roman"/>
                <w:color w:val="auto"/>
                <w:sz w:val="22"/>
                <w:szCs w:val="22"/>
                <w:lang w:val="lt-LT"/>
              </w:rPr>
            </w:pPr>
            <w:r w:rsidRPr="00573B35">
              <w:rPr>
                <w:rFonts w:ascii="Times New Roman" w:eastAsia="Times New Roman" w:hAnsi="Times New Roman" w:cs="Times New Roman"/>
                <w:color w:val="auto"/>
                <w:sz w:val="22"/>
                <w:szCs w:val="22"/>
                <w:lang w:val="lt-LT"/>
              </w:rPr>
              <w:t>2.2.</w:t>
            </w:r>
          </w:p>
        </w:tc>
        <w:tc>
          <w:tcPr>
            <w:tcW w:w="3402" w:type="dxa"/>
            <w:shd w:val="clear" w:color="auto" w:fill="auto"/>
          </w:tcPr>
          <w:p w14:paraId="60B9202F" w14:textId="340140B8" w:rsidR="000407D3" w:rsidRPr="00573B35" w:rsidRDefault="000407D3" w:rsidP="000407D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573B35">
              <w:t xml:space="preserve">Tiekėjas per pastaruosius 5 metus iki pasiūlymo pateikimo termino pabaigos arba per laiką nuo Tiekėjo įregistravimo dienos (jeigu Tiekėjas vykdė veiklą mažiau nei 5 metus) yra tinkamai įvykdęs </w:t>
            </w:r>
            <w:r w:rsidRPr="00573B35">
              <w:rPr>
                <w:rFonts w:eastAsia="Calibri"/>
                <w:spacing w:val="2"/>
                <w:bdr w:val="none" w:sz="0" w:space="0" w:color="auto"/>
                <w:lang w:eastAsia="lt-LT"/>
              </w:rPr>
              <w:t>ne mažiau kaip 1 (vieną) panašią darbų sutartį - stogų rekonstravimo ir/ar remonto darbai (toliau – darbai) už ne mažesnę sumą kaip</w:t>
            </w:r>
            <w:r w:rsidRPr="00573B35">
              <w:rPr>
                <w:rFonts w:eastAsia="Calibri"/>
                <w:bdr w:val="none" w:sz="0" w:space="0" w:color="auto"/>
              </w:rPr>
              <w:t xml:space="preserve"> 160000 Eur be PVM, </w:t>
            </w:r>
          </w:p>
          <w:p w14:paraId="0B0DCC57" w14:textId="77BB0288" w:rsidR="000407D3" w:rsidRPr="00573B35" w:rsidRDefault="000407D3" w:rsidP="000407D3">
            <w:pPr>
              <w:tabs>
                <w:tab w:val="left" w:pos="0"/>
              </w:tabs>
              <w:contextualSpacing/>
            </w:pPr>
            <w:r w:rsidRPr="00573B35">
              <w:t xml:space="preserve">arba tinkamai vykdo </w:t>
            </w:r>
            <w:r w:rsidRPr="00573B35">
              <w:rPr>
                <w:rFonts w:eastAsia="Calibri"/>
                <w:spacing w:val="2"/>
                <w:bdr w:val="none" w:sz="0" w:space="0" w:color="auto"/>
                <w:lang w:eastAsia="lt-LT"/>
              </w:rPr>
              <w:t>stogų rekonstravimo ir/ar remonto darbų sutartį.</w:t>
            </w:r>
            <w:r w:rsidRPr="00573B35">
              <w:t xml:space="preserve"> Tinkamai atliktų darbų ar nebaigtų vykdyti darbų įvykdytos dalies vertė turi būti ne mažesnė nei 160000  Eur be PVM.</w:t>
            </w:r>
          </w:p>
          <w:p w14:paraId="2B64C9CC" w14:textId="516EBBCC" w:rsidR="000407D3" w:rsidRPr="00573B35" w:rsidRDefault="000407D3" w:rsidP="000407D3">
            <w:pPr>
              <w:tabs>
                <w:tab w:val="left" w:pos="0"/>
              </w:tabs>
              <w:contextualSpacing/>
            </w:pPr>
            <w:r w:rsidRPr="00573B35">
              <w:t xml:space="preserve">Jei Tiekėjas teikia informaciją apie tebevykdomus darbus, laikoma, kad jo patirtis atitinka keliamą reikalavimą, jei vykdomų darbų įvykdyta dalis yra ne mažesnė kaip 160000 eurų be PVM. </w:t>
            </w:r>
          </w:p>
          <w:p w14:paraId="549E66AF" w14:textId="77777777" w:rsidR="000407D3" w:rsidRPr="00573B35" w:rsidRDefault="000407D3" w:rsidP="000407D3"/>
          <w:p w14:paraId="5BD61DAA" w14:textId="77777777" w:rsidR="000407D3" w:rsidRPr="00573B35" w:rsidRDefault="000407D3" w:rsidP="000407D3">
            <w:r w:rsidRPr="00573B35">
              <w:t>Tinkamai įvykdytais darbais yra laikomi darbai, dėl kurių pateikta užsakovo pažyma patvirtina, kad darbai buvo atlikti ar yra atliekami tinkamai.</w:t>
            </w:r>
          </w:p>
          <w:p w14:paraId="51AAD7C0" w14:textId="77777777" w:rsidR="000407D3" w:rsidRPr="00573B35" w:rsidRDefault="000407D3" w:rsidP="000407D3"/>
          <w:p w14:paraId="486D2BF0" w14:textId="2FB86FEE" w:rsidR="000407D3" w:rsidRPr="00573B35" w:rsidRDefault="000407D3" w:rsidP="000407D3">
            <w:r w:rsidRPr="00573B35">
              <w:t xml:space="preserve">Jeigu Tiekėjas teikia dokumentus apie darbus, kurie pradėti vykdyti anksčiau nei per pastaruosius 5 metus iki pasiūlymo pateikimo termino pabaigos, tačiau užbaigti ar tebevykdomi per pastaruosius 5 metus iki pasiūlymo pateikimo termino pabaigos, vertinama tik ta darbų dalis, kuri buvo atlikta per pastaruosius 5 metus iki pasiūlymo pateikimo termino pabaigos.     </w:t>
            </w:r>
          </w:p>
          <w:p w14:paraId="347BF6BD" w14:textId="38A84058" w:rsidR="000407D3" w:rsidRPr="00573B35" w:rsidRDefault="000407D3" w:rsidP="000407D3">
            <w:pPr>
              <w:rPr>
                <w:rFonts w:eastAsia="Times New Roman"/>
                <w:bdr w:val="none" w:sz="0" w:space="0" w:color="auto"/>
              </w:rPr>
            </w:pPr>
            <w:r w:rsidRPr="00573B35">
              <w:rPr>
                <w:rFonts w:eastAsia="Times New Roman"/>
                <w:b/>
                <w:bCs/>
                <w:lang w:eastAsia="lt-LT"/>
              </w:rPr>
              <w:t xml:space="preserve"> </w:t>
            </w:r>
            <w:r w:rsidRPr="00573B35">
              <w:rPr>
                <w:b/>
                <w:bCs/>
              </w:rPr>
              <w:t>Pastaba:</w:t>
            </w:r>
            <w:r w:rsidRPr="00573B35">
              <w:t xml:space="preserve"> 5 metų terminas vertinamas skaičiuojant 5 metus iki pasiūlymo pateikimo dienos.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BFFCBEA" w14:textId="24F03C91" w:rsidR="000407D3" w:rsidRPr="00573B35" w:rsidRDefault="000407D3" w:rsidP="000407D3">
            <w:pPr>
              <w:rPr>
                <w:b/>
                <w:lang w:eastAsia="lt-LT"/>
              </w:rPr>
            </w:pPr>
            <w:r w:rsidRPr="00573B35">
              <w:rPr>
                <w:b/>
                <w:bCs/>
                <w:lang w:eastAsia="lt-LT"/>
              </w:rPr>
              <w:t>Pateikiama:</w:t>
            </w:r>
            <w:r w:rsidRPr="00573B35">
              <w:rPr>
                <w:lang w:eastAsia="lt-LT"/>
              </w:rPr>
              <w:t xml:space="preserve"> </w:t>
            </w:r>
          </w:p>
          <w:p w14:paraId="4F3EC98A" w14:textId="07CD1FE8" w:rsidR="000407D3" w:rsidRPr="00573B35" w:rsidRDefault="000407D3" w:rsidP="000407D3">
            <w:pPr>
              <w:rPr>
                <w:bCs/>
                <w:lang w:eastAsia="lt-LT"/>
              </w:rPr>
            </w:pPr>
            <w:r w:rsidRPr="00573B35">
              <w:rPr>
                <w:bCs/>
                <w:lang w:eastAsia="lt-LT"/>
              </w:rPr>
              <w:t xml:space="preserve">1. Per paskutinius 5 metus </w:t>
            </w:r>
            <w:r w:rsidRPr="00573B35">
              <w:t xml:space="preserve">arba per laiką nuo tiekėjo įregistravimo dienos (jei tiekėjas vykdo veiklą mažiau nei 5 (penkerius) metus) </w:t>
            </w:r>
            <w:r w:rsidRPr="00573B35">
              <w:rPr>
                <w:bCs/>
                <w:lang w:eastAsia="lt-LT"/>
              </w:rPr>
              <w:t xml:space="preserve">atliktų </w:t>
            </w:r>
            <w:r w:rsidRPr="00573B35">
              <w:rPr>
                <w:rFonts w:eastAsia="Calibri"/>
                <w:spacing w:val="2"/>
                <w:bdr w:val="none" w:sz="0" w:space="0" w:color="auto"/>
                <w:lang w:eastAsia="lt-LT"/>
              </w:rPr>
              <w:t>stogų rekonstravimo ir/ar remonto darbų</w:t>
            </w:r>
            <w:r w:rsidRPr="00573B35">
              <w:rPr>
                <w:bCs/>
                <w:lang w:eastAsia="lt-LT"/>
              </w:rPr>
              <w:t xml:space="preserve"> sąrašas pirkimo dokumentų priedas </w:t>
            </w:r>
            <w:r w:rsidR="00071499" w:rsidRPr="00573B35">
              <w:rPr>
                <w:bCs/>
                <w:lang w:eastAsia="lt-LT"/>
              </w:rPr>
              <w:t>11</w:t>
            </w:r>
            <w:r w:rsidRPr="00573B35">
              <w:rPr>
                <w:bCs/>
                <w:lang w:eastAsia="lt-LT"/>
              </w:rPr>
              <w:t xml:space="preserve"> „</w:t>
            </w:r>
            <w:r w:rsidRPr="00573B35">
              <w:rPr>
                <w:rFonts w:eastAsia="Calibri"/>
                <w:bCs/>
                <w:i/>
                <w:iCs/>
                <w:bdr w:val="none" w:sz="0" w:space="0" w:color="auto"/>
              </w:rPr>
              <w:t xml:space="preserve"> Atliktų statybos darbų sąrašas“</w:t>
            </w:r>
            <w:r w:rsidRPr="00573B35">
              <w:rPr>
                <w:bCs/>
                <w:lang w:eastAsia="lt-LT"/>
              </w:rPr>
              <w:t xml:space="preserve">) </w:t>
            </w:r>
          </w:p>
          <w:p w14:paraId="7DB2D4BE" w14:textId="71E45B4B" w:rsidR="000407D3" w:rsidRPr="00573B35" w:rsidRDefault="000407D3" w:rsidP="000407D3">
            <w:pPr>
              <w:rPr>
                <w:lang w:eastAsia="lt-LT"/>
              </w:rPr>
            </w:pPr>
            <w:r w:rsidRPr="00573B35">
              <w:rPr>
                <w:lang w:eastAsia="lt-LT"/>
              </w:rPr>
              <w:t xml:space="preserve">2. pateikiamos užsakovų (tiek viešųjų, tiek privačiųjų) pažymos, kuriose nurodoma, kokie </w:t>
            </w:r>
            <w:r w:rsidRPr="00573B35">
              <w:rPr>
                <w:rFonts w:eastAsia="Calibri"/>
                <w:spacing w:val="2"/>
                <w:bdr w:val="none" w:sz="0" w:space="0" w:color="auto"/>
                <w:lang w:eastAsia="lt-LT"/>
              </w:rPr>
              <w:t>stogų rekonstravimo ir/ar remonto darbai</w:t>
            </w:r>
            <w:r w:rsidRPr="00573B35">
              <w:rPr>
                <w:bCs/>
                <w:lang w:eastAsia="lt-LT"/>
              </w:rPr>
              <w:t xml:space="preserve"> </w:t>
            </w:r>
            <w:r w:rsidRPr="00573B35">
              <w:rPr>
                <w:lang w:eastAsia="lt-LT"/>
              </w:rPr>
              <w:t xml:space="preserve">buvo atlikti, atlikimo data ir vieta, kokia jų vertė, kad svarbiausių darbų atlikimas ir galutiniai rezultatai buvo tinkami. </w:t>
            </w:r>
          </w:p>
          <w:p w14:paraId="50986E64" w14:textId="0AD6BF00" w:rsidR="000407D3" w:rsidRPr="00573B35" w:rsidRDefault="000407D3" w:rsidP="000407D3">
            <w:pPr>
              <w:rPr>
                <w:lang w:eastAsia="lt-LT"/>
              </w:rPr>
            </w:pPr>
            <w:r w:rsidRPr="00573B35">
              <w:rPr>
                <w:lang w:eastAsia="lt-LT"/>
              </w:rPr>
              <w:t>3. statinio statybos užbaigimo aktas arba užsakovo pasirašytas statinio statybos darbų galutinio rezultato perdavimo-priėmimo aktas.</w:t>
            </w:r>
          </w:p>
          <w:p w14:paraId="02CFC56D" w14:textId="77777777" w:rsidR="000407D3" w:rsidRPr="00573B35" w:rsidRDefault="000407D3" w:rsidP="000407D3">
            <w:pPr>
              <w:rPr>
                <w:lang w:eastAsia="lt-LT"/>
              </w:rPr>
            </w:pPr>
          </w:p>
          <w:p w14:paraId="12B58F39" w14:textId="77D5AAEE" w:rsidR="000407D3" w:rsidRPr="00573B35" w:rsidRDefault="000407D3" w:rsidP="000407D3">
            <w:pPr>
              <w:pStyle w:val="BodyA"/>
              <w:spacing w:line="276" w:lineRule="auto"/>
              <w:jc w:val="both"/>
              <w:rPr>
                <w:rFonts w:ascii="Times New Roman" w:eastAsia="Times New Roman" w:hAnsi="Times New Roman" w:cs="Times New Roman"/>
                <w:color w:val="auto"/>
                <w:sz w:val="22"/>
                <w:szCs w:val="22"/>
                <w:lang w:val="lt-LT"/>
              </w:rPr>
            </w:pPr>
            <w:r w:rsidRPr="00573B35">
              <w:rPr>
                <w:rFonts w:ascii="Times New Roman" w:eastAsia="Times New Roman" w:hAnsi="Times New Roman" w:cs="Times New Roman"/>
                <w:i/>
                <w:iCs/>
                <w:color w:val="auto"/>
                <w:sz w:val="22"/>
                <w:szCs w:val="22"/>
                <w:lang w:val="lt-LT" w:eastAsia="lt-LT"/>
              </w:rPr>
              <w:t>Pateikiamas dokumentas elektroninėje formoje</w:t>
            </w:r>
          </w:p>
        </w:tc>
        <w:tc>
          <w:tcPr>
            <w:tcW w:w="3402" w:type="dxa"/>
            <w:tcBorders>
              <w:top w:val="single" w:sz="4" w:space="0" w:color="000000"/>
              <w:left w:val="single" w:sz="4" w:space="0" w:color="000000"/>
              <w:bottom w:val="single" w:sz="4" w:space="0" w:color="000000"/>
              <w:right w:val="single" w:sz="4" w:space="0" w:color="000000"/>
            </w:tcBorders>
          </w:tcPr>
          <w:p w14:paraId="5E5AB531" w14:textId="77777777" w:rsidR="000407D3" w:rsidRPr="00573B35" w:rsidRDefault="000407D3" w:rsidP="000407D3">
            <w:pPr>
              <w:rPr>
                <w:lang w:eastAsia="lt-LT"/>
              </w:rPr>
            </w:pPr>
            <w:r w:rsidRPr="00573B35">
              <w:rPr>
                <w:lang w:eastAsia="lt-LT"/>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8E60BE4" w14:textId="77777777" w:rsidR="000407D3" w:rsidRPr="00573B35" w:rsidRDefault="000407D3" w:rsidP="000407D3">
            <w:pPr>
              <w:rPr>
                <w:lang w:eastAsia="lt-LT"/>
              </w:rPr>
            </w:pPr>
            <w:r w:rsidRPr="00573B35">
              <w:rPr>
                <w:lang w:eastAsia="lt-LT"/>
              </w:rPr>
              <w:t>Tiekėjas gali remtis kitų ūkio subjektų pajėgumais tik tuo atveju, jeigu tie subjektai patys vykdys tą pirkimo sutarties dalį, kuriai reikia jų turimų pajėgumų.</w:t>
            </w:r>
          </w:p>
          <w:p w14:paraId="0C6303AC" w14:textId="77777777" w:rsidR="000407D3" w:rsidRPr="00573B35" w:rsidRDefault="000407D3" w:rsidP="000407D3">
            <w:pPr>
              <w:rPr>
                <w:lang w:eastAsia="lt-LT"/>
              </w:rPr>
            </w:pPr>
          </w:p>
          <w:p w14:paraId="4D9088CB" w14:textId="77777777" w:rsidR="000407D3" w:rsidRPr="00573B35" w:rsidRDefault="000407D3" w:rsidP="000407D3">
            <w:pPr>
              <w:rPr>
                <w:lang w:eastAsia="lt-LT"/>
              </w:rPr>
            </w:pPr>
            <w:r w:rsidRPr="00573B35">
              <w:rPr>
                <w:lang w:eastAsia="lt-LT"/>
              </w:rPr>
              <w:t>Subtiekėjams šis reikalavimas nenustatomas.</w:t>
            </w:r>
          </w:p>
          <w:p w14:paraId="3CDCAD23" w14:textId="77777777" w:rsidR="000407D3" w:rsidRPr="00573B35" w:rsidRDefault="000407D3" w:rsidP="000407D3">
            <w:pPr>
              <w:rPr>
                <w:lang w:eastAsia="lt-LT"/>
              </w:rPr>
            </w:pPr>
          </w:p>
          <w:p w14:paraId="13D6BA5E" w14:textId="77777777" w:rsidR="000407D3" w:rsidRPr="00573B35" w:rsidRDefault="000407D3" w:rsidP="000407D3">
            <w:r w:rsidRPr="00573B35">
              <w:t>Tiekėjui nedraudžiama remtis darbais, kuriuos tiekėjas vykdė ne vienas, bet kartu su kitais ūkio subjektais. Tačiau tokiu atveju vertinami būtent konkretaus ūkio subjekto, dalyvaujančio viešajame pirkime, atlikti darbai, jų apimtis, vertė, o ne visi objekte vykdyti darbai.</w:t>
            </w:r>
          </w:p>
          <w:p w14:paraId="66841A4D" w14:textId="77777777" w:rsidR="000407D3" w:rsidRPr="00573B35" w:rsidRDefault="000407D3" w:rsidP="000407D3">
            <w:pPr>
              <w:rPr>
                <w:lang w:eastAsia="lt-LT"/>
              </w:rPr>
            </w:pPr>
          </w:p>
          <w:p w14:paraId="5A443A06" w14:textId="2223B5DF" w:rsidR="000407D3" w:rsidRPr="00573B35" w:rsidRDefault="000407D3" w:rsidP="000407D3">
            <w:pPr>
              <w:pStyle w:val="BodyA"/>
              <w:spacing w:line="276" w:lineRule="auto"/>
              <w:jc w:val="both"/>
              <w:rPr>
                <w:rFonts w:ascii="Times New Roman" w:eastAsia="Times New Roman" w:hAnsi="Times New Roman" w:cs="Times New Roman"/>
                <w:color w:val="auto"/>
                <w:sz w:val="22"/>
                <w:szCs w:val="22"/>
                <w:lang w:val="lt-LT"/>
              </w:rPr>
            </w:pPr>
          </w:p>
        </w:tc>
      </w:tr>
      <w:tr w:rsidR="000407D3" w:rsidRPr="00573B35" w14:paraId="0047D5BB" w14:textId="77777777" w:rsidTr="00FE34C8">
        <w:tc>
          <w:tcPr>
            <w:tcW w:w="562" w:type="dxa"/>
          </w:tcPr>
          <w:p w14:paraId="0394BAF7" w14:textId="61453E68" w:rsidR="000407D3" w:rsidRPr="00573B35" w:rsidRDefault="000407D3" w:rsidP="00071499">
            <w:pPr>
              <w:pStyle w:val="Body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hanging="698"/>
              <w:rPr>
                <w:rFonts w:ascii="Times New Roman" w:eastAsia="Times New Roman" w:hAnsi="Times New Roman" w:cs="Times New Roman"/>
                <w:color w:val="auto"/>
                <w:sz w:val="22"/>
                <w:szCs w:val="22"/>
                <w:lang w:val="lt-LT"/>
              </w:rPr>
            </w:pPr>
          </w:p>
        </w:tc>
        <w:tc>
          <w:tcPr>
            <w:tcW w:w="3402" w:type="dxa"/>
            <w:shd w:val="clear" w:color="auto" w:fill="auto"/>
          </w:tcPr>
          <w:p w14:paraId="7BD5568A" w14:textId="30E78499" w:rsidR="000407D3" w:rsidRPr="00573B35" w:rsidRDefault="000407D3" w:rsidP="00071499">
            <w:pPr>
              <w:tabs>
                <w:tab w:val="left" w:pos="0"/>
              </w:tabs>
              <w:contextualSpacing/>
            </w:pPr>
            <w:r w:rsidRPr="00573B35">
              <w:t>Tiekėjas privalo būti įdiegęs ir laikosi profesinės saugos ir sveikatos vadybos sistemos standartų šioms veiklų sritims: bendrieji statybos darbai (nurodyti kvalifikacijos reikalavimų 1.1 punkte); statiniai: negyvenamieji pastatai.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265F0E8" w14:textId="7B5C8A83" w:rsidR="000407D3" w:rsidRPr="00573B35" w:rsidRDefault="000407D3" w:rsidP="00071499">
            <w:pPr>
              <w:rPr>
                <w:lang w:eastAsia="lt-LT"/>
              </w:rPr>
            </w:pPr>
            <w:r w:rsidRPr="00573B35">
              <w:rPr>
                <w:lang w:eastAsia="lt-LT"/>
              </w:rPr>
              <w:t>Pridėti kompetentingų institucijų išduotų profesinės saugos ir sveikatos vadybos sistemos sertifikatų patvirtintas kopijas, patvirtinančias, kad dalyvio profesinės saugos ir sveikatos vadybos sistema atitinka LR teisės aktų reikalavimus arba pripažintus profesinės saugos ir sveikatos vadybos tarptautinius ar Europos standartus – ISO 45001:2018, arba kitas lygiavertis dokumentas, patvirtinantis, kad tiekėjas yra įsidiegęs ir laikosi lygiavertės profesinės saugos ir sveikatos vadybos sistemos.</w:t>
            </w:r>
          </w:p>
        </w:tc>
        <w:tc>
          <w:tcPr>
            <w:tcW w:w="3402" w:type="dxa"/>
            <w:tcBorders>
              <w:top w:val="single" w:sz="4" w:space="0" w:color="000000"/>
              <w:left w:val="single" w:sz="4" w:space="0" w:color="000000"/>
              <w:bottom w:val="single" w:sz="4" w:space="0" w:color="000000"/>
              <w:right w:val="single" w:sz="4" w:space="0" w:color="000000"/>
            </w:tcBorders>
          </w:tcPr>
          <w:p w14:paraId="66E594E8" w14:textId="1BA636C9" w:rsidR="000407D3" w:rsidRPr="00573B35" w:rsidRDefault="000407D3" w:rsidP="00071499">
            <w:pPr>
              <w:rPr>
                <w:lang w:eastAsia="lt-LT"/>
              </w:rPr>
            </w:pPr>
            <w:r w:rsidRPr="00573B35">
              <w:rPr>
                <w:lang w:eastAsia="lt-LT"/>
              </w:rPr>
              <w:t>Jeigu pasiūlymą teikia ūkio subjektų grupė – reikalavimą turi atitikti ūkio subjektų grupės narys.</w:t>
            </w:r>
          </w:p>
          <w:p w14:paraId="5BD7C906" w14:textId="283AC43E" w:rsidR="000407D3" w:rsidRPr="00573B35" w:rsidRDefault="000407D3" w:rsidP="00071499">
            <w:pPr>
              <w:rPr>
                <w:lang w:eastAsia="lt-LT"/>
              </w:rPr>
            </w:pPr>
          </w:p>
        </w:tc>
      </w:tr>
    </w:tbl>
    <w:p w14:paraId="0833EA5B" w14:textId="77777777" w:rsidR="00CD03F3" w:rsidRPr="00573B35" w:rsidRDefault="00CD03F3" w:rsidP="00CA4EEE">
      <w:pPr>
        <w:pStyle w:val="Heading"/>
        <w:jc w:val="center"/>
        <w:rPr>
          <w:rFonts w:cs="Times New Roman"/>
          <w:lang w:val="lt-LT"/>
        </w:rPr>
      </w:pPr>
    </w:p>
    <w:p w14:paraId="2E7A48D3" w14:textId="77777777"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FE34C8">
        <w:rPr>
          <w:rFonts w:eastAsia="Calibri"/>
          <w:sz w:val="24"/>
          <w:szCs w:val="24"/>
          <w:bdr w:val="none" w:sz="0" w:space="0" w:color="auto"/>
          <w:lang w:eastAsia="lt-LT"/>
        </w:rPr>
        <w:t>*</w:t>
      </w:r>
      <w:r w:rsidRPr="00FE34C8">
        <w:rPr>
          <w:rFonts w:eastAsia="Calibri"/>
          <w:bdr w:val="none" w:sz="0" w:space="0" w:color="auto"/>
          <w:lang w:eastAsia="lt-LT"/>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4488837" w14:textId="77777777"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FE34C8">
        <w:rPr>
          <w:rFonts w:eastAsia="Calibri"/>
          <w:bdr w:val="none" w:sz="0" w:space="0" w:color="auto"/>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vadovo pareigas, pripažinus jų kilmės valstybėje turimą teisę eiti analogiškų statinių statybos vadovo /specialiųjų statybos darbų vadovo pareigas.</w:t>
      </w:r>
    </w:p>
    <w:p w14:paraId="0D9E7D5A" w14:textId="77777777"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FE34C8">
        <w:rPr>
          <w:rFonts w:eastAsia="Calibri"/>
          <w:bdr w:val="none" w:sz="0" w:space="0" w:color="auto"/>
          <w:lang w:eastAsia="lt-LT"/>
        </w:rPr>
        <w:t>*** Perkančioji organizacija nereikalauja pateikti dokumento (-ų), jeigu su šiuo (-</w:t>
      </w:r>
      <w:proofErr w:type="spellStart"/>
      <w:r w:rsidRPr="00FE34C8">
        <w:rPr>
          <w:rFonts w:eastAsia="Calibri"/>
          <w:bdr w:val="none" w:sz="0" w:space="0" w:color="auto"/>
          <w:lang w:eastAsia="lt-LT"/>
        </w:rPr>
        <w:t>iais</w:t>
      </w:r>
      <w:proofErr w:type="spellEnd"/>
      <w:r w:rsidRPr="00FE34C8">
        <w:rPr>
          <w:rFonts w:eastAsia="Calibri"/>
          <w:bdr w:val="none" w:sz="0" w:space="0" w:color="auto"/>
          <w:lang w:eastAsia="lt-LT"/>
        </w:rPr>
        <w:t>) dokumentu  (-</w:t>
      </w:r>
      <w:proofErr w:type="spellStart"/>
      <w:r w:rsidRPr="00FE34C8">
        <w:rPr>
          <w:rFonts w:eastAsia="Calibri"/>
          <w:bdr w:val="none" w:sz="0" w:space="0" w:color="auto"/>
          <w:lang w:eastAsia="lt-LT"/>
        </w:rPr>
        <w:t>ais</w:t>
      </w:r>
      <w:proofErr w:type="spellEnd"/>
      <w:r w:rsidRPr="00FE34C8">
        <w:rPr>
          <w:rFonts w:eastAsia="Calibri"/>
          <w:bdr w:val="none" w:sz="0" w:space="0" w:color="auto"/>
          <w:lang w:eastAsia="lt-LT"/>
        </w:rPr>
        <w:t>) ar informacija gali susipažinti tiesiogiai ir neatlygintinai prisijungusi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 pvz., registras neveikia, registre nėra duomenų apie tiekėją ar pan.), Perkančioji organizacija turi teisę kreiptis į tiekėją dėl atitiktį patvirtinančių dokumentų pateikimo.</w:t>
      </w:r>
    </w:p>
    <w:p w14:paraId="612BE326" w14:textId="77777777" w:rsidR="00FE34C8" w:rsidRDefault="00FE34C8" w:rsidP="00CA4EEE">
      <w:pPr>
        <w:pStyle w:val="Heading"/>
        <w:jc w:val="center"/>
        <w:rPr>
          <w:rFonts w:cs="Times New Roman"/>
          <w:lang w:val="lt-LT"/>
        </w:rPr>
      </w:pPr>
    </w:p>
    <w:p w14:paraId="07C12658" w14:textId="470D380B" w:rsidR="00CA4EEE" w:rsidRPr="00573B35" w:rsidRDefault="00600397" w:rsidP="00CA4EEE">
      <w:pPr>
        <w:pStyle w:val="Heading"/>
        <w:jc w:val="center"/>
        <w:rPr>
          <w:rFonts w:cs="Times New Roman"/>
          <w:lang w:val="lt-LT"/>
        </w:rPr>
      </w:pPr>
      <w:r w:rsidRPr="00573B35">
        <w:rPr>
          <w:rFonts w:cs="Times New Roman"/>
          <w:lang w:val="lt-LT"/>
        </w:rPr>
        <w:t xml:space="preserve">APLIKOSAUGOS </w:t>
      </w:r>
      <w:r w:rsidR="00CA4EEE" w:rsidRPr="00573B35">
        <w:rPr>
          <w:rFonts w:cs="Times New Roman"/>
          <w:lang w:val="lt-LT"/>
        </w:rPr>
        <w:t>vadybos sistemų STANDARTų reikalavimai</w:t>
      </w:r>
    </w:p>
    <w:p w14:paraId="17E8AA41" w14:textId="77777777" w:rsidR="00CA4EEE" w:rsidRPr="00573B35" w:rsidRDefault="00CA4EEE" w:rsidP="00953E11">
      <w:pPr>
        <w:pStyle w:val="BodyA"/>
        <w:ind w:left="426" w:hanging="426"/>
        <w:jc w:val="right"/>
        <w:rPr>
          <w:rFonts w:ascii="Times New Roman" w:eastAsia="Times New Roman" w:hAnsi="Times New Roman" w:cs="Times New Roman"/>
          <w:sz w:val="22"/>
          <w:szCs w:val="22"/>
          <w:lang w:val="lt-LT"/>
        </w:rPr>
      </w:pPr>
    </w:p>
    <w:tbl>
      <w:tblPr>
        <w:tblStyle w:val="Lentelstinklelis"/>
        <w:tblW w:w="10347" w:type="dxa"/>
        <w:tblInd w:w="421" w:type="dxa"/>
        <w:tblLayout w:type="fixed"/>
        <w:tblLook w:val="04A0" w:firstRow="1" w:lastRow="0" w:firstColumn="1" w:lastColumn="0" w:noHBand="0" w:noVBand="1"/>
      </w:tblPr>
      <w:tblGrid>
        <w:gridCol w:w="708"/>
        <w:gridCol w:w="3119"/>
        <w:gridCol w:w="3260"/>
        <w:gridCol w:w="3260"/>
      </w:tblGrid>
      <w:tr w:rsidR="00CA4EEE" w:rsidRPr="00573B35" w14:paraId="493ADC9A" w14:textId="77777777" w:rsidTr="00573B35">
        <w:tc>
          <w:tcPr>
            <w:tcW w:w="708" w:type="dxa"/>
            <w:tcBorders>
              <w:top w:val="single" w:sz="4" w:space="0" w:color="auto"/>
              <w:left w:val="single" w:sz="4" w:space="0" w:color="auto"/>
              <w:bottom w:val="single" w:sz="4" w:space="0" w:color="auto"/>
              <w:right w:val="single" w:sz="4" w:space="0" w:color="auto"/>
            </w:tcBorders>
            <w:shd w:val="clear" w:color="auto" w:fill="E6F0F4" w:themeFill="accent1" w:themeFillTint="33"/>
            <w:hideMark/>
          </w:tcPr>
          <w:p w14:paraId="53D84080" w14:textId="77777777" w:rsidR="00CA4EEE" w:rsidRPr="00573B35" w:rsidRDefault="00CA4EEE" w:rsidP="00786C94">
            <w:pPr>
              <w:pStyle w:val="BodyA"/>
              <w:jc w:val="right"/>
              <w:rPr>
                <w:rFonts w:ascii="Times New Roman" w:eastAsia="Times New Roman" w:hAnsi="Times New Roman" w:cs="Times New Roman"/>
                <w:b/>
                <w:bCs/>
                <w:color w:val="404040" w:themeColor="text1" w:themeTint="BF"/>
                <w:sz w:val="22"/>
                <w:szCs w:val="22"/>
                <w:lang w:val="lt-LT"/>
              </w:rPr>
            </w:pPr>
            <w:r w:rsidRPr="00573B35">
              <w:rPr>
                <w:rFonts w:ascii="Times New Roman" w:eastAsia="Times New Roman" w:hAnsi="Times New Roman" w:cs="Times New Roman"/>
                <w:b/>
                <w:bCs/>
                <w:color w:val="404040" w:themeColor="text1" w:themeTint="BF"/>
                <w:sz w:val="22"/>
                <w:szCs w:val="22"/>
                <w:lang w:val="lt-LT"/>
              </w:rPr>
              <w:t>Eil. Nr.</w:t>
            </w:r>
          </w:p>
        </w:tc>
        <w:tc>
          <w:tcPr>
            <w:tcW w:w="3119" w:type="dxa"/>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hideMark/>
          </w:tcPr>
          <w:p w14:paraId="2A2F53E1" w14:textId="77777777" w:rsidR="00CA4EEE" w:rsidRPr="00573B35" w:rsidRDefault="00CA4EEE" w:rsidP="00786C94">
            <w:pPr>
              <w:jc w:val="center"/>
              <w:rPr>
                <w:b/>
                <w:bCs/>
                <w:color w:val="404040" w:themeColor="text1" w:themeTint="BF"/>
              </w:rPr>
            </w:pPr>
            <w:r w:rsidRPr="00573B35">
              <w:rPr>
                <w:b/>
                <w:bCs/>
                <w:color w:val="404040" w:themeColor="text1" w:themeTint="BF"/>
              </w:rPr>
              <w:t>Reikalavimas</w:t>
            </w:r>
          </w:p>
        </w:tc>
        <w:tc>
          <w:tcPr>
            <w:tcW w:w="3260" w:type="dxa"/>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hideMark/>
          </w:tcPr>
          <w:p w14:paraId="74B1AF5C" w14:textId="77777777" w:rsidR="00CA4EEE" w:rsidRPr="00573B35" w:rsidRDefault="00CA4EEE" w:rsidP="00786C94">
            <w:pPr>
              <w:jc w:val="center"/>
              <w:rPr>
                <w:rFonts w:eastAsia="Times New Roman"/>
                <w:b/>
                <w:bCs/>
                <w:color w:val="404040" w:themeColor="text1" w:themeTint="BF"/>
              </w:rPr>
            </w:pPr>
            <w:r w:rsidRPr="00573B35">
              <w:rPr>
                <w:b/>
                <w:bCs/>
                <w:color w:val="404040" w:themeColor="text1" w:themeTint="BF"/>
              </w:rPr>
              <w:t>Atitikį pagrindžiantys dokumentai</w:t>
            </w:r>
          </w:p>
        </w:tc>
        <w:tc>
          <w:tcPr>
            <w:tcW w:w="3260" w:type="dxa"/>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hideMark/>
          </w:tcPr>
          <w:p w14:paraId="5FA14758" w14:textId="77777777" w:rsidR="00CA4EEE" w:rsidRPr="00573B35" w:rsidRDefault="00CA4EEE" w:rsidP="00786C94">
            <w:pPr>
              <w:jc w:val="center"/>
              <w:rPr>
                <w:rFonts w:eastAsia="Times New Roman"/>
                <w:b/>
                <w:bCs/>
                <w:color w:val="404040" w:themeColor="text1" w:themeTint="BF"/>
              </w:rPr>
            </w:pPr>
            <w:r w:rsidRPr="00573B35">
              <w:rPr>
                <w:b/>
                <w:bCs/>
                <w:color w:val="404040" w:themeColor="text1" w:themeTint="BF"/>
              </w:rPr>
              <w:t>Subjektas, kuris turi atitikti reikalavimą</w:t>
            </w:r>
          </w:p>
        </w:tc>
      </w:tr>
      <w:tr w:rsidR="00953E11" w:rsidRPr="00573B35" w14:paraId="2B956EDE" w14:textId="77777777" w:rsidTr="00573B35">
        <w:tc>
          <w:tcPr>
            <w:tcW w:w="708" w:type="dxa"/>
            <w:tcBorders>
              <w:top w:val="single" w:sz="4" w:space="0" w:color="auto"/>
              <w:left w:val="single" w:sz="4" w:space="0" w:color="auto"/>
              <w:bottom w:val="single" w:sz="4" w:space="0" w:color="auto"/>
              <w:right w:val="single" w:sz="4" w:space="0" w:color="auto"/>
            </w:tcBorders>
            <w:shd w:val="clear" w:color="auto" w:fill="E6F0F4" w:themeFill="accent1" w:themeFillTint="33"/>
          </w:tcPr>
          <w:p w14:paraId="0255B831" w14:textId="1ECAF672" w:rsidR="00953E11" w:rsidRPr="00573B35" w:rsidRDefault="00953E11" w:rsidP="00786C94">
            <w:pPr>
              <w:pStyle w:val="BodyA"/>
              <w:jc w:val="right"/>
              <w:rPr>
                <w:rFonts w:ascii="Times New Roman" w:eastAsia="Times New Roman" w:hAnsi="Times New Roman" w:cs="Times New Roman"/>
                <w:b/>
                <w:bCs/>
                <w:i/>
                <w:iCs/>
                <w:color w:val="404040" w:themeColor="text1" w:themeTint="BF"/>
                <w:sz w:val="22"/>
                <w:szCs w:val="22"/>
                <w:lang w:val="lt-LT"/>
              </w:rPr>
            </w:pPr>
            <w:r w:rsidRPr="00573B35">
              <w:rPr>
                <w:rFonts w:ascii="Times New Roman" w:eastAsia="Times New Roman" w:hAnsi="Times New Roman" w:cs="Times New Roman"/>
                <w:b/>
                <w:bCs/>
                <w:i/>
                <w:iCs/>
                <w:color w:val="404040" w:themeColor="text1" w:themeTint="BF"/>
                <w:sz w:val="22"/>
                <w:szCs w:val="22"/>
                <w:lang w:val="lt-LT"/>
              </w:rPr>
              <w:t>1</w:t>
            </w:r>
          </w:p>
        </w:tc>
        <w:tc>
          <w:tcPr>
            <w:tcW w:w="3119" w:type="dxa"/>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tcPr>
          <w:p w14:paraId="2D87D27E" w14:textId="6B5D24F0" w:rsidR="00953E11" w:rsidRPr="00573B35" w:rsidRDefault="00953E11" w:rsidP="00786C94">
            <w:pPr>
              <w:jc w:val="center"/>
              <w:rPr>
                <w:b/>
                <w:bCs/>
                <w:i/>
                <w:iCs/>
                <w:color w:val="404040" w:themeColor="text1" w:themeTint="BF"/>
              </w:rPr>
            </w:pPr>
            <w:r w:rsidRPr="00573B35">
              <w:rPr>
                <w:b/>
                <w:bCs/>
                <w:i/>
                <w:iCs/>
                <w:color w:val="404040" w:themeColor="text1" w:themeTint="BF"/>
              </w:rPr>
              <w:t>2</w:t>
            </w:r>
          </w:p>
        </w:tc>
        <w:tc>
          <w:tcPr>
            <w:tcW w:w="3260" w:type="dxa"/>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tcPr>
          <w:p w14:paraId="4EA30970" w14:textId="6F5F0DDC" w:rsidR="00953E11" w:rsidRPr="00573B35" w:rsidRDefault="00953E11" w:rsidP="00786C94">
            <w:pPr>
              <w:jc w:val="center"/>
              <w:rPr>
                <w:b/>
                <w:bCs/>
                <w:i/>
                <w:iCs/>
                <w:color w:val="404040" w:themeColor="text1" w:themeTint="BF"/>
              </w:rPr>
            </w:pPr>
            <w:r w:rsidRPr="00573B35">
              <w:rPr>
                <w:b/>
                <w:bCs/>
                <w:i/>
                <w:iCs/>
                <w:color w:val="404040" w:themeColor="text1" w:themeTint="BF"/>
              </w:rPr>
              <w:t>3</w:t>
            </w:r>
          </w:p>
        </w:tc>
        <w:tc>
          <w:tcPr>
            <w:tcW w:w="3260" w:type="dxa"/>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tcPr>
          <w:p w14:paraId="5FADDA1D" w14:textId="2CA3A8BC" w:rsidR="00953E11" w:rsidRPr="00573B35" w:rsidRDefault="00953E11" w:rsidP="00786C94">
            <w:pPr>
              <w:jc w:val="center"/>
              <w:rPr>
                <w:b/>
                <w:bCs/>
                <w:i/>
                <w:iCs/>
                <w:color w:val="404040" w:themeColor="text1" w:themeTint="BF"/>
              </w:rPr>
            </w:pPr>
            <w:r w:rsidRPr="00573B35">
              <w:rPr>
                <w:b/>
                <w:bCs/>
                <w:i/>
                <w:iCs/>
                <w:color w:val="404040" w:themeColor="text1" w:themeTint="BF"/>
              </w:rPr>
              <w:t>4</w:t>
            </w:r>
          </w:p>
        </w:tc>
      </w:tr>
      <w:tr w:rsidR="004F753D" w:rsidRPr="00573B35" w14:paraId="0B3E6410" w14:textId="77777777" w:rsidTr="00953E11">
        <w:tc>
          <w:tcPr>
            <w:tcW w:w="708" w:type="dxa"/>
            <w:tcBorders>
              <w:top w:val="single" w:sz="4" w:space="0" w:color="auto"/>
              <w:left w:val="single" w:sz="4" w:space="0" w:color="auto"/>
              <w:bottom w:val="single" w:sz="4" w:space="0" w:color="auto"/>
              <w:right w:val="single" w:sz="4" w:space="0" w:color="auto"/>
            </w:tcBorders>
          </w:tcPr>
          <w:p w14:paraId="2772A608" w14:textId="77777777" w:rsidR="004F753D" w:rsidRPr="00573B35" w:rsidRDefault="004F753D" w:rsidP="004F753D">
            <w:pPr>
              <w:pStyle w:val="BodyA"/>
              <w:spacing w:line="276" w:lineRule="auto"/>
              <w:jc w:val="both"/>
              <w:rPr>
                <w:rFonts w:ascii="Times New Roman" w:eastAsia="Times New Roman" w:hAnsi="Times New Roman" w:cs="Times New Roman"/>
                <w:sz w:val="22"/>
                <w:szCs w:val="22"/>
                <w:lang w:val="lt-LT"/>
              </w:rPr>
            </w:pPr>
          </w:p>
        </w:tc>
        <w:tc>
          <w:tcPr>
            <w:tcW w:w="3119" w:type="dxa"/>
            <w:tcBorders>
              <w:right w:val="single" w:sz="4" w:space="0" w:color="auto"/>
            </w:tcBorders>
            <w:shd w:val="clear" w:color="auto" w:fill="auto"/>
            <w:vAlign w:val="center"/>
          </w:tcPr>
          <w:p w14:paraId="72CE64B2" w14:textId="77777777" w:rsidR="004F753D" w:rsidRPr="00573B35" w:rsidRDefault="004F753D" w:rsidP="004F753D">
            <w:pPr>
              <w:suppressAutoHyphens/>
              <w:rPr>
                <w:rFonts w:eastAsia="Times New Roman"/>
              </w:rPr>
            </w:pPr>
            <w:r w:rsidRPr="00573B35">
              <w:rPr>
                <w:rFonts w:eastAsia="Times New Roman"/>
              </w:rPr>
              <w:t xml:space="preserve">Tiekėjas, tiekėjų grupės partneriai kartu, subtiekėjai toje srityje, kurioje vykdys veiklą, turi būti įdiegęs ir taikyti atliekamiems statybos darbams aplinkos apsaugos vadybos ir audito sistemą </w:t>
            </w:r>
            <w:r w:rsidRPr="00573B35">
              <w:rPr>
                <w:rFonts w:eastAsia="Times New Roman"/>
                <w:i/>
              </w:rPr>
              <w:t xml:space="preserve">EMAS </w:t>
            </w:r>
            <w:r w:rsidRPr="00573B35">
              <w:rPr>
                <w:rFonts w:eastAsia="Times New Roman"/>
              </w:rPr>
              <w:t xml:space="preserve">(angl. </w:t>
            </w:r>
            <w:proofErr w:type="spellStart"/>
            <w:r w:rsidRPr="00573B35">
              <w:rPr>
                <w:rFonts w:eastAsia="Times New Roman"/>
                <w:i/>
                <w:iCs/>
              </w:rPr>
              <w:t>Eco</w:t>
            </w:r>
            <w:proofErr w:type="spellEnd"/>
            <w:r w:rsidRPr="00573B35">
              <w:rPr>
                <w:rFonts w:eastAsia="Times New Roman"/>
                <w:i/>
                <w:iCs/>
              </w:rPr>
              <w:t>–</w:t>
            </w:r>
            <w:proofErr w:type="spellStart"/>
            <w:r w:rsidRPr="00573B35">
              <w:rPr>
                <w:rFonts w:eastAsia="Times New Roman"/>
                <w:i/>
                <w:iCs/>
              </w:rPr>
              <w:t>Management</w:t>
            </w:r>
            <w:proofErr w:type="spellEnd"/>
            <w:r w:rsidRPr="00573B35">
              <w:rPr>
                <w:rFonts w:eastAsia="Times New Roman"/>
                <w:i/>
                <w:iCs/>
              </w:rPr>
              <w:t xml:space="preserve"> </w:t>
            </w:r>
            <w:proofErr w:type="spellStart"/>
            <w:r w:rsidRPr="00573B35">
              <w:rPr>
                <w:rFonts w:eastAsia="Times New Roman"/>
                <w:i/>
                <w:iCs/>
              </w:rPr>
              <w:t>and</w:t>
            </w:r>
            <w:proofErr w:type="spellEnd"/>
            <w:r w:rsidRPr="00573B35">
              <w:rPr>
                <w:rFonts w:eastAsia="Times New Roman"/>
                <w:i/>
                <w:iCs/>
              </w:rPr>
              <w:t xml:space="preserve"> </w:t>
            </w:r>
            <w:proofErr w:type="spellStart"/>
            <w:r w:rsidRPr="00573B35">
              <w:rPr>
                <w:rFonts w:eastAsia="Times New Roman"/>
                <w:i/>
                <w:iCs/>
              </w:rPr>
              <w:t>Audit</w:t>
            </w:r>
            <w:proofErr w:type="spellEnd"/>
            <w:r w:rsidRPr="00573B35">
              <w:rPr>
                <w:rFonts w:eastAsia="Times New Roman"/>
                <w:i/>
                <w:iCs/>
              </w:rPr>
              <w:t xml:space="preserve"> </w:t>
            </w:r>
            <w:proofErr w:type="spellStart"/>
            <w:r w:rsidRPr="00573B35">
              <w:rPr>
                <w:rFonts w:eastAsia="Times New Roman"/>
                <w:i/>
                <w:iCs/>
              </w:rPr>
              <w:t>Scheme</w:t>
            </w:r>
            <w:proofErr w:type="spellEnd"/>
            <w:r w:rsidRPr="00573B35">
              <w:rPr>
                <w:rFonts w:eastAsia="Times New Roman"/>
              </w:rPr>
              <w:t>, EMAS)</w:t>
            </w:r>
            <w:r w:rsidRPr="00573B35">
              <w:rPr>
                <w:rFonts w:eastAsia="Times New Roman"/>
                <w:i/>
              </w:rPr>
              <w:t xml:space="preserve"> </w:t>
            </w:r>
            <w:r w:rsidRPr="00573B35">
              <w:rPr>
                <w:rFonts w:eastAsia="Times New Roman"/>
              </w:rPr>
              <w:t xml:space="preserve">arba kitą aplinkos apsaugos vadybos sistemą, įdiegtą pagal standartą </w:t>
            </w:r>
            <w:r w:rsidRPr="00573B35">
              <w:rPr>
                <w:rFonts w:eastAsia="Times New Roman"/>
                <w:i/>
              </w:rPr>
              <w:t>LST EN ISO 14001</w:t>
            </w:r>
            <w:r w:rsidRPr="00573B35">
              <w:rPr>
                <w:rFonts w:eastAsia="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45852F3" w14:textId="70ED9677" w:rsidR="004F753D" w:rsidRPr="00573B35" w:rsidRDefault="004F753D" w:rsidP="004F753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eastAsia="lt-LT"/>
              </w:rPr>
            </w:pPr>
          </w:p>
        </w:tc>
        <w:tc>
          <w:tcPr>
            <w:tcW w:w="3260" w:type="dxa"/>
            <w:tcBorders>
              <w:top w:val="single" w:sz="4" w:space="0" w:color="auto"/>
              <w:left w:val="single" w:sz="4" w:space="0" w:color="auto"/>
              <w:right w:val="single" w:sz="4" w:space="0" w:color="auto"/>
            </w:tcBorders>
            <w:shd w:val="clear" w:color="auto" w:fill="auto"/>
          </w:tcPr>
          <w:p w14:paraId="53708039" w14:textId="77777777" w:rsidR="004F753D" w:rsidRPr="00573B35" w:rsidRDefault="004F753D" w:rsidP="004F753D">
            <w:pPr>
              <w:suppressAutoHyphens/>
              <w:rPr>
                <w:rFonts w:eastAsia="Times New Roman"/>
              </w:rPr>
            </w:pPr>
            <w:r w:rsidRPr="00573B35">
              <w:rPr>
                <w:rFonts w:eastAsia="Times New Roman"/>
              </w:rPr>
              <w:t xml:space="preserve">Pateikiama: </w:t>
            </w:r>
          </w:p>
          <w:p w14:paraId="32346DC8" w14:textId="77777777" w:rsidR="004F753D" w:rsidRPr="00573B35" w:rsidRDefault="004F753D" w:rsidP="004F753D">
            <w:pPr>
              <w:suppressAutoHyphens/>
              <w:ind w:firstLine="34"/>
              <w:rPr>
                <w:rFonts w:eastAsia="Times New Roman"/>
                <w:lang w:bidi="en-US"/>
              </w:rPr>
            </w:pPr>
            <w:r w:rsidRPr="00573B35">
              <w:rPr>
                <w:rFonts w:eastAsia="Times New Roman"/>
                <w:i/>
                <w:iCs/>
                <w:lang w:bidi="en-US"/>
              </w:rPr>
              <w:t>EMAS</w:t>
            </w:r>
            <w:r w:rsidRPr="00573B35">
              <w:rPr>
                <w:rFonts w:eastAsia="Times New Roman"/>
                <w:lang w:bidi="en-US"/>
              </w:rPr>
              <w:t xml:space="preserve"> arba </w:t>
            </w:r>
            <w:r w:rsidRPr="00573B35">
              <w:rPr>
                <w:rFonts w:eastAsia="Times New Roman"/>
                <w:i/>
                <w:iCs/>
                <w:lang w:bidi="en-US"/>
              </w:rPr>
              <w:t>LST EN ISO 14001</w:t>
            </w:r>
            <w:r w:rsidRPr="00573B35">
              <w:rPr>
                <w:rFonts w:eastAsia="Times New Roman"/>
                <w:lang w:bidi="en-US"/>
              </w:rPr>
              <w:t xml:space="preserve"> sertifikatas, arba kitas lygiavertis dokumentas, kuriuo įrodoma atitiktis taikomiems standartams, išduotas kitose valstybėse narėse įsteigtų nepriklausomų įstaigų. </w:t>
            </w:r>
          </w:p>
          <w:p w14:paraId="206454F2" w14:textId="77777777" w:rsidR="004F753D" w:rsidRPr="00573B35" w:rsidRDefault="004F753D" w:rsidP="004F753D">
            <w:pPr>
              <w:suppressAutoHyphens/>
              <w:ind w:firstLine="34"/>
              <w:rPr>
                <w:rFonts w:eastAsia="Times New Roman"/>
                <w:color w:val="C00000"/>
              </w:rPr>
            </w:pPr>
            <w:r w:rsidRPr="00573B35">
              <w:rPr>
                <w:rFonts w:eastAsia="Times New Roman"/>
                <w:lang w:bidi="en-US"/>
              </w:rPr>
              <w:t xml:space="preserve">Arba kaip lygiaverčių aplinkos apsaugos vadybos užtikrinimo priemonių įrodymą, Tiekėjas gali pateikti lygiaverčių taikomų aplinkos apsaugos vadybos priemonių aprašymą, parengtą pagal </w:t>
            </w:r>
            <w:r w:rsidRPr="00573B35">
              <w:rPr>
                <w:rFonts w:eastAsia="Times New Roman"/>
              </w:rPr>
              <w:t>Lietuvos Respublikos aplinkos ministro 2011 m. birželio 28 d. įsakymu Nr. D1-508 patvirtinto „Aplinkos apsaugos kriterijų taikymo, vykdant žaliuosius pirkimus, tvarkos aprašo, “ 10 punkto reikalavimus,</w:t>
            </w:r>
            <w:r w:rsidRPr="00573B35">
              <w:rPr>
                <w:rFonts w:eastAsia="Times New Roman"/>
                <w:lang w:bidi="en-US"/>
              </w:rPr>
              <w:t xml:space="preserve"> arba kitus lygiaverčius įrodymus</w:t>
            </w:r>
            <w:r w:rsidRPr="00573B35">
              <w:rPr>
                <w:rFonts w:eastAsia="Times New Roman"/>
                <w:color w:val="C00000"/>
              </w:rPr>
              <w:t>.</w:t>
            </w:r>
          </w:p>
          <w:p w14:paraId="7B733081" w14:textId="77777777" w:rsidR="004F753D" w:rsidRPr="00573B35" w:rsidRDefault="004F753D" w:rsidP="004F753D">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826C309" w14:textId="77777777" w:rsidR="004F753D" w:rsidRPr="00573B35" w:rsidRDefault="004F753D" w:rsidP="004F753D">
            <w:pPr>
              <w:numPr>
                <w:ilvl w:val="0"/>
                <w:numId w:val="5"/>
              </w:numPr>
              <w:suppressAutoHyphens/>
              <w:ind w:left="34" w:firstLine="351"/>
              <w:rPr>
                <w:rFonts w:eastAsia="Times New Roman"/>
                <w:i/>
              </w:rPr>
            </w:pPr>
            <w:r w:rsidRPr="00573B35">
              <w:rPr>
                <w:rFonts w:eastAsia="Times New Roman"/>
                <w:i/>
              </w:rPr>
              <w:t>Jeigu pasiūlymą teikia ūkio subjektų grupė – reikalavimą turi atitikti ūkio subjektų grupės narys (-</w:t>
            </w:r>
            <w:proofErr w:type="spellStart"/>
            <w:r w:rsidRPr="00573B35">
              <w:rPr>
                <w:rFonts w:eastAsia="Times New Roman"/>
                <w:i/>
              </w:rPr>
              <w:t>iai</w:t>
            </w:r>
            <w:proofErr w:type="spellEnd"/>
            <w:r w:rsidRPr="00573B35">
              <w:rPr>
                <w:rFonts w:eastAsia="Times New Roman"/>
                <w:i/>
              </w:rPr>
              <w:t>), atsižvelgiant į jų prisiimamus įsipareigojimus pirkimo sutarčiai vykdyti;</w:t>
            </w:r>
          </w:p>
          <w:p w14:paraId="2214E58C" w14:textId="77777777" w:rsidR="004F753D" w:rsidRPr="00573B35" w:rsidRDefault="004F753D" w:rsidP="004F753D">
            <w:pPr>
              <w:numPr>
                <w:ilvl w:val="0"/>
                <w:numId w:val="5"/>
              </w:numPr>
              <w:suppressAutoHyphens/>
              <w:ind w:left="0" w:firstLine="317"/>
              <w:rPr>
                <w:rFonts w:eastAsia="Times New Roman"/>
                <w:i/>
              </w:rPr>
            </w:pPr>
            <w:r w:rsidRPr="00573B35">
              <w:rPr>
                <w:rFonts w:eastAsia="Times New Roman"/>
                <w:i/>
              </w:rPr>
              <w:t>Tiekėjas gali remtis kitų ūkio subjektų pajėgumais atsižvelgiant į jų prisiimamus įsipareigojimus pirkimo sutarčiai vykdyti;</w:t>
            </w:r>
          </w:p>
          <w:p w14:paraId="0D18CB5D" w14:textId="16B6E4F5" w:rsidR="004F753D" w:rsidRPr="00573B35" w:rsidRDefault="004F753D" w:rsidP="004F753D">
            <w:pPr>
              <w:rPr>
                <w:rFonts w:eastAsia="Times New Roman"/>
                <w:u w:color="000000"/>
                <w:lang w:eastAsia="en-GB"/>
              </w:rPr>
            </w:pPr>
            <w:r w:rsidRPr="00573B35">
              <w:rPr>
                <w:rFonts w:eastAsia="Times New Roman"/>
                <w:i/>
              </w:rPr>
              <w:t xml:space="preserve">Subtiekėjai turi laikytis reikalaujamų </w:t>
            </w:r>
            <w:r w:rsidRPr="00573B35">
              <w:rPr>
                <w:rFonts w:eastAsia="Times New Roman"/>
                <w:bCs/>
                <w:i/>
              </w:rPr>
              <w:t xml:space="preserve">aplinkos apsaugos vadybos priemonių, </w:t>
            </w:r>
            <w:r w:rsidRPr="00573B35">
              <w:rPr>
                <w:rFonts w:eastAsia="Times New Roman"/>
                <w:i/>
              </w:rPr>
              <w:t>atsižvelgiant į jų prisiimamus įsipareigojimus pirkimo sutarčiai vykdyti.</w:t>
            </w:r>
          </w:p>
        </w:tc>
      </w:tr>
    </w:tbl>
    <w:p w14:paraId="1E968430" w14:textId="77777777" w:rsidR="00CA4EEE" w:rsidRPr="00573B35" w:rsidRDefault="00CA4EEE" w:rsidP="00CD03F3">
      <w:pPr>
        <w:pStyle w:val="BodyA"/>
        <w:rPr>
          <w:rFonts w:ascii="Times New Roman" w:eastAsia="Times New Roman" w:hAnsi="Times New Roman" w:cs="Times New Roman"/>
          <w:sz w:val="22"/>
          <w:szCs w:val="22"/>
          <w:lang w:val="lt-LT"/>
        </w:rPr>
      </w:pPr>
    </w:p>
    <w:p w14:paraId="16119344" w14:textId="77777777" w:rsidR="00953E11" w:rsidRPr="00573B35" w:rsidRDefault="00953E11" w:rsidP="00953E11">
      <w:pPr>
        <w:pBdr>
          <w:top w:val="none" w:sz="0" w:space="0" w:color="auto"/>
          <w:left w:val="none" w:sz="0" w:space="0" w:color="auto"/>
          <w:bottom w:val="none" w:sz="0" w:space="0" w:color="auto"/>
          <w:right w:val="none" w:sz="0" w:space="0" w:color="auto"/>
          <w:between w:val="none" w:sz="0" w:space="0" w:color="auto"/>
          <w:bar w:val="none" w:sz="0" w:color="auto"/>
        </w:pBdr>
        <w:ind w:firstLine="426"/>
        <w:contextualSpacing/>
        <w:rPr>
          <w:rFonts w:eastAsia="Calibri"/>
          <w:b/>
          <w:bCs/>
          <w:bdr w:val="none" w:sz="0" w:space="0" w:color="auto"/>
          <w:lang w:eastAsia="lt-LT"/>
        </w:rPr>
      </w:pPr>
      <w:r w:rsidRPr="00573B35">
        <w:rPr>
          <w:rFonts w:eastAsia="Calibri"/>
          <w:b/>
          <w:bCs/>
          <w:bdr w:val="none" w:sz="0" w:space="0" w:color="auto"/>
          <w:lang w:eastAsia="lt-LT"/>
        </w:rPr>
        <w:t xml:space="preserve">Pastaba: </w:t>
      </w:r>
    </w:p>
    <w:p w14:paraId="3B4B5226" w14:textId="77777777" w:rsidR="00953E11" w:rsidRPr="00953E11" w:rsidRDefault="00953E11" w:rsidP="00953E11">
      <w:pPr>
        <w:pBdr>
          <w:top w:val="none" w:sz="0" w:space="0" w:color="auto"/>
          <w:left w:val="none" w:sz="0" w:space="0" w:color="auto"/>
          <w:bottom w:val="none" w:sz="0" w:space="0" w:color="auto"/>
          <w:right w:val="none" w:sz="0" w:space="0" w:color="auto"/>
          <w:between w:val="none" w:sz="0" w:space="0" w:color="auto"/>
          <w:bar w:val="none" w:sz="0" w:color="auto"/>
        </w:pBdr>
        <w:ind w:left="426"/>
        <w:contextualSpacing/>
        <w:rPr>
          <w:rFonts w:eastAsia="Calibri"/>
          <w:sz w:val="24"/>
          <w:szCs w:val="24"/>
          <w:bdr w:val="none" w:sz="0" w:space="0" w:color="auto"/>
          <w:lang w:eastAsia="lt-LT"/>
        </w:rPr>
      </w:pPr>
      <w:r w:rsidRPr="00573B35">
        <w:rPr>
          <w:rFonts w:eastAsia="Calibri"/>
          <w:b/>
          <w:bCs/>
          <w:bdr w:val="none" w:sz="0" w:space="0" w:color="auto"/>
          <w:lang w:eastAsia="lt-LT"/>
        </w:rPr>
        <w:t>Kvalifikacinių reikalavimų ir aplinkos apsaugos vadybos sistemos standartų atitikimą įrodančių dokumentų bus prašoma pateikti galimo laimėtojo</w:t>
      </w:r>
      <w:r w:rsidRPr="00573B35">
        <w:rPr>
          <w:rFonts w:eastAsia="Calibri"/>
          <w:bdr w:val="none" w:sz="0" w:space="0" w:color="auto"/>
          <w:lang w:eastAsia="lt-LT"/>
        </w:rPr>
        <w:t>.</w:t>
      </w:r>
    </w:p>
    <w:sectPr w:rsidR="00953E11" w:rsidRPr="00953E11" w:rsidSect="00FE34C8">
      <w:footerReference w:type="default" r:id="rId13"/>
      <w:pgSz w:w="12240" w:h="15840"/>
      <w:pgMar w:top="567" w:right="474" w:bottom="170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8EA" w14:textId="77777777" w:rsidR="00C13601" w:rsidRDefault="00C13601" w:rsidP="00992543">
      <w:r>
        <w:separator/>
      </w:r>
    </w:p>
  </w:endnote>
  <w:endnote w:type="continuationSeparator" w:id="0">
    <w:p w14:paraId="42054567" w14:textId="77777777" w:rsidR="00C13601" w:rsidRDefault="00C1360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19315"/>
      <w:docPartObj>
        <w:docPartGallery w:val="Page Numbers (Bottom of Page)"/>
        <w:docPartUnique/>
      </w:docPartObj>
    </w:sdtPr>
    <w:sdtEndPr/>
    <w:sdtContent>
      <w:p w14:paraId="0A1AB4BA" w14:textId="10B3064C" w:rsidR="00CD03F3" w:rsidRDefault="00CD03F3">
        <w:pPr>
          <w:pStyle w:val="Porat"/>
          <w:jc w:val="right"/>
        </w:pPr>
        <w:r>
          <w:fldChar w:fldCharType="begin"/>
        </w:r>
        <w:r>
          <w:instrText>PAGE   \* MERGEFORMAT</w:instrText>
        </w:r>
        <w:r>
          <w:fldChar w:fldCharType="separate"/>
        </w:r>
        <w:r>
          <w:t>2</w:t>
        </w:r>
        <w:r>
          <w:fldChar w:fldCharType="end"/>
        </w:r>
      </w:p>
    </w:sdtContent>
  </w:sdt>
  <w:p w14:paraId="7339D8C0" w14:textId="6901EE2A" w:rsidR="00786C94" w:rsidRPr="0014612C" w:rsidRDefault="00786C94">
    <w:pPr>
      <w:pStyle w:val="HeaderFooterA"/>
      <w:tabs>
        <w:tab w:val="clear" w:pos="9020"/>
        <w:tab w:val="center" w:pos="4750"/>
        <w:tab w:val="right" w:pos="948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711" w14:textId="77777777" w:rsidR="00C13601" w:rsidRDefault="00C13601" w:rsidP="00992543">
      <w:r>
        <w:separator/>
      </w:r>
    </w:p>
  </w:footnote>
  <w:footnote w:type="continuationSeparator" w:id="0">
    <w:p w14:paraId="6950CD69" w14:textId="77777777" w:rsidR="00C13601" w:rsidRDefault="00C1360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5E4"/>
    <w:multiLevelType w:val="hybridMultilevel"/>
    <w:tmpl w:val="9190B0AC"/>
    <w:lvl w:ilvl="0" w:tplc="112C3AD0">
      <w:start w:val="1"/>
      <w:numFmt w:val="bullet"/>
      <w:lvlText w:val="-"/>
      <w:lvlJc w:val="left"/>
      <w:pPr>
        <w:ind w:left="1613" w:hanging="360"/>
      </w:pPr>
      <w:rPr>
        <w:rFonts w:ascii="Times New Roman" w:eastAsia="Helvetica Neue Light" w:hAnsi="Times New Roman"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963ADE"/>
    <w:multiLevelType w:val="multilevel"/>
    <w:tmpl w:val="48EE5FC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9C34C1E"/>
    <w:multiLevelType w:val="hybridMultilevel"/>
    <w:tmpl w:val="A5486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643"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6" w15:restartNumberingAfterBreak="0">
    <w:nsid w:val="40751B75"/>
    <w:multiLevelType w:val="multilevel"/>
    <w:tmpl w:val="02C6C0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9253DF"/>
    <w:multiLevelType w:val="hybridMultilevel"/>
    <w:tmpl w:val="2F6460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0" w15:restartNumberingAfterBreak="0">
    <w:nsid w:val="654E1E71"/>
    <w:multiLevelType w:val="multilevel"/>
    <w:tmpl w:val="1BA4E70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AA5622"/>
    <w:multiLevelType w:val="hybridMultilevel"/>
    <w:tmpl w:val="60A8AA36"/>
    <w:lvl w:ilvl="0" w:tplc="98CAE234">
      <w:start w:val="1"/>
      <w:numFmt w:val="decimal"/>
      <w:lvlText w:val="%1."/>
      <w:lvlJc w:val="left"/>
      <w:pPr>
        <w:ind w:left="-107" w:hanging="360"/>
      </w:pPr>
      <w:rPr>
        <w:rFonts w:hint="default"/>
      </w:rPr>
    </w:lvl>
    <w:lvl w:ilvl="1" w:tplc="04270019" w:tentative="1">
      <w:start w:val="1"/>
      <w:numFmt w:val="lowerLetter"/>
      <w:lvlText w:val="%2."/>
      <w:lvlJc w:val="left"/>
      <w:pPr>
        <w:ind w:left="613" w:hanging="360"/>
      </w:pPr>
    </w:lvl>
    <w:lvl w:ilvl="2" w:tplc="0427001B" w:tentative="1">
      <w:start w:val="1"/>
      <w:numFmt w:val="lowerRoman"/>
      <w:lvlText w:val="%3."/>
      <w:lvlJc w:val="right"/>
      <w:pPr>
        <w:ind w:left="1333" w:hanging="180"/>
      </w:pPr>
    </w:lvl>
    <w:lvl w:ilvl="3" w:tplc="0427000F" w:tentative="1">
      <w:start w:val="1"/>
      <w:numFmt w:val="decimal"/>
      <w:lvlText w:val="%4."/>
      <w:lvlJc w:val="left"/>
      <w:pPr>
        <w:ind w:left="2053" w:hanging="360"/>
      </w:pPr>
    </w:lvl>
    <w:lvl w:ilvl="4" w:tplc="04270019" w:tentative="1">
      <w:start w:val="1"/>
      <w:numFmt w:val="lowerLetter"/>
      <w:lvlText w:val="%5."/>
      <w:lvlJc w:val="left"/>
      <w:pPr>
        <w:ind w:left="2773" w:hanging="360"/>
      </w:pPr>
    </w:lvl>
    <w:lvl w:ilvl="5" w:tplc="0427001B" w:tentative="1">
      <w:start w:val="1"/>
      <w:numFmt w:val="lowerRoman"/>
      <w:lvlText w:val="%6."/>
      <w:lvlJc w:val="right"/>
      <w:pPr>
        <w:ind w:left="3493" w:hanging="180"/>
      </w:pPr>
    </w:lvl>
    <w:lvl w:ilvl="6" w:tplc="0427000F" w:tentative="1">
      <w:start w:val="1"/>
      <w:numFmt w:val="decimal"/>
      <w:lvlText w:val="%7."/>
      <w:lvlJc w:val="left"/>
      <w:pPr>
        <w:ind w:left="4213" w:hanging="360"/>
      </w:pPr>
    </w:lvl>
    <w:lvl w:ilvl="7" w:tplc="04270019" w:tentative="1">
      <w:start w:val="1"/>
      <w:numFmt w:val="lowerLetter"/>
      <w:lvlText w:val="%8."/>
      <w:lvlJc w:val="left"/>
      <w:pPr>
        <w:ind w:left="4933" w:hanging="360"/>
      </w:pPr>
    </w:lvl>
    <w:lvl w:ilvl="8" w:tplc="0427001B" w:tentative="1">
      <w:start w:val="1"/>
      <w:numFmt w:val="lowerRoman"/>
      <w:lvlText w:val="%9."/>
      <w:lvlJc w:val="right"/>
      <w:pPr>
        <w:ind w:left="5653" w:hanging="180"/>
      </w:pPr>
    </w:lvl>
  </w:abstractNum>
  <w:abstractNum w:abstractNumId="12"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3"/>
  </w:num>
  <w:num w:numId="2" w16cid:durableId="727994566">
    <w:abstractNumId w:val="0"/>
  </w:num>
  <w:num w:numId="3" w16cid:durableId="1051542748">
    <w:abstractNumId w:val="12"/>
  </w:num>
  <w:num w:numId="4" w16cid:durableId="668796823">
    <w:abstractNumId w:val="7"/>
  </w:num>
  <w:num w:numId="5" w16cid:durableId="1056588128">
    <w:abstractNumId w:val="9"/>
  </w:num>
  <w:num w:numId="6" w16cid:durableId="1534923282">
    <w:abstractNumId w:val="5"/>
  </w:num>
  <w:num w:numId="7" w16cid:durableId="897665374">
    <w:abstractNumId w:val="10"/>
  </w:num>
  <w:num w:numId="8" w16cid:durableId="1082408919">
    <w:abstractNumId w:val="2"/>
  </w:num>
  <w:num w:numId="9" w16cid:durableId="724640735">
    <w:abstractNumId w:val="4"/>
  </w:num>
  <w:num w:numId="10" w16cid:durableId="1189759978">
    <w:abstractNumId w:val="8"/>
  </w:num>
  <w:num w:numId="11" w16cid:durableId="1600479773">
    <w:abstractNumId w:val="11"/>
  </w:num>
  <w:num w:numId="12" w16cid:durableId="1714772948">
    <w:abstractNumId w:val="1"/>
  </w:num>
  <w:num w:numId="13" w16cid:durableId="1627463421">
    <w:abstractNumId w:val="6"/>
  </w:num>
  <w:num w:numId="14" w16cid:durableId="100250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518"/>
    <w:rsid w:val="00000B89"/>
    <w:rsid w:val="00002DA1"/>
    <w:rsid w:val="00015390"/>
    <w:rsid w:val="000154BA"/>
    <w:rsid w:val="0001589B"/>
    <w:rsid w:val="0002353E"/>
    <w:rsid w:val="00031639"/>
    <w:rsid w:val="00035499"/>
    <w:rsid w:val="000407D3"/>
    <w:rsid w:val="000450BD"/>
    <w:rsid w:val="00051131"/>
    <w:rsid w:val="00051E77"/>
    <w:rsid w:val="0005640D"/>
    <w:rsid w:val="00060EA5"/>
    <w:rsid w:val="00070BED"/>
    <w:rsid w:val="00071499"/>
    <w:rsid w:val="00072229"/>
    <w:rsid w:val="00076C9E"/>
    <w:rsid w:val="0009076E"/>
    <w:rsid w:val="00091FBB"/>
    <w:rsid w:val="00092FE6"/>
    <w:rsid w:val="000945F3"/>
    <w:rsid w:val="0009563B"/>
    <w:rsid w:val="000A1811"/>
    <w:rsid w:val="000B121E"/>
    <w:rsid w:val="000B23C7"/>
    <w:rsid w:val="000B5E0B"/>
    <w:rsid w:val="000B7F26"/>
    <w:rsid w:val="000C0C0E"/>
    <w:rsid w:val="000C1D1A"/>
    <w:rsid w:val="000C45A5"/>
    <w:rsid w:val="000D2367"/>
    <w:rsid w:val="000D25AF"/>
    <w:rsid w:val="000D2918"/>
    <w:rsid w:val="000D2D77"/>
    <w:rsid w:val="000E45C5"/>
    <w:rsid w:val="000E4D6D"/>
    <w:rsid w:val="000E5A5D"/>
    <w:rsid w:val="000F1C5C"/>
    <w:rsid w:val="000F2BCD"/>
    <w:rsid w:val="000F634B"/>
    <w:rsid w:val="001006A8"/>
    <w:rsid w:val="0010096E"/>
    <w:rsid w:val="00101590"/>
    <w:rsid w:val="001023F1"/>
    <w:rsid w:val="00105778"/>
    <w:rsid w:val="001070CF"/>
    <w:rsid w:val="00110A3E"/>
    <w:rsid w:val="0011576E"/>
    <w:rsid w:val="001157E0"/>
    <w:rsid w:val="001159E2"/>
    <w:rsid w:val="00122A59"/>
    <w:rsid w:val="00123127"/>
    <w:rsid w:val="00127A46"/>
    <w:rsid w:val="00130EC0"/>
    <w:rsid w:val="001340FE"/>
    <w:rsid w:val="0014078B"/>
    <w:rsid w:val="00142C48"/>
    <w:rsid w:val="001445AD"/>
    <w:rsid w:val="0014612C"/>
    <w:rsid w:val="00152895"/>
    <w:rsid w:val="00153B5C"/>
    <w:rsid w:val="0015590A"/>
    <w:rsid w:val="00156EDF"/>
    <w:rsid w:val="00160661"/>
    <w:rsid w:val="001611C7"/>
    <w:rsid w:val="00161E8D"/>
    <w:rsid w:val="00162CF2"/>
    <w:rsid w:val="0016702C"/>
    <w:rsid w:val="00174F18"/>
    <w:rsid w:val="00177F1E"/>
    <w:rsid w:val="001828B5"/>
    <w:rsid w:val="00183BAC"/>
    <w:rsid w:val="00184114"/>
    <w:rsid w:val="00195B02"/>
    <w:rsid w:val="001A50F4"/>
    <w:rsid w:val="001B2314"/>
    <w:rsid w:val="001C3209"/>
    <w:rsid w:val="001C3892"/>
    <w:rsid w:val="001C4593"/>
    <w:rsid w:val="001C56D5"/>
    <w:rsid w:val="001D4573"/>
    <w:rsid w:val="001E183D"/>
    <w:rsid w:val="001E1EAC"/>
    <w:rsid w:val="001E3152"/>
    <w:rsid w:val="001E6524"/>
    <w:rsid w:val="001E70C5"/>
    <w:rsid w:val="001E7EB3"/>
    <w:rsid w:val="001F17E3"/>
    <w:rsid w:val="001F1DF7"/>
    <w:rsid w:val="001F77B6"/>
    <w:rsid w:val="0020048C"/>
    <w:rsid w:val="00201E54"/>
    <w:rsid w:val="00204730"/>
    <w:rsid w:val="00207E8C"/>
    <w:rsid w:val="0021216A"/>
    <w:rsid w:val="0021592A"/>
    <w:rsid w:val="0022356B"/>
    <w:rsid w:val="00227DBE"/>
    <w:rsid w:val="002417C7"/>
    <w:rsid w:val="00245DD8"/>
    <w:rsid w:val="0024789B"/>
    <w:rsid w:val="00255F2B"/>
    <w:rsid w:val="0025797B"/>
    <w:rsid w:val="00262BEA"/>
    <w:rsid w:val="00263297"/>
    <w:rsid w:val="00265865"/>
    <w:rsid w:val="002677DB"/>
    <w:rsid w:val="002775EE"/>
    <w:rsid w:val="00280A92"/>
    <w:rsid w:val="0028517C"/>
    <w:rsid w:val="002863FD"/>
    <w:rsid w:val="00290375"/>
    <w:rsid w:val="00293DDB"/>
    <w:rsid w:val="00295E68"/>
    <w:rsid w:val="00296661"/>
    <w:rsid w:val="002A47FE"/>
    <w:rsid w:val="002A7F57"/>
    <w:rsid w:val="002B785D"/>
    <w:rsid w:val="002D0DAE"/>
    <w:rsid w:val="002D2E0B"/>
    <w:rsid w:val="002D3F39"/>
    <w:rsid w:val="002D4461"/>
    <w:rsid w:val="002D5624"/>
    <w:rsid w:val="002D63F9"/>
    <w:rsid w:val="002D7D46"/>
    <w:rsid w:val="002E0D8E"/>
    <w:rsid w:val="002E2581"/>
    <w:rsid w:val="002E5E95"/>
    <w:rsid w:val="002E6FE1"/>
    <w:rsid w:val="002F2FC9"/>
    <w:rsid w:val="002F35E4"/>
    <w:rsid w:val="00300946"/>
    <w:rsid w:val="00304414"/>
    <w:rsid w:val="00312BA8"/>
    <w:rsid w:val="003166FC"/>
    <w:rsid w:val="0032062C"/>
    <w:rsid w:val="00320872"/>
    <w:rsid w:val="003243AB"/>
    <w:rsid w:val="003243DC"/>
    <w:rsid w:val="00342306"/>
    <w:rsid w:val="00346561"/>
    <w:rsid w:val="00351FA0"/>
    <w:rsid w:val="00352D72"/>
    <w:rsid w:val="00356661"/>
    <w:rsid w:val="0036262D"/>
    <w:rsid w:val="00362B03"/>
    <w:rsid w:val="0037013C"/>
    <w:rsid w:val="00374679"/>
    <w:rsid w:val="00374BC4"/>
    <w:rsid w:val="0037533A"/>
    <w:rsid w:val="00386C0F"/>
    <w:rsid w:val="003A4D95"/>
    <w:rsid w:val="003A7364"/>
    <w:rsid w:val="003B0D9D"/>
    <w:rsid w:val="003B2DFF"/>
    <w:rsid w:val="003B39A1"/>
    <w:rsid w:val="003B66C4"/>
    <w:rsid w:val="003E0B17"/>
    <w:rsid w:val="003F01EF"/>
    <w:rsid w:val="003F3E4D"/>
    <w:rsid w:val="0040526D"/>
    <w:rsid w:val="004055F3"/>
    <w:rsid w:val="00405F30"/>
    <w:rsid w:val="00412AEE"/>
    <w:rsid w:val="00423E13"/>
    <w:rsid w:val="00427E03"/>
    <w:rsid w:val="00433422"/>
    <w:rsid w:val="004341A3"/>
    <w:rsid w:val="00436B3D"/>
    <w:rsid w:val="004374D7"/>
    <w:rsid w:val="00437D7F"/>
    <w:rsid w:val="00443228"/>
    <w:rsid w:val="00444DD7"/>
    <w:rsid w:val="004455E6"/>
    <w:rsid w:val="00446EC1"/>
    <w:rsid w:val="0045003E"/>
    <w:rsid w:val="00452790"/>
    <w:rsid w:val="004530C3"/>
    <w:rsid w:val="00457AC8"/>
    <w:rsid w:val="00461825"/>
    <w:rsid w:val="00465613"/>
    <w:rsid w:val="00470BF0"/>
    <w:rsid w:val="00473EB3"/>
    <w:rsid w:val="00475A68"/>
    <w:rsid w:val="00475F66"/>
    <w:rsid w:val="004821A1"/>
    <w:rsid w:val="00483713"/>
    <w:rsid w:val="0049188B"/>
    <w:rsid w:val="00492E6B"/>
    <w:rsid w:val="00493BD3"/>
    <w:rsid w:val="004A02A8"/>
    <w:rsid w:val="004A0839"/>
    <w:rsid w:val="004A2C9F"/>
    <w:rsid w:val="004A305A"/>
    <w:rsid w:val="004A4084"/>
    <w:rsid w:val="004A4ABD"/>
    <w:rsid w:val="004A4E69"/>
    <w:rsid w:val="004A69BE"/>
    <w:rsid w:val="004B039A"/>
    <w:rsid w:val="004B4664"/>
    <w:rsid w:val="004B695B"/>
    <w:rsid w:val="004C0A61"/>
    <w:rsid w:val="004C4B0A"/>
    <w:rsid w:val="004E49C0"/>
    <w:rsid w:val="004F5E45"/>
    <w:rsid w:val="004F753D"/>
    <w:rsid w:val="00501C0E"/>
    <w:rsid w:val="005053B1"/>
    <w:rsid w:val="00505D0D"/>
    <w:rsid w:val="005255F0"/>
    <w:rsid w:val="005269BB"/>
    <w:rsid w:val="0053271E"/>
    <w:rsid w:val="005361B5"/>
    <w:rsid w:val="00537F47"/>
    <w:rsid w:val="00541B12"/>
    <w:rsid w:val="00542822"/>
    <w:rsid w:val="00544A11"/>
    <w:rsid w:val="005566AF"/>
    <w:rsid w:val="00560B9A"/>
    <w:rsid w:val="005641CF"/>
    <w:rsid w:val="00565E3E"/>
    <w:rsid w:val="005672E7"/>
    <w:rsid w:val="0057083E"/>
    <w:rsid w:val="00573B35"/>
    <w:rsid w:val="00576D64"/>
    <w:rsid w:val="00577E34"/>
    <w:rsid w:val="005812EF"/>
    <w:rsid w:val="005814E8"/>
    <w:rsid w:val="00586EE4"/>
    <w:rsid w:val="0059465A"/>
    <w:rsid w:val="00597A22"/>
    <w:rsid w:val="005A173F"/>
    <w:rsid w:val="005A3F6C"/>
    <w:rsid w:val="005B5CD5"/>
    <w:rsid w:val="005C6BB5"/>
    <w:rsid w:val="005C790A"/>
    <w:rsid w:val="005D080E"/>
    <w:rsid w:val="005D2B17"/>
    <w:rsid w:val="005D3B40"/>
    <w:rsid w:val="005E0A85"/>
    <w:rsid w:val="005E4C58"/>
    <w:rsid w:val="005F095D"/>
    <w:rsid w:val="005F2101"/>
    <w:rsid w:val="00600397"/>
    <w:rsid w:val="00602D74"/>
    <w:rsid w:val="00616318"/>
    <w:rsid w:val="00620105"/>
    <w:rsid w:val="0062184C"/>
    <w:rsid w:val="006234FB"/>
    <w:rsid w:val="006236FD"/>
    <w:rsid w:val="006241DC"/>
    <w:rsid w:val="0062442F"/>
    <w:rsid w:val="006267EB"/>
    <w:rsid w:val="00627421"/>
    <w:rsid w:val="00633B03"/>
    <w:rsid w:val="00634D6F"/>
    <w:rsid w:val="006376B7"/>
    <w:rsid w:val="006476DB"/>
    <w:rsid w:val="0065316F"/>
    <w:rsid w:val="00653446"/>
    <w:rsid w:val="0066039A"/>
    <w:rsid w:val="00660ECD"/>
    <w:rsid w:val="006618AE"/>
    <w:rsid w:val="00666635"/>
    <w:rsid w:val="0067161B"/>
    <w:rsid w:val="006770B7"/>
    <w:rsid w:val="006818E4"/>
    <w:rsid w:val="00686121"/>
    <w:rsid w:val="00692214"/>
    <w:rsid w:val="006932C5"/>
    <w:rsid w:val="00693A0B"/>
    <w:rsid w:val="006A063A"/>
    <w:rsid w:val="006A309D"/>
    <w:rsid w:val="006A3984"/>
    <w:rsid w:val="006C230F"/>
    <w:rsid w:val="006D4073"/>
    <w:rsid w:val="006D75B6"/>
    <w:rsid w:val="006E16AC"/>
    <w:rsid w:val="006E35FA"/>
    <w:rsid w:val="006E3AE8"/>
    <w:rsid w:val="006F045F"/>
    <w:rsid w:val="006F0641"/>
    <w:rsid w:val="006F3500"/>
    <w:rsid w:val="006F6980"/>
    <w:rsid w:val="00702D3C"/>
    <w:rsid w:val="007101D7"/>
    <w:rsid w:val="00713BFC"/>
    <w:rsid w:val="007140BC"/>
    <w:rsid w:val="00716157"/>
    <w:rsid w:val="00720B53"/>
    <w:rsid w:val="00721884"/>
    <w:rsid w:val="00722D63"/>
    <w:rsid w:val="007265F2"/>
    <w:rsid w:val="00726E9D"/>
    <w:rsid w:val="00730A18"/>
    <w:rsid w:val="00732C8E"/>
    <w:rsid w:val="00733AEE"/>
    <w:rsid w:val="00734F4B"/>
    <w:rsid w:val="0073708A"/>
    <w:rsid w:val="00742103"/>
    <w:rsid w:val="00751C4D"/>
    <w:rsid w:val="00753F9E"/>
    <w:rsid w:val="00755FA5"/>
    <w:rsid w:val="007606EE"/>
    <w:rsid w:val="00763575"/>
    <w:rsid w:val="0077659B"/>
    <w:rsid w:val="00776EF1"/>
    <w:rsid w:val="00777390"/>
    <w:rsid w:val="00782161"/>
    <w:rsid w:val="00786C94"/>
    <w:rsid w:val="00795163"/>
    <w:rsid w:val="007B5D0D"/>
    <w:rsid w:val="007C5174"/>
    <w:rsid w:val="007E491A"/>
    <w:rsid w:val="007F4F36"/>
    <w:rsid w:val="007F7B76"/>
    <w:rsid w:val="007F7F1E"/>
    <w:rsid w:val="00803A18"/>
    <w:rsid w:val="00805393"/>
    <w:rsid w:val="00806B5D"/>
    <w:rsid w:val="008122F1"/>
    <w:rsid w:val="00821A8D"/>
    <w:rsid w:val="00822E7E"/>
    <w:rsid w:val="008300EC"/>
    <w:rsid w:val="00830802"/>
    <w:rsid w:val="00832A6D"/>
    <w:rsid w:val="008350CA"/>
    <w:rsid w:val="0083516C"/>
    <w:rsid w:val="00835719"/>
    <w:rsid w:val="00847F76"/>
    <w:rsid w:val="00852208"/>
    <w:rsid w:val="008530F0"/>
    <w:rsid w:val="00853A42"/>
    <w:rsid w:val="008560C8"/>
    <w:rsid w:val="00856A3B"/>
    <w:rsid w:val="00866DE9"/>
    <w:rsid w:val="008706A8"/>
    <w:rsid w:val="00872815"/>
    <w:rsid w:val="00877EB3"/>
    <w:rsid w:val="00880731"/>
    <w:rsid w:val="00882F2D"/>
    <w:rsid w:val="00895323"/>
    <w:rsid w:val="008962C8"/>
    <w:rsid w:val="008970A1"/>
    <w:rsid w:val="00897B31"/>
    <w:rsid w:val="008A11FA"/>
    <w:rsid w:val="008A1394"/>
    <w:rsid w:val="008A2296"/>
    <w:rsid w:val="008A2C3E"/>
    <w:rsid w:val="008A6BF5"/>
    <w:rsid w:val="008C0060"/>
    <w:rsid w:val="008C3E9C"/>
    <w:rsid w:val="008C517A"/>
    <w:rsid w:val="008C7C7B"/>
    <w:rsid w:val="008D0815"/>
    <w:rsid w:val="008D4A2E"/>
    <w:rsid w:val="008D6471"/>
    <w:rsid w:val="008D6607"/>
    <w:rsid w:val="008E440C"/>
    <w:rsid w:val="008F0BF5"/>
    <w:rsid w:val="0090552B"/>
    <w:rsid w:val="009078B1"/>
    <w:rsid w:val="009139BE"/>
    <w:rsid w:val="00920FD2"/>
    <w:rsid w:val="00927667"/>
    <w:rsid w:val="0093085B"/>
    <w:rsid w:val="00931810"/>
    <w:rsid w:val="0093663F"/>
    <w:rsid w:val="00937540"/>
    <w:rsid w:val="00941F21"/>
    <w:rsid w:val="00951672"/>
    <w:rsid w:val="00951A37"/>
    <w:rsid w:val="00952148"/>
    <w:rsid w:val="00953E11"/>
    <w:rsid w:val="00956923"/>
    <w:rsid w:val="009572AA"/>
    <w:rsid w:val="00957D88"/>
    <w:rsid w:val="0097654E"/>
    <w:rsid w:val="009774D9"/>
    <w:rsid w:val="009816B7"/>
    <w:rsid w:val="009823EB"/>
    <w:rsid w:val="009829E7"/>
    <w:rsid w:val="0098584D"/>
    <w:rsid w:val="0099191E"/>
    <w:rsid w:val="00992543"/>
    <w:rsid w:val="00993B89"/>
    <w:rsid w:val="009950B5"/>
    <w:rsid w:val="00995F70"/>
    <w:rsid w:val="009A12F0"/>
    <w:rsid w:val="009A3BB2"/>
    <w:rsid w:val="009A3D37"/>
    <w:rsid w:val="009B0B91"/>
    <w:rsid w:val="009B3D30"/>
    <w:rsid w:val="009C0399"/>
    <w:rsid w:val="009C344C"/>
    <w:rsid w:val="009C3ACA"/>
    <w:rsid w:val="009D3D0C"/>
    <w:rsid w:val="009D645F"/>
    <w:rsid w:val="009D6EDF"/>
    <w:rsid w:val="009D7E3B"/>
    <w:rsid w:val="009E7F15"/>
    <w:rsid w:val="009F0664"/>
    <w:rsid w:val="009F52AE"/>
    <w:rsid w:val="009F7885"/>
    <w:rsid w:val="009F7F4A"/>
    <w:rsid w:val="00A0040C"/>
    <w:rsid w:val="00A005DF"/>
    <w:rsid w:val="00A036ED"/>
    <w:rsid w:val="00A11A18"/>
    <w:rsid w:val="00A21810"/>
    <w:rsid w:val="00A3339A"/>
    <w:rsid w:val="00A3667A"/>
    <w:rsid w:val="00A37EBE"/>
    <w:rsid w:val="00A40E4C"/>
    <w:rsid w:val="00A57AD6"/>
    <w:rsid w:val="00A60CDA"/>
    <w:rsid w:val="00A63D5F"/>
    <w:rsid w:val="00A65FF1"/>
    <w:rsid w:val="00A67193"/>
    <w:rsid w:val="00A67ED8"/>
    <w:rsid w:val="00A741EF"/>
    <w:rsid w:val="00A7676D"/>
    <w:rsid w:val="00A82A9E"/>
    <w:rsid w:val="00A96B1F"/>
    <w:rsid w:val="00A97DA6"/>
    <w:rsid w:val="00AA08EF"/>
    <w:rsid w:val="00AA3D75"/>
    <w:rsid w:val="00AB1DAF"/>
    <w:rsid w:val="00AB7740"/>
    <w:rsid w:val="00AC0648"/>
    <w:rsid w:val="00AC1547"/>
    <w:rsid w:val="00AC3683"/>
    <w:rsid w:val="00AD23ED"/>
    <w:rsid w:val="00AD2680"/>
    <w:rsid w:val="00AD2D31"/>
    <w:rsid w:val="00AE4D31"/>
    <w:rsid w:val="00AF3F94"/>
    <w:rsid w:val="00AF417A"/>
    <w:rsid w:val="00AF5B7F"/>
    <w:rsid w:val="00AF6C67"/>
    <w:rsid w:val="00B00D24"/>
    <w:rsid w:val="00B01EFF"/>
    <w:rsid w:val="00B16219"/>
    <w:rsid w:val="00B179F3"/>
    <w:rsid w:val="00B249B8"/>
    <w:rsid w:val="00B3327A"/>
    <w:rsid w:val="00B33E98"/>
    <w:rsid w:val="00B44BE0"/>
    <w:rsid w:val="00B45A88"/>
    <w:rsid w:val="00B52287"/>
    <w:rsid w:val="00B52873"/>
    <w:rsid w:val="00B53EB7"/>
    <w:rsid w:val="00B60406"/>
    <w:rsid w:val="00B62BBC"/>
    <w:rsid w:val="00B65368"/>
    <w:rsid w:val="00B66DF8"/>
    <w:rsid w:val="00B71105"/>
    <w:rsid w:val="00B721BA"/>
    <w:rsid w:val="00B722C6"/>
    <w:rsid w:val="00B72C0E"/>
    <w:rsid w:val="00B76296"/>
    <w:rsid w:val="00B7758A"/>
    <w:rsid w:val="00B80666"/>
    <w:rsid w:val="00B867A7"/>
    <w:rsid w:val="00B91A31"/>
    <w:rsid w:val="00B97C52"/>
    <w:rsid w:val="00BA094F"/>
    <w:rsid w:val="00BA2BE9"/>
    <w:rsid w:val="00BA37B3"/>
    <w:rsid w:val="00BB7AD2"/>
    <w:rsid w:val="00BC1031"/>
    <w:rsid w:val="00BC6F39"/>
    <w:rsid w:val="00BD20FC"/>
    <w:rsid w:val="00BD6AE8"/>
    <w:rsid w:val="00BE0E12"/>
    <w:rsid w:val="00BE5F36"/>
    <w:rsid w:val="00BF27E4"/>
    <w:rsid w:val="00BF48A9"/>
    <w:rsid w:val="00C068F5"/>
    <w:rsid w:val="00C075D3"/>
    <w:rsid w:val="00C13601"/>
    <w:rsid w:val="00C1760D"/>
    <w:rsid w:val="00C2217F"/>
    <w:rsid w:val="00C300FF"/>
    <w:rsid w:val="00C316FD"/>
    <w:rsid w:val="00C342BB"/>
    <w:rsid w:val="00C3635C"/>
    <w:rsid w:val="00C4270A"/>
    <w:rsid w:val="00C45466"/>
    <w:rsid w:val="00C537AF"/>
    <w:rsid w:val="00C56823"/>
    <w:rsid w:val="00C56D0D"/>
    <w:rsid w:val="00C5766E"/>
    <w:rsid w:val="00C57980"/>
    <w:rsid w:val="00C615E3"/>
    <w:rsid w:val="00C61AD2"/>
    <w:rsid w:val="00C6556B"/>
    <w:rsid w:val="00C6589E"/>
    <w:rsid w:val="00C74C83"/>
    <w:rsid w:val="00C74FD5"/>
    <w:rsid w:val="00C9057C"/>
    <w:rsid w:val="00C959EE"/>
    <w:rsid w:val="00C9684E"/>
    <w:rsid w:val="00CA0A4F"/>
    <w:rsid w:val="00CA2C29"/>
    <w:rsid w:val="00CA2DEF"/>
    <w:rsid w:val="00CA3E5D"/>
    <w:rsid w:val="00CA3F29"/>
    <w:rsid w:val="00CA4EEE"/>
    <w:rsid w:val="00CA5AEC"/>
    <w:rsid w:val="00CA6B02"/>
    <w:rsid w:val="00CA7C88"/>
    <w:rsid w:val="00CC113A"/>
    <w:rsid w:val="00CC28ED"/>
    <w:rsid w:val="00CC7791"/>
    <w:rsid w:val="00CD03F3"/>
    <w:rsid w:val="00CD0EA9"/>
    <w:rsid w:val="00CD3AE6"/>
    <w:rsid w:val="00CD3D7C"/>
    <w:rsid w:val="00CE0D61"/>
    <w:rsid w:val="00CE43F9"/>
    <w:rsid w:val="00CF0C80"/>
    <w:rsid w:val="00CF1040"/>
    <w:rsid w:val="00CF4EB9"/>
    <w:rsid w:val="00CF7F44"/>
    <w:rsid w:val="00D030CE"/>
    <w:rsid w:val="00D042BA"/>
    <w:rsid w:val="00D32127"/>
    <w:rsid w:val="00D359F5"/>
    <w:rsid w:val="00D3675B"/>
    <w:rsid w:val="00D50642"/>
    <w:rsid w:val="00D574EF"/>
    <w:rsid w:val="00D621DA"/>
    <w:rsid w:val="00D71AD5"/>
    <w:rsid w:val="00D87807"/>
    <w:rsid w:val="00D90867"/>
    <w:rsid w:val="00D9086E"/>
    <w:rsid w:val="00D90A96"/>
    <w:rsid w:val="00D96440"/>
    <w:rsid w:val="00D97B75"/>
    <w:rsid w:val="00DA7BF2"/>
    <w:rsid w:val="00DB54BE"/>
    <w:rsid w:val="00DC12EF"/>
    <w:rsid w:val="00DC1BA2"/>
    <w:rsid w:val="00DD19A9"/>
    <w:rsid w:val="00DD64D6"/>
    <w:rsid w:val="00DD77DD"/>
    <w:rsid w:val="00DE1299"/>
    <w:rsid w:val="00DE18FB"/>
    <w:rsid w:val="00DE437E"/>
    <w:rsid w:val="00DE54B3"/>
    <w:rsid w:val="00DE594A"/>
    <w:rsid w:val="00DF3132"/>
    <w:rsid w:val="00E047E7"/>
    <w:rsid w:val="00E06DF7"/>
    <w:rsid w:val="00E15381"/>
    <w:rsid w:val="00E239ED"/>
    <w:rsid w:val="00E26721"/>
    <w:rsid w:val="00E36A1B"/>
    <w:rsid w:val="00E37AD5"/>
    <w:rsid w:val="00E5206A"/>
    <w:rsid w:val="00E54B5E"/>
    <w:rsid w:val="00E60AC7"/>
    <w:rsid w:val="00E646A7"/>
    <w:rsid w:val="00E64BA5"/>
    <w:rsid w:val="00E66BBF"/>
    <w:rsid w:val="00E720B9"/>
    <w:rsid w:val="00E721D2"/>
    <w:rsid w:val="00E72DD9"/>
    <w:rsid w:val="00E80075"/>
    <w:rsid w:val="00E86806"/>
    <w:rsid w:val="00ED4A36"/>
    <w:rsid w:val="00EE0862"/>
    <w:rsid w:val="00EE0C7D"/>
    <w:rsid w:val="00EE1B5A"/>
    <w:rsid w:val="00EE2FC6"/>
    <w:rsid w:val="00EE3AAC"/>
    <w:rsid w:val="00EE6233"/>
    <w:rsid w:val="00EF1716"/>
    <w:rsid w:val="00EF3AE3"/>
    <w:rsid w:val="00EF3B21"/>
    <w:rsid w:val="00EF5559"/>
    <w:rsid w:val="00F06E04"/>
    <w:rsid w:val="00F14DC6"/>
    <w:rsid w:val="00F207DE"/>
    <w:rsid w:val="00F23407"/>
    <w:rsid w:val="00F25774"/>
    <w:rsid w:val="00F2700C"/>
    <w:rsid w:val="00F346DD"/>
    <w:rsid w:val="00F34837"/>
    <w:rsid w:val="00F4058E"/>
    <w:rsid w:val="00F444CC"/>
    <w:rsid w:val="00F52166"/>
    <w:rsid w:val="00F52DDD"/>
    <w:rsid w:val="00F5389C"/>
    <w:rsid w:val="00F55033"/>
    <w:rsid w:val="00F576E6"/>
    <w:rsid w:val="00F617BE"/>
    <w:rsid w:val="00F724F7"/>
    <w:rsid w:val="00F74FBF"/>
    <w:rsid w:val="00F77D1B"/>
    <w:rsid w:val="00F8362E"/>
    <w:rsid w:val="00F83BF0"/>
    <w:rsid w:val="00F90678"/>
    <w:rsid w:val="00F9448D"/>
    <w:rsid w:val="00F97ED3"/>
    <w:rsid w:val="00FA3FBE"/>
    <w:rsid w:val="00FA5250"/>
    <w:rsid w:val="00FB10B7"/>
    <w:rsid w:val="00FB174B"/>
    <w:rsid w:val="00FB6D82"/>
    <w:rsid w:val="00FC1758"/>
    <w:rsid w:val="00FC71F3"/>
    <w:rsid w:val="00FC7A87"/>
    <w:rsid w:val="00FD0FE9"/>
    <w:rsid w:val="00FD4BD7"/>
    <w:rsid w:val="00FD782D"/>
    <w:rsid w:val="00FD791E"/>
    <w:rsid w:val="00FE34C8"/>
    <w:rsid w:val="00FE6289"/>
    <w:rsid w:val="00FF14F5"/>
    <w:rsid w:val="00FF3996"/>
    <w:rsid w:val="00FF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DED4A24-11A6-4EB8-ACF5-4D07433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575"/>
    <w:pPr>
      <w:jc w:val="both"/>
    </w:pPr>
    <w:rPr>
      <w:sz w:val="22"/>
      <w:szCs w:val="22"/>
      <w:lang w:val="lt-LT" w:eastAsia="en-US"/>
    </w:rPr>
  </w:style>
  <w:style w:type="paragraph" w:styleId="Antrat2">
    <w:name w:val="heading 2"/>
    <w:basedOn w:val="prastasis"/>
    <w:next w:val="prastasis"/>
    <w:link w:val="Antrat2Diagrama"/>
    <w:uiPriority w:val="9"/>
    <w:semiHidden/>
    <w:unhideWhenUsed/>
    <w:qFormat/>
    <w:rsid w:val="009D7E3B"/>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6">
    <w:name w:val="heading 6"/>
    <w:basedOn w:val="prastasis"/>
    <w:next w:val="prastasis"/>
    <w:link w:val="Antrat6Diagrama"/>
    <w:uiPriority w:val="9"/>
    <w:semiHidden/>
    <w:unhideWhenUsed/>
    <w:qFormat/>
    <w:rsid w:val="002004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bdr w:val="none" w:sz="0" w:space="0" w:color="auto"/>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pPr>
      <w:outlineLvl w:val="0"/>
    </w:pPr>
    <w:rPr>
      <w:rFonts w:cs="Arial Unicode MS"/>
      <w:b/>
      <w:bCs/>
      <w:caps/>
      <w:color w:val="444444"/>
      <w:spacing w:val="3"/>
      <w:sz w:val="22"/>
      <w:szCs w:val="22"/>
      <w:u w:color="444444"/>
      <w:lang w:val="en-US"/>
    </w:rPr>
  </w:style>
  <w:style w:type="paragraph" w:customStyle="1" w:styleId="Body2">
    <w:name w:val="Body 2"/>
    <w:pPr>
      <w:suppressAutoHyphens/>
      <w:spacing w:after="40"/>
      <w:jc w:val="both"/>
    </w:pPr>
    <w:rPr>
      <w:rFonts w:cs="Arial Unicode MS"/>
      <w:color w:val="000000"/>
      <w:sz w:val="22"/>
      <w:szCs w:val="22"/>
      <w:u w:color="000000"/>
      <w:lang w:val="en-US"/>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207E8C"/>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Antrat">
    <w:name w:val="caption"/>
    <w:basedOn w:val="prastasis"/>
    <w:next w:val="prastasis"/>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Numatytasispastraiposriftas"/>
    <w:rsid w:val="009E7F15"/>
  </w:style>
  <w:style w:type="paragraph" w:styleId="Sraopastraipa">
    <w:name w:val="List Paragraph"/>
    <w:basedOn w:val="prastasis"/>
    <w:uiPriority w:val="34"/>
    <w:qFormat/>
    <w:rsid w:val="00686121"/>
    <w:pPr>
      <w:ind w:left="720"/>
      <w:contextualSpacing/>
    </w:pPr>
  </w:style>
  <w:style w:type="character" w:customStyle="1" w:styleId="Antrat6Diagrama">
    <w:name w:val="Antraštė 6 Diagrama"/>
    <w:basedOn w:val="Numatytasispastraiposriftas"/>
    <w:link w:val="Antrat6"/>
    <w:uiPriority w:val="9"/>
    <w:semiHidden/>
    <w:rsid w:val="0020048C"/>
    <w:rPr>
      <w:rFonts w:asciiTheme="minorHAnsi" w:eastAsiaTheme="majorEastAsia" w:hAnsiTheme="minorHAnsi" w:cstheme="majorBidi"/>
      <w:i/>
      <w:iCs/>
      <w:color w:val="595959" w:themeColor="text1" w:themeTint="A6"/>
      <w:kern w:val="2"/>
      <w:sz w:val="24"/>
      <w:szCs w:val="24"/>
      <w:bdr w:val="none" w:sz="0" w:space="0" w:color="auto"/>
      <w:lang w:val="en-US" w:eastAsia="en-US"/>
    </w:rPr>
  </w:style>
  <w:style w:type="character" w:customStyle="1" w:styleId="Antrat2Diagrama">
    <w:name w:val="Antraštė 2 Diagrama"/>
    <w:basedOn w:val="Numatytasispastraiposriftas"/>
    <w:link w:val="Antrat2"/>
    <w:uiPriority w:val="9"/>
    <w:semiHidden/>
    <w:rsid w:val="009D7E3B"/>
    <w:rPr>
      <w:rFonts w:asciiTheme="majorHAnsi" w:eastAsiaTheme="majorEastAsia" w:hAnsiTheme="majorHAnsi" w:cstheme="majorBidi"/>
      <w:color w:val="4C96AD" w:themeColor="accent1" w:themeShade="BF"/>
      <w:sz w:val="26"/>
      <w:szCs w:val="2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238893</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897DB-37A4-4B0E-AE65-7B72BFEBC633}">
  <ds:schemaRefs>
    <ds:schemaRef ds:uri="http://schemas.openxmlformats.org/officeDocument/2006/bibliography"/>
  </ds:schemaRefs>
</ds:datastoreItem>
</file>

<file path=customXml/itemProps2.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8F4FA3F-B0DF-4FBD-B77F-1EFA04DA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24E91-D781-4920-A0D0-65DFE3DAC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8898</Words>
  <Characters>5073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REIKALAVIMAI/VADYBOS SISTEMOS STANDARTŲ REIKALAVIMAI TIEKĖJUI</vt:lpstr>
      <vt:lpstr>KVALIFIKACIJOS REIKALAVIMAI/VADYBOS SISTEMOS STANDARTŲ REIKALAVIMAI TIEKĖJUI</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REIKALAVIMAI/VADYBOS SISTEMOS STANDARTŲ REIKALAVIMAI TIEKĖJUI</dc:title>
  <dc:subject/>
  <dc:creator>Giedrė Jatulevičienė</dc:creator>
  <cp:keywords/>
  <dc:description/>
  <cp:lastModifiedBy>Jurininku ligoninine</cp:lastModifiedBy>
  <cp:revision>6</cp:revision>
  <dcterms:created xsi:type="dcterms:W3CDTF">2025-02-19T15:05:00Z</dcterms:created>
  <dcterms:modified xsi:type="dcterms:W3CDTF">2025-02-20T12:13:00Z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DmsPermissionsUsers">
    <vt:lpwstr>1073741823;#Sistemos abonementas;#864;#Renata Narmontienė;#752;#Vaida Tvarijonienė;#790;#Lina Christoforovienė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