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0088" w14:textId="01AFF09A" w:rsidR="00DD0E1E" w:rsidRPr="008C44F3" w:rsidRDefault="00DD0E1E" w:rsidP="00DD0E1E">
      <w:pPr>
        <w:pStyle w:val="Header"/>
        <w:ind w:right="672"/>
        <w:jc w:val="right"/>
        <w:rPr>
          <w:rFonts w:ascii="Times New Roman" w:hAnsi="Times New Roman" w:cs="Times New Roman"/>
          <w:sz w:val="20"/>
          <w:szCs w:val="20"/>
        </w:rPr>
      </w:pPr>
      <w:r w:rsidRPr="00BD38DE">
        <w:rPr>
          <w:rFonts w:ascii="Times New Roman" w:hAnsi="Times New Roman" w:cs="Times New Roman"/>
          <w:sz w:val="20"/>
          <w:szCs w:val="20"/>
        </w:rPr>
        <w:t>20</w:t>
      </w:r>
      <w:r>
        <w:rPr>
          <w:rFonts w:ascii="Times New Roman" w:hAnsi="Times New Roman" w:cs="Times New Roman"/>
          <w:sz w:val="20"/>
          <w:szCs w:val="20"/>
        </w:rPr>
        <w:t>2</w:t>
      </w:r>
      <w:r w:rsidR="00155F3B">
        <w:rPr>
          <w:rFonts w:ascii="Times New Roman" w:hAnsi="Times New Roman" w:cs="Times New Roman"/>
          <w:sz w:val="20"/>
          <w:szCs w:val="20"/>
        </w:rPr>
        <w:t>2</w:t>
      </w:r>
      <w:r w:rsidRPr="00BD38DE">
        <w:rPr>
          <w:rFonts w:ascii="Times New Roman" w:hAnsi="Times New Roman" w:cs="Times New Roman"/>
          <w:sz w:val="20"/>
          <w:szCs w:val="20"/>
        </w:rPr>
        <w:t xml:space="preserve"> m. </w:t>
      </w:r>
      <w:r w:rsidR="00C513B9">
        <w:rPr>
          <w:rFonts w:ascii="Times New Roman" w:hAnsi="Times New Roman" w:cs="Times New Roman"/>
          <w:sz w:val="20"/>
          <w:szCs w:val="20"/>
        </w:rPr>
        <w:t>birželio</w:t>
      </w:r>
      <w:r w:rsidR="00155F3B">
        <w:rPr>
          <w:rFonts w:ascii="Times New Roman" w:hAnsi="Times New Roman" w:cs="Times New Roman"/>
          <w:sz w:val="20"/>
          <w:szCs w:val="20"/>
        </w:rPr>
        <w:t xml:space="preserve"> </w:t>
      </w:r>
      <w:r w:rsidR="0090650B">
        <w:rPr>
          <w:rFonts w:ascii="Times New Roman" w:hAnsi="Times New Roman" w:cs="Times New Roman"/>
          <w:sz w:val="20"/>
          <w:szCs w:val="20"/>
        </w:rPr>
        <w:t>14</w:t>
      </w:r>
      <w:r w:rsidR="009D23C4" w:rsidRPr="008C44F3">
        <w:rPr>
          <w:rFonts w:ascii="Times New Roman" w:hAnsi="Times New Roman" w:cs="Times New Roman"/>
          <w:sz w:val="20"/>
          <w:szCs w:val="20"/>
        </w:rPr>
        <w:t xml:space="preserve"> </w:t>
      </w:r>
      <w:r w:rsidRPr="008C44F3">
        <w:rPr>
          <w:rFonts w:ascii="Times New Roman" w:hAnsi="Times New Roman" w:cs="Times New Roman"/>
          <w:sz w:val="20"/>
          <w:szCs w:val="20"/>
        </w:rPr>
        <w:t xml:space="preserve">d. </w:t>
      </w:r>
    </w:p>
    <w:p w14:paraId="539A073F" w14:textId="7A3A179D" w:rsidR="00DD0E1E" w:rsidRPr="00BD38DE" w:rsidRDefault="00DD0E1E" w:rsidP="00DD0E1E">
      <w:pPr>
        <w:pStyle w:val="Header"/>
        <w:ind w:right="672"/>
        <w:jc w:val="right"/>
        <w:rPr>
          <w:rFonts w:ascii="Times New Roman" w:hAnsi="Times New Roman" w:cs="Times New Roman"/>
          <w:sz w:val="20"/>
          <w:szCs w:val="20"/>
        </w:rPr>
      </w:pPr>
      <w:r w:rsidRPr="008C44F3">
        <w:rPr>
          <w:rFonts w:ascii="Times New Roman" w:hAnsi="Times New Roman" w:cs="Times New Roman"/>
          <w:sz w:val="20"/>
          <w:szCs w:val="20"/>
        </w:rPr>
        <w:t xml:space="preserve">Viešojo pirkimo komisijos protokolo Nr. </w:t>
      </w:r>
      <w:r w:rsidR="008C44F3">
        <w:rPr>
          <w:rFonts w:ascii="Times New Roman" w:hAnsi="Times New Roman" w:cs="Times New Roman"/>
          <w:sz w:val="20"/>
          <w:szCs w:val="20"/>
        </w:rPr>
        <w:t>2</w:t>
      </w:r>
    </w:p>
    <w:p w14:paraId="5714CB50" w14:textId="65A8DF2A" w:rsidR="00DD0E1E" w:rsidRPr="00BD38DE" w:rsidRDefault="00155F3B" w:rsidP="00DD0E1E">
      <w:pPr>
        <w:pStyle w:val="Header"/>
        <w:ind w:right="672"/>
        <w:jc w:val="right"/>
        <w:rPr>
          <w:rFonts w:ascii="Times New Roman" w:hAnsi="Times New Roman" w:cs="Times New Roman"/>
          <w:sz w:val="20"/>
          <w:szCs w:val="20"/>
        </w:rPr>
      </w:pPr>
      <w:r>
        <w:rPr>
          <w:rFonts w:ascii="Times New Roman" w:hAnsi="Times New Roman" w:cs="Times New Roman"/>
          <w:sz w:val="20"/>
          <w:szCs w:val="20"/>
        </w:rPr>
        <w:t>2</w:t>
      </w:r>
      <w:r w:rsidR="00DD0E1E" w:rsidRPr="00BD38DE">
        <w:rPr>
          <w:rFonts w:ascii="Times New Roman" w:hAnsi="Times New Roman" w:cs="Times New Roman"/>
          <w:sz w:val="20"/>
          <w:szCs w:val="20"/>
        </w:rPr>
        <w:t xml:space="preserve"> priedas</w:t>
      </w:r>
    </w:p>
    <w:p w14:paraId="4C05424A" w14:textId="77777777" w:rsidR="00DD0E1E" w:rsidRDefault="00DD0E1E" w:rsidP="00177756">
      <w:pPr>
        <w:spacing w:before="100" w:beforeAutospacing="1" w:after="100" w:afterAutospacing="1"/>
        <w:jc w:val="both"/>
        <w:rPr>
          <w:lang w:eastAsia="en-GB"/>
        </w:rPr>
      </w:pPr>
    </w:p>
    <w:p w14:paraId="1953D473" w14:textId="2083F0F5" w:rsidR="00177756" w:rsidRPr="00277DCB" w:rsidRDefault="00DD0E1E" w:rsidP="00177756">
      <w:pPr>
        <w:spacing w:before="100" w:beforeAutospacing="1" w:after="100" w:afterAutospacing="1"/>
        <w:jc w:val="both"/>
        <w:rPr>
          <w:b/>
          <w:bCs/>
          <w:lang w:eastAsia="en-GB"/>
        </w:rPr>
      </w:pPr>
      <w:r w:rsidRPr="00277DCB">
        <w:rPr>
          <w:b/>
          <w:bCs/>
          <w:lang w:eastAsia="en-GB"/>
        </w:rPr>
        <w:t>PIRKIMO S</w:t>
      </w:r>
      <w:r w:rsidR="00277DCB" w:rsidRPr="00277DCB">
        <w:rPr>
          <w:b/>
          <w:bCs/>
          <w:lang w:eastAsia="en-GB"/>
        </w:rPr>
        <w:t>Ą</w:t>
      </w:r>
      <w:r w:rsidRPr="00277DCB">
        <w:rPr>
          <w:b/>
          <w:bCs/>
          <w:lang w:eastAsia="en-GB"/>
        </w:rPr>
        <w:t>LYGŲ PATIKSLINIMAS</w:t>
      </w:r>
    </w:p>
    <w:p w14:paraId="46C5ED70" w14:textId="4B2FDAFE" w:rsidR="00B9534C" w:rsidRPr="00F62E22" w:rsidRDefault="00177756" w:rsidP="00E3714D">
      <w:pPr>
        <w:ind w:firstLine="720"/>
        <w:jc w:val="both"/>
        <w:rPr>
          <w:rStyle w:val="normaltextrun"/>
          <w:color w:val="FF0000"/>
        </w:rPr>
      </w:pPr>
      <w:r w:rsidRPr="00F62E22">
        <w:rPr>
          <w:lang w:eastAsia="en-GB"/>
        </w:rPr>
        <w:t>Viešojo pirkimo „</w:t>
      </w:r>
      <w:r w:rsidR="00C513B9">
        <w:rPr>
          <w:lang w:eastAsia="en-GB"/>
        </w:rPr>
        <w:t>Civilinės saugos priemonių</w:t>
      </w:r>
      <w:r w:rsidRPr="00F62E22">
        <w:rPr>
          <w:lang w:eastAsia="en-GB"/>
        </w:rPr>
        <w:t xml:space="preserve"> užsakymai per CPO LT elektroninį katalogą“, kuris vykdomas taikant dinaminę pirkimų sistemą (toliau – DPS), pirkimo Nr.</w:t>
      </w:r>
      <w:r w:rsidR="00C513B9">
        <w:rPr>
          <w:lang w:eastAsia="en-GB"/>
        </w:rPr>
        <w:t>605577</w:t>
      </w:r>
      <w:r w:rsidR="0038177F">
        <w:rPr>
          <w:lang w:eastAsia="en-GB"/>
        </w:rPr>
        <w:t xml:space="preserve"> </w:t>
      </w:r>
      <w:r w:rsidR="0038177F" w:rsidRPr="00F62E22">
        <w:rPr>
          <w:lang w:eastAsia="en-GB"/>
        </w:rPr>
        <w:t xml:space="preserve">(toliau – </w:t>
      </w:r>
      <w:r w:rsidR="0038177F">
        <w:rPr>
          <w:lang w:eastAsia="en-GB"/>
        </w:rPr>
        <w:t>p</w:t>
      </w:r>
      <w:r w:rsidR="0038177F" w:rsidRPr="00F62E22">
        <w:rPr>
          <w:lang w:eastAsia="en-GB"/>
        </w:rPr>
        <w:t>irkimas)</w:t>
      </w:r>
      <w:r w:rsidRPr="00F62E22">
        <w:rPr>
          <w:lang w:eastAsia="en-GB"/>
        </w:rPr>
        <w:t xml:space="preserve">, </w:t>
      </w:r>
      <w:r w:rsidR="0088341A">
        <w:rPr>
          <w:lang w:eastAsia="en-GB"/>
        </w:rPr>
        <w:t>p</w:t>
      </w:r>
      <w:r w:rsidRPr="00F62E22">
        <w:rPr>
          <w:lang w:eastAsia="en-GB"/>
        </w:rPr>
        <w:t>irkimo dokumentų patikslinimas</w:t>
      </w:r>
      <w:r w:rsidR="00357841">
        <w:rPr>
          <w:lang w:eastAsia="en-GB"/>
        </w:rPr>
        <w:t xml:space="preserve"> </w:t>
      </w:r>
      <w:r w:rsidR="00E3714D">
        <w:rPr>
          <w:color w:val="000000"/>
        </w:rPr>
        <w:t>CPO LT</w:t>
      </w:r>
      <w:r w:rsidR="0088341A" w:rsidRPr="00357841">
        <w:rPr>
          <w:color w:val="000000"/>
        </w:rPr>
        <w:t xml:space="preserve"> iniciatyva</w:t>
      </w:r>
      <w:r w:rsidR="00E3714D">
        <w:rPr>
          <w:lang w:eastAsia="en-GB"/>
        </w:rPr>
        <w:t xml:space="preserve">. </w:t>
      </w:r>
      <w:r w:rsidR="0088341A">
        <w:rPr>
          <w:color w:val="000000"/>
        </w:rPr>
        <w:t>Pirkimo dokumentai tikslinami v</w:t>
      </w:r>
      <w:r w:rsidR="00357841" w:rsidRPr="00357841">
        <w:rPr>
          <w:color w:val="000000"/>
        </w:rPr>
        <w:t>adovaujantis pirkimo sąlygų A dalies „Nurodymai dalyviams“ 3.3 papunkčiu</w:t>
      </w:r>
      <w:r w:rsidR="0088341A">
        <w:rPr>
          <w:color w:val="000000"/>
        </w:rPr>
        <w:t xml:space="preserve"> </w:t>
      </w:r>
      <w:r w:rsidR="00AB7845" w:rsidRPr="00F62E22">
        <w:rPr>
          <w:bCs/>
        </w:rPr>
        <w:t>ir išdėstom</w:t>
      </w:r>
      <w:r w:rsidR="0088341A">
        <w:rPr>
          <w:bCs/>
        </w:rPr>
        <w:t>i</w:t>
      </w:r>
      <w:r w:rsidR="00AB7845" w:rsidRPr="00F62E22">
        <w:rPr>
          <w:bCs/>
        </w:rPr>
        <w:t xml:space="preserve"> sekančiai</w:t>
      </w:r>
      <w:r w:rsidR="00FD3658" w:rsidRPr="00F62E22">
        <w:rPr>
          <w:rStyle w:val="normaltextru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816"/>
      </w:tblGrid>
      <w:tr w:rsidR="00586581" w:rsidRPr="00586581" w14:paraId="35D686F6" w14:textId="77777777" w:rsidTr="00CF7138">
        <w:tc>
          <w:tcPr>
            <w:tcW w:w="9628" w:type="dxa"/>
            <w:gridSpan w:val="2"/>
            <w:shd w:val="clear" w:color="auto" w:fill="auto"/>
          </w:tcPr>
          <w:p w14:paraId="522A24E7" w14:textId="77777777" w:rsidR="00586581" w:rsidRPr="00586581" w:rsidRDefault="00586581" w:rsidP="00133147">
            <w:pPr>
              <w:widowControl w:val="0"/>
              <w:contextualSpacing/>
              <w:jc w:val="center"/>
              <w:rPr>
                <w:color w:val="000000"/>
              </w:rPr>
            </w:pPr>
            <w:bookmarkStart w:id="0" w:name="_Hlk65241979"/>
            <w:r w:rsidRPr="00586581">
              <w:rPr>
                <w:b/>
                <w:bCs/>
                <w:color w:val="000000"/>
              </w:rPr>
              <w:t>A dalis „Nurodymai dalyviams</w:t>
            </w:r>
            <w:r w:rsidRPr="00586581">
              <w:rPr>
                <w:b/>
                <w:bCs/>
              </w:rPr>
              <w:t>“</w:t>
            </w:r>
          </w:p>
        </w:tc>
      </w:tr>
      <w:tr w:rsidR="00586581" w:rsidRPr="00586581" w14:paraId="765F7969" w14:textId="77777777" w:rsidTr="00CF7138">
        <w:tc>
          <w:tcPr>
            <w:tcW w:w="4812" w:type="dxa"/>
            <w:shd w:val="clear" w:color="auto" w:fill="auto"/>
          </w:tcPr>
          <w:p w14:paraId="02046B6E" w14:textId="4D26BA2E" w:rsidR="00586581" w:rsidRPr="00586581" w:rsidRDefault="00277CF2" w:rsidP="00133147">
            <w:pPr>
              <w:widowControl w:val="0"/>
              <w:contextualSpacing/>
              <w:jc w:val="both"/>
              <w:rPr>
                <w:color w:val="000000"/>
              </w:rPr>
            </w:pPr>
            <w:r>
              <w:rPr>
                <w:color w:val="000000"/>
              </w:rPr>
              <w:t xml:space="preserve">Tikslinama </w:t>
            </w:r>
            <w:r w:rsidR="00A81677">
              <w:rPr>
                <w:color w:val="000000"/>
              </w:rPr>
              <w:t>vieta</w:t>
            </w:r>
          </w:p>
        </w:tc>
        <w:tc>
          <w:tcPr>
            <w:tcW w:w="4816" w:type="dxa"/>
            <w:shd w:val="clear" w:color="auto" w:fill="auto"/>
          </w:tcPr>
          <w:p w14:paraId="7E9A0930" w14:textId="77777777" w:rsidR="00586581" w:rsidRPr="00586581" w:rsidRDefault="00586581" w:rsidP="00133147">
            <w:pPr>
              <w:widowControl w:val="0"/>
              <w:contextualSpacing/>
              <w:jc w:val="both"/>
              <w:rPr>
                <w:color w:val="000000"/>
              </w:rPr>
            </w:pPr>
            <w:r w:rsidRPr="00586581">
              <w:rPr>
                <w:color w:val="000000"/>
              </w:rPr>
              <w:t>Po patikslinimo</w:t>
            </w:r>
          </w:p>
        </w:tc>
      </w:tr>
      <w:tr w:rsidR="00586581" w:rsidRPr="00586581" w14:paraId="589B95E6" w14:textId="77777777" w:rsidTr="00CF7138">
        <w:tc>
          <w:tcPr>
            <w:tcW w:w="4812" w:type="dxa"/>
            <w:shd w:val="clear" w:color="auto" w:fill="auto"/>
          </w:tcPr>
          <w:p w14:paraId="1830C361" w14:textId="15326620" w:rsidR="00DB4608" w:rsidRPr="00686B1E" w:rsidRDefault="00FA2A9F" w:rsidP="00133147">
            <w:pPr>
              <w:jc w:val="both"/>
            </w:pPr>
            <w:r w:rsidRPr="002817E8">
              <w:rPr>
                <w:rStyle w:val="normaltextrun"/>
                <w:color w:val="000000"/>
              </w:rPr>
              <w:t>Vadovaujantis Įstatymo 50 straipsnio 7 dalimi, Perkančioji organizacija neturi reikalauti iš tiekėjo pateikti dokumentų, patvirtinančių jo pašalinimo pagrindų nebuvimą, atitiktį kvalifikacijos reikalavimams, jeigu ji turi galimybę susipažinti su šiais dokumentais ar informacija tiesiogiai ir neatlygintinai prisijungusi prie nacionalinės duomenų bazės bet kurioje valstybėje narėje arba naudodamasi Centrinės viešųjų pirkimų informacinės sistemos priemonėmis</w:t>
            </w:r>
            <w:r>
              <w:rPr>
                <w:rStyle w:val="normaltextrun"/>
                <w:color w:val="000000"/>
              </w:rPr>
              <w:t xml:space="preserve">, todėl tikslinama </w:t>
            </w:r>
            <w:r w:rsidRPr="002817E8">
              <w:rPr>
                <w:rStyle w:val="normaltextrun"/>
                <w:color w:val="000000"/>
              </w:rPr>
              <w:t>Pirkimo dokumentų A dalies 1 priede „</w:t>
            </w:r>
            <w:r w:rsidRPr="002817E8">
              <w:rPr>
                <w:rStyle w:val="normaltextrun"/>
                <w:i/>
                <w:iCs/>
                <w:color w:val="000000"/>
              </w:rPr>
              <w:t>Tiekėjų pašalinimo pagrindai</w:t>
            </w:r>
            <w:r w:rsidRPr="002817E8">
              <w:rPr>
                <w:rStyle w:val="normaltextrun"/>
                <w:color w:val="000000"/>
              </w:rPr>
              <w:t xml:space="preserve">“ 2 p. </w:t>
            </w:r>
            <w:r>
              <w:rPr>
                <w:rStyle w:val="normaltextrun"/>
                <w:color w:val="000000"/>
              </w:rPr>
              <w:t xml:space="preserve">reikalavimo </w:t>
            </w:r>
            <w:r w:rsidRPr="002817E8">
              <w:rPr>
                <w:rStyle w:val="normaltextrun"/>
                <w:color w:val="000000"/>
              </w:rPr>
              <w:t>„Dėl įsipareigojimų, susijusių su socialinio draudimo įmokomis“</w:t>
            </w:r>
            <w:r>
              <w:rPr>
                <w:rStyle w:val="normaltextrun"/>
                <w:color w:val="000000"/>
              </w:rPr>
              <w:t xml:space="preserve"> </w:t>
            </w:r>
            <w:r w:rsidRPr="002817E8">
              <w:rPr>
                <w:rStyle w:val="normaltextrun"/>
                <w:color w:val="000000"/>
              </w:rPr>
              <w:t>skilt</w:t>
            </w:r>
            <w:r>
              <w:rPr>
                <w:rStyle w:val="normaltextrun"/>
                <w:color w:val="000000"/>
              </w:rPr>
              <w:t>is</w:t>
            </w:r>
            <w:r w:rsidRPr="002817E8">
              <w:rPr>
                <w:rStyle w:val="normaltextrun"/>
                <w:color w:val="000000"/>
              </w:rPr>
              <w:t xml:space="preserve"> „Dokumentai, </w:t>
            </w:r>
            <w:r w:rsidRPr="002817E8">
              <w:t>kuriuos turi pateikti tiekėjas, siekiantis įrodyti jo pašalinimo pagrindų nebuvimą“</w:t>
            </w:r>
            <w:r>
              <w:t>.</w:t>
            </w:r>
          </w:p>
          <w:p w14:paraId="21C423E7" w14:textId="77777777" w:rsidR="00DB4608" w:rsidRPr="00686B1E" w:rsidRDefault="00DB4608" w:rsidP="00133147"/>
          <w:p w14:paraId="6D5E6DD6" w14:textId="6F487AF0" w:rsidR="00586581" w:rsidRPr="00586581" w:rsidRDefault="00586581" w:rsidP="00133147">
            <w:pPr>
              <w:widowControl w:val="0"/>
              <w:contextualSpacing/>
              <w:jc w:val="both"/>
            </w:pPr>
          </w:p>
          <w:p w14:paraId="5AA88A80" w14:textId="77777777" w:rsidR="00586581" w:rsidRPr="00586581" w:rsidRDefault="00586581" w:rsidP="00133147">
            <w:pPr>
              <w:widowControl w:val="0"/>
              <w:contextualSpacing/>
              <w:jc w:val="both"/>
              <w:rPr>
                <w:color w:val="000000"/>
              </w:rPr>
            </w:pPr>
          </w:p>
        </w:tc>
        <w:tc>
          <w:tcPr>
            <w:tcW w:w="4816" w:type="dxa"/>
            <w:shd w:val="clear" w:color="auto" w:fill="auto"/>
          </w:tcPr>
          <w:p w14:paraId="0B91F19E" w14:textId="2829754F" w:rsidR="00FA2A9F" w:rsidRPr="00FA2A9F" w:rsidRDefault="00FA2A9F" w:rsidP="00133147">
            <w:pPr>
              <w:widowControl w:val="0"/>
              <w:contextualSpacing/>
              <w:jc w:val="both"/>
              <w:rPr>
                <w:i/>
                <w:iCs/>
                <w:color w:val="000000"/>
              </w:rPr>
            </w:pPr>
            <w:r>
              <w:rPr>
                <w:color w:val="000000"/>
              </w:rPr>
              <w:t xml:space="preserve">Aktuali pirkimo dokumentų A dalies </w:t>
            </w:r>
            <w:r w:rsidRPr="00133F23">
              <w:rPr>
                <w:color w:val="000000"/>
              </w:rPr>
              <w:t>„Nurodymai dalyviams</w:t>
            </w:r>
            <w:r w:rsidRPr="00133F23">
              <w:t>“</w:t>
            </w:r>
            <w:r>
              <w:rPr>
                <w:b/>
                <w:bCs/>
              </w:rPr>
              <w:t xml:space="preserve"> </w:t>
            </w:r>
            <w:r>
              <w:rPr>
                <w:color w:val="000000"/>
              </w:rPr>
              <w:t xml:space="preserve">redakcija pridedama </w:t>
            </w:r>
            <w:r>
              <w:rPr>
                <w:i/>
                <w:iCs/>
                <w:color w:val="000000"/>
              </w:rPr>
              <w:t>(tikslinama vieta pažymėta).</w:t>
            </w:r>
          </w:p>
          <w:p w14:paraId="7F3A124A" w14:textId="77777777" w:rsidR="00FA2A9F" w:rsidRDefault="00FA2A9F" w:rsidP="00133147">
            <w:pPr>
              <w:widowControl w:val="0"/>
              <w:contextualSpacing/>
              <w:jc w:val="both"/>
            </w:pPr>
          </w:p>
          <w:p w14:paraId="66F4CE4F" w14:textId="77777777" w:rsidR="00586581" w:rsidRPr="00586581" w:rsidRDefault="00586581" w:rsidP="00621A12">
            <w:pPr>
              <w:jc w:val="both"/>
              <w:rPr>
                <w:color w:val="000000"/>
              </w:rPr>
            </w:pPr>
          </w:p>
        </w:tc>
      </w:tr>
      <w:tr w:rsidR="00586581" w:rsidRPr="00586581" w14:paraId="11D46E96" w14:textId="77777777" w:rsidTr="00CF7138">
        <w:tc>
          <w:tcPr>
            <w:tcW w:w="4812" w:type="dxa"/>
            <w:shd w:val="clear" w:color="auto" w:fill="auto"/>
          </w:tcPr>
          <w:p w14:paraId="63D2734A" w14:textId="6DB6B45E" w:rsidR="00586581" w:rsidRPr="0038177F" w:rsidRDefault="00271711" w:rsidP="00133147">
            <w:pPr>
              <w:tabs>
                <w:tab w:val="num" w:pos="630"/>
                <w:tab w:val="num" w:pos="720"/>
              </w:tabs>
              <w:ind w:firstLine="900"/>
              <w:jc w:val="both"/>
              <w:textAlignment w:val="baseline"/>
              <w:rPr>
                <w:color w:val="000000"/>
              </w:rPr>
            </w:pPr>
            <w:r w:rsidRPr="0077170B">
              <w:rPr>
                <w:rFonts w:eastAsia="Calibri"/>
              </w:rPr>
              <w:t xml:space="preserve">1 priede esančios lentelės Nr. 1 7 punkto papunkčiuose b ir c nustatyti pašalinimo pagrindai, tačiau nepateiktos nuorodos į informacijos šaltinius, kuriais </w:t>
            </w:r>
            <w:r>
              <w:rPr>
                <w:rFonts w:eastAsia="Calibri"/>
              </w:rPr>
              <w:t>vadovau</w:t>
            </w:r>
            <w:r w:rsidR="00087D8D">
              <w:rPr>
                <w:rFonts w:eastAsia="Calibri"/>
              </w:rPr>
              <w:t>jantis</w:t>
            </w:r>
            <w:r w:rsidRPr="0077170B">
              <w:rPr>
                <w:rFonts w:eastAsia="Calibri"/>
              </w:rPr>
              <w:t xml:space="preserve"> vertin</w:t>
            </w:r>
            <w:r w:rsidR="00087D8D">
              <w:rPr>
                <w:rFonts w:eastAsia="Calibri"/>
              </w:rPr>
              <w:t>ama a</w:t>
            </w:r>
            <w:r w:rsidRPr="0077170B">
              <w:rPr>
                <w:rFonts w:eastAsia="Calibri"/>
              </w:rPr>
              <w:t>titikt</w:t>
            </w:r>
            <w:r w:rsidR="00087D8D">
              <w:rPr>
                <w:rFonts w:eastAsia="Calibri"/>
              </w:rPr>
              <w:t>is</w:t>
            </w:r>
            <w:r w:rsidRPr="0077170B">
              <w:rPr>
                <w:rFonts w:eastAsia="Calibri"/>
              </w:rPr>
              <w:t xml:space="preserve"> nustatytiems reikalavimams</w:t>
            </w:r>
            <w:r>
              <w:t>, todėl tikslinama</w:t>
            </w:r>
            <w:r w:rsidR="00F14563">
              <w:t xml:space="preserve"> </w:t>
            </w:r>
            <w:r w:rsidR="00F14563" w:rsidRPr="00492F1C">
              <w:rPr>
                <w:rStyle w:val="normaltextrun"/>
                <w:color w:val="000000"/>
              </w:rPr>
              <w:t>Pirkimo dokumentų A dalies 1 priede</w:t>
            </w:r>
            <w:r w:rsidR="00F14563">
              <w:rPr>
                <w:rStyle w:val="normaltextrun"/>
                <w:color w:val="000000"/>
              </w:rPr>
              <w:t xml:space="preserve"> esančios lentelės</w:t>
            </w:r>
            <w:r w:rsidR="00F14563" w:rsidRPr="00492F1C">
              <w:rPr>
                <w:rStyle w:val="normaltextrun"/>
                <w:color w:val="000000"/>
              </w:rPr>
              <w:t xml:space="preserve"> „</w:t>
            </w:r>
            <w:r w:rsidR="00F14563" w:rsidRPr="00492F1C">
              <w:rPr>
                <w:rStyle w:val="normaltextrun"/>
                <w:i/>
                <w:iCs/>
                <w:color w:val="000000"/>
              </w:rPr>
              <w:t>Tiekėjų pašalinimo pagrindai</w:t>
            </w:r>
            <w:r w:rsidR="00F14563" w:rsidRPr="00492F1C">
              <w:rPr>
                <w:rStyle w:val="normaltextrun"/>
                <w:color w:val="000000"/>
              </w:rPr>
              <w:t xml:space="preserve">“ </w:t>
            </w:r>
            <w:r w:rsidR="00F14563">
              <w:rPr>
                <w:rStyle w:val="normaltextrun"/>
                <w:color w:val="000000"/>
              </w:rPr>
              <w:t>7</w:t>
            </w:r>
            <w:r w:rsidR="00F14563" w:rsidRPr="00492F1C">
              <w:rPr>
                <w:rStyle w:val="normaltextrun"/>
                <w:color w:val="000000"/>
              </w:rPr>
              <w:t xml:space="preserve"> p.</w:t>
            </w:r>
            <w:r w:rsidR="00F14563">
              <w:rPr>
                <w:rStyle w:val="normaltextrun"/>
                <w:color w:val="000000"/>
              </w:rPr>
              <w:t xml:space="preserve"> skiltis </w:t>
            </w:r>
            <w:r w:rsidR="00F14563" w:rsidRPr="00492F1C">
              <w:rPr>
                <w:rStyle w:val="normaltextrun"/>
                <w:color w:val="000000"/>
              </w:rPr>
              <w:t xml:space="preserve">„Dokumentai, </w:t>
            </w:r>
            <w:r w:rsidR="00F14563" w:rsidRPr="00492F1C">
              <w:t>kuriuos turi pateikti tiekėjas, siekiantis įrodyti jo pašalinimo pagrindų nebuvimą“</w:t>
            </w:r>
            <w:r w:rsidR="00F14563">
              <w:t>.</w:t>
            </w:r>
          </w:p>
        </w:tc>
        <w:tc>
          <w:tcPr>
            <w:tcW w:w="4816" w:type="dxa"/>
            <w:shd w:val="clear" w:color="auto" w:fill="auto"/>
          </w:tcPr>
          <w:p w14:paraId="5F7B2201" w14:textId="1450D471" w:rsidR="00586581" w:rsidRPr="00586581" w:rsidRDefault="00F14563" w:rsidP="00133147">
            <w:pPr>
              <w:widowControl w:val="0"/>
              <w:contextualSpacing/>
              <w:jc w:val="both"/>
              <w:rPr>
                <w:color w:val="000000"/>
              </w:rPr>
            </w:pPr>
            <w:r>
              <w:rPr>
                <w:color w:val="000000"/>
              </w:rPr>
              <w:t xml:space="preserve">Aktuali pirkimo dokumentų A dalies </w:t>
            </w:r>
            <w:r w:rsidRPr="00133F23">
              <w:rPr>
                <w:color w:val="000000"/>
              </w:rPr>
              <w:t>„Nurodymai dalyviams</w:t>
            </w:r>
            <w:r w:rsidRPr="00133F23">
              <w:t>“</w:t>
            </w:r>
            <w:r>
              <w:rPr>
                <w:b/>
                <w:bCs/>
              </w:rPr>
              <w:t xml:space="preserve"> </w:t>
            </w:r>
            <w:r>
              <w:rPr>
                <w:color w:val="000000"/>
              </w:rPr>
              <w:t xml:space="preserve">redakcija pridedama </w:t>
            </w:r>
            <w:r>
              <w:rPr>
                <w:i/>
                <w:iCs/>
                <w:color w:val="000000"/>
              </w:rPr>
              <w:t>(tikslinama vieta pažymėta).</w:t>
            </w:r>
          </w:p>
        </w:tc>
      </w:tr>
      <w:tr w:rsidR="00704749" w:rsidRPr="00586581" w14:paraId="6329EDE9" w14:textId="77777777" w:rsidTr="00CF7138">
        <w:tc>
          <w:tcPr>
            <w:tcW w:w="9628" w:type="dxa"/>
            <w:gridSpan w:val="2"/>
            <w:shd w:val="clear" w:color="auto" w:fill="auto"/>
          </w:tcPr>
          <w:p w14:paraId="4EA9CCFD" w14:textId="77777777" w:rsidR="00704749" w:rsidRPr="00586581" w:rsidRDefault="00704749" w:rsidP="00133147">
            <w:pPr>
              <w:widowControl w:val="0"/>
              <w:contextualSpacing/>
              <w:jc w:val="center"/>
              <w:rPr>
                <w:color w:val="000000"/>
              </w:rPr>
            </w:pPr>
            <w:r w:rsidRPr="00586581">
              <w:rPr>
                <w:b/>
                <w:bCs/>
                <w:color w:val="000000"/>
              </w:rPr>
              <w:t>C dalis „Konkretus pirkimas dinaminėje pirkimų sistemoje“</w:t>
            </w:r>
          </w:p>
        </w:tc>
      </w:tr>
      <w:tr w:rsidR="00704749" w:rsidRPr="00586581" w14:paraId="2680240A" w14:textId="77777777" w:rsidTr="00CF7138">
        <w:tc>
          <w:tcPr>
            <w:tcW w:w="4812" w:type="dxa"/>
            <w:shd w:val="clear" w:color="auto" w:fill="auto"/>
          </w:tcPr>
          <w:p w14:paraId="2BAD92D3" w14:textId="5343983A" w:rsidR="00087D8D" w:rsidRDefault="00087D8D" w:rsidP="00133147">
            <w:pPr>
              <w:widowControl w:val="0"/>
              <w:contextualSpacing/>
              <w:jc w:val="both"/>
              <w:rPr>
                <w:color w:val="000000"/>
              </w:rPr>
            </w:pPr>
            <w:r>
              <w:rPr>
                <w:color w:val="000000"/>
              </w:rPr>
              <w:t xml:space="preserve">Vykdant konkrečius pirkimus CPO LT elektroniniame kataloge tiekėjai pasiūlymus galės teikti dėl kiekvienos prekės atskirai, t.y. ekonomiškai naudingiausias pasiūlymas pagal kainos ir kokybės santykį bus nustatomas kiekvienai prekei, todėl </w:t>
            </w:r>
            <w:r w:rsidR="004F12FC">
              <w:rPr>
                <w:color w:val="000000"/>
              </w:rPr>
              <w:t xml:space="preserve">tikslinamas </w:t>
            </w:r>
            <w:r w:rsidR="004F12FC" w:rsidRPr="00A04CAE">
              <w:rPr>
                <w:color w:val="000000"/>
              </w:rPr>
              <w:t>C dalies 3 pried</w:t>
            </w:r>
            <w:r w:rsidR="004F12FC">
              <w:rPr>
                <w:color w:val="000000"/>
              </w:rPr>
              <w:t>as</w:t>
            </w:r>
            <w:r w:rsidR="004F12FC" w:rsidRPr="00A04CAE">
              <w:rPr>
                <w:color w:val="000000"/>
              </w:rPr>
              <w:t xml:space="preserve"> “Pasiūlymų ek</w:t>
            </w:r>
            <w:r w:rsidR="004F12FC">
              <w:rPr>
                <w:color w:val="000000"/>
              </w:rPr>
              <w:t>o</w:t>
            </w:r>
            <w:r w:rsidR="004F12FC" w:rsidRPr="00A04CAE">
              <w:rPr>
                <w:color w:val="000000"/>
              </w:rPr>
              <w:t>nominio naudingumo vertinimo kriterijai ir tvarka”</w:t>
            </w:r>
            <w:r w:rsidR="004F12FC">
              <w:rPr>
                <w:color w:val="000000"/>
              </w:rPr>
              <w:t xml:space="preserve"> panaikinant nuostatą: </w:t>
            </w:r>
            <w:r w:rsidR="004F12FC" w:rsidRPr="002607C0">
              <w:rPr>
                <w:i/>
                <w:iCs/>
                <w:color w:val="000000"/>
              </w:rPr>
              <w:t>“</w:t>
            </w:r>
            <w:r w:rsidR="004F12FC" w:rsidRPr="002607C0">
              <w:rPr>
                <w:i/>
                <w:iCs/>
              </w:rPr>
              <w:t xml:space="preserve">Jei užsakymu perkamos prekės iš </w:t>
            </w:r>
            <w:r w:rsidR="004F12FC" w:rsidRPr="002607C0">
              <w:rPr>
                <w:i/>
                <w:iCs/>
              </w:rPr>
              <w:lastRenderedPageBreak/>
              <w:t>kelių konkretaus pirkimo dalių, pasiūlymo balas bus apskaičiuojamas susumuojant atskirų konkretaus pirkimo dalių ekonominio naudingumo balus</w:t>
            </w:r>
            <w:r w:rsidR="004F12FC" w:rsidRPr="002607C0">
              <w:rPr>
                <w:i/>
                <w:iCs/>
                <w:sz w:val="22"/>
              </w:rPr>
              <w:t xml:space="preserve">: </w:t>
            </w:r>
            <w:r w:rsidR="004F12FC" w:rsidRPr="002607C0">
              <w:rPr>
                <w:rFonts w:ascii="Cambria Math" w:eastAsiaTheme="minorEastAsia" w:hAnsi="Cambria Math"/>
                <w:bCs/>
                <w:i/>
                <w:iCs/>
                <w:sz w:val="22"/>
              </w:rPr>
              <w:t>N = E</w:t>
            </w:r>
            <w:r w:rsidR="004F12FC" w:rsidRPr="002607C0">
              <w:rPr>
                <w:rFonts w:ascii="Cambria Math" w:eastAsiaTheme="minorEastAsia" w:hAnsi="Cambria Math"/>
                <w:bCs/>
                <w:i/>
                <w:iCs/>
                <w:sz w:val="22"/>
                <w:vertAlign w:val="subscript"/>
              </w:rPr>
              <w:t>1</w:t>
            </w:r>
            <w:r w:rsidR="004F12FC" w:rsidRPr="002607C0">
              <w:rPr>
                <w:rFonts w:ascii="Cambria Math" w:eastAsiaTheme="minorEastAsia" w:hAnsi="Cambria Math"/>
                <w:bCs/>
                <w:i/>
                <w:iCs/>
                <w:sz w:val="22"/>
              </w:rPr>
              <w:t xml:space="preserve"> + E</w:t>
            </w:r>
            <w:r w:rsidR="004F12FC" w:rsidRPr="002607C0">
              <w:rPr>
                <w:rFonts w:ascii="Cambria Math" w:eastAsiaTheme="minorEastAsia" w:hAnsi="Cambria Math"/>
                <w:bCs/>
                <w:i/>
                <w:iCs/>
                <w:sz w:val="22"/>
                <w:vertAlign w:val="subscript"/>
              </w:rPr>
              <w:t>2</w:t>
            </w:r>
            <w:r w:rsidR="004F12FC" w:rsidRPr="002607C0">
              <w:rPr>
                <w:rFonts w:ascii="Cambria Math" w:eastAsiaTheme="minorEastAsia" w:hAnsi="Cambria Math"/>
                <w:bCs/>
                <w:i/>
                <w:iCs/>
                <w:sz w:val="22"/>
              </w:rPr>
              <w:t xml:space="preserve"> + … + E</w:t>
            </w:r>
            <w:r w:rsidR="004F12FC" w:rsidRPr="002607C0">
              <w:rPr>
                <w:rFonts w:ascii="Cambria Math" w:eastAsiaTheme="minorEastAsia" w:hAnsi="Cambria Math"/>
                <w:bCs/>
                <w:i/>
                <w:iCs/>
                <w:sz w:val="22"/>
                <w:vertAlign w:val="subscript"/>
              </w:rPr>
              <w:t xml:space="preserve">n </w:t>
            </w:r>
            <w:r w:rsidR="004F12FC" w:rsidRPr="002607C0">
              <w:rPr>
                <w:i/>
                <w:iCs/>
                <w:color w:val="000000"/>
              </w:rPr>
              <w:t>„</w:t>
            </w:r>
            <w:r w:rsidR="004F12FC">
              <w:rPr>
                <w:i/>
                <w:iCs/>
                <w:color w:val="000000"/>
              </w:rPr>
              <w:t>.</w:t>
            </w:r>
            <w:r w:rsidR="004F12FC">
              <w:rPr>
                <w:color w:val="000000"/>
              </w:rPr>
              <w:t xml:space="preserve"> </w:t>
            </w:r>
          </w:p>
          <w:p w14:paraId="70B61E20" w14:textId="77777777" w:rsidR="00087D8D" w:rsidRDefault="00087D8D" w:rsidP="00133147">
            <w:pPr>
              <w:widowControl w:val="0"/>
              <w:contextualSpacing/>
              <w:jc w:val="both"/>
            </w:pPr>
          </w:p>
          <w:p w14:paraId="2B493B31" w14:textId="77777777" w:rsidR="00704749" w:rsidRPr="00586581" w:rsidRDefault="00704749" w:rsidP="00133147">
            <w:pPr>
              <w:jc w:val="both"/>
              <w:rPr>
                <w:color w:val="000000"/>
              </w:rPr>
            </w:pPr>
          </w:p>
        </w:tc>
        <w:tc>
          <w:tcPr>
            <w:tcW w:w="4816" w:type="dxa"/>
            <w:shd w:val="clear" w:color="auto" w:fill="auto"/>
          </w:tcPr>
          <w:p w14:paraId="72FE729F" w14:textId="5DD587C7" w:rsidR="00704749" w:rsidRPr="00586581" w:rsidRDefault="004F12FC" w:rsidP="00133147">
            <w:pPr>
              <w:widowControl w:val="0"/>
              <w:contextualSpacing/>
              <w:jc w:val="both"/>
              <w:rPr>
                <w:color w:val="000000"/>
              </w:rPr>
            </w:pPr>
            <w:r>
              <w:rPr>
                <w:color w:val="000000"/>
              </w:rPr>
              <w:lastRenderedPageBreak/>
              <w:t xml:space="preserve">Aktuali pirkimo dokumentų C dalies </w:t>
            </w:r>
            <w:r w:rsidRPr="00133F23">
              <w:rPr>
                <w:color w:val="000000"/>
              </w:rPr>
              <w:t>„</w:t>
            </w:r>
            <w:r>
              <w:rPr>
                <w:color w:val="000000"/>
              </w:rPr>
              <w:t>Konkretus pirkimas dinaminėje pirkimų sistemoje</w:t>
            </w:r>
            <w:r w:rsidRPr="00133F23">
              <w:t>“</w:t>
            </w:r>
            <w:r>
              <w:rPr>
                <w:b/>
                <w:bCs/>
              </w:rPr>
              <w:t xml:space="preserve"> </w:t>
            </w:r>
            <w:r>
              <w:rPr>
                <w:color w:val="000000"/>
              </w:rPr>
              <w:t xml:space="preserve">redakcija pridedama </w:t>
            </w:r>
            <w:r>
              <w:rPr>
                <w:i/>
                <w:iCs/>
                <w:color w:val="000000"/>
              </w:rPr>
              <w:t>(tikslinama vieta pažymėta).</w:t>
            </w:r>
          </w:p>
        </w:tc>
      </w:tr>
      <w:tr w:rsidR="00704749" w:rsidRPr="00586581" w14:paraId="03AAAC93" w14:textId="77777777" w:rsidTr="00CF7138">
        <w:tc>
          <w:tcPr>
            <w:tcW w:w="4812" w:type="dxa"/>
            <w:shd w:val="clear" w:color="auto" w:fill="auto"/>
          </w:tcPr>
          <w:p w14:paraId="1034B369" w14:textId="71BFC0A2" w:rsidR="00704749" w:rsidRPr="00586581" w:rsidRDefault="00580CFC" w:rsidP="00133147">
            <w:pPr>
              <w:tabs>
                <w:tab w:val="left" w:pos="851"/>
                <w:tab w:val="left" w:pos="1170"/>
                <w:tab w:val="left" w:pos="1260"/>
              </w:tabs>
              <w:contextualSpacing/>
              <w:jc w:val="both"/>
              <w:rPr>
                <w:b/>
                <w:bCs/>
                <w:i/>
                <w:iCs/>
                <w:color w:val="000000"/>
              </w:rPr>
            </w:pPr>
            <w:r>
              <w:rPr>
                <w:rFonts w:eastAsia="Calibri"/>
                <w:lang w:eastAsia="en-US"/>
              </w:rPr>
              <w:t>T</w:t>
            </w:r>
            <w:r w:rsidRPr="00580CFC">
              <w:rPr>
                <w:rFonts w:eastAsia="Calibri"/>
                <w:lang w:eastAsia="en-US"/>
              </w:rPr>
              <w:t>ikslin</w:t>
            </w:r>
            <w:r>
              <w:rPr>
                <w:rFonts w:eastAsia="Calibri"/>
                <w:lang w:eastAsia="en-US"/>
              </w:rPr>
              <w:t>amas pirkimo dokumentų C dalies 2 priedas „Pirkimo s</w:t>
            </w:r>
            <w:r w:rsidRPr="00580CFC">
              <w:t>utarties</w:t>
            </w:r>
            <w:r>
              <w:t xml:space="preserve"> projektas“</w:t>
            </w:r>
            <w:r w:rsidRPr="00580CFC">
              <w:t xml:space="preserve"> </w:t>
            </w:r>
          </w:p>
        </w:tc>
        <w:tc>
          <w:tcPr>
            <w:tcW w:w="4816" w:type="dxa"/>
            <w:shd w:val="clear" w:color="auto" w:fill="auto"/>
          </w:tcPr>
          <w:p w14:paraId="1DCC1CA1" w14:textId="05BD927E" w:rsidR="00C47C54" w:rsidRPr="006758E6" w:rsidRDefault="00580CFC" w:rsidP="00C47C54">
            <w:pPr>
              <w:pStyle w:val="paragraph"/>
              <w:spacing w:before="0" w:beforeAutospacing="0" w:after="0" w:afterAutospacing="0"/>
              <w:jc w:val="both"/>
              <w:textAlignment w:val="baseline"/>
              <w:rPr>
                <w:rFonts w:eastAsia="Calibri"/>
                <w:lang w:val="lt-LT"/>
              </w:rPr>
            </w:pPr>
            <w:r w:rsidRPr="006758E6">
              <w:rPr>
                <w:color w:val="000000"/>
                <w:lang w:val="lt-LT"/>
              </w:rPr>
              <w:t>Patikslinamas</w:t>
            </w:r>
            <w:r w:rsidRPr="006758E6">
              <w:rPr>
                <w:b/>
                <w:bCs/>
                <w:i/>
                <w:iCs/>
                <w:color w:val="000000"/>
                <w:lang w:val="lt-LT"/>
              </w:rPr>
              <w:t xml:space="preserve"> </w:t>
            </w:r>
            <w:r w:rsidRPr="006758E6">
              <w:rPr>
                <w:color w:val="000000"/>
                <w:lang w:val="lt-LT"/>
              </w:rPr>
              <w:t>C dalies „Konkretus pirkimas dinaminėje pirkimų sistemoje“</w:t>
            </w:r>
            <w:r w:rsidR="00C47C54" w:rsidRPr="006758E6">
              <w:rPr>
                <w:color w:val="000000"/>
                <w:lang w:val="lt-LT"/>
              </w:rPr>
              <w:t xml:space="preserve"> </w:t>
            </w:r>
            <w:r w:rsidR="00F772E4" w:rsidRPr="006758E6">
              <w:rPr>
                <w:rFonts w:eastAsia="Calibri"/>
                <w:lang w:val="lt-LT"/>
              </w:rPr>
              <w:t>2 priedas</w:t>
            </w:r>
            <w:r w:rsidR="006758E6" w:rsidRPr="006758E6">
              <w:rPr>
                <w:rFonts w:eastAsia="Calibri"/>
                <w:lang w:val="lt-LT"/>
              </w:rPr>
              <w:t xml:space="preserve"> “Pirkimo sutarties projektas”</w:t>
            </w:r>
            <w:r w:rsidR="00C47C54" w:rsidRPr="006758E6">
              <w:rPr>
                <w:rFonts w:eastAsia="Calibri"/>
                <w:lang w:val="lt-LT"/>
              </w:rPr>
              <w:t>:</w:t>
            </w:r>
            <w:r w:rsidR="00F772E4" w:rsidRPr="006758E6">
              <w:rPr>
                <w:rFonts w:eastAsia="Calibri"/>
                <w:lang w:val="lt-LT"/>
              </w:rPr>
              <w:t xml:space="preserve"> </w:t>
            </w:r>
          </w:p>
          <w:p w14:paraId="2050BFA2" w14:textId="14F1814C" w:rsidR="00C47C54" w:rsidRPr="006758E6" w:rsidRDefault="00C47C54" w:rsidP="00C47C54">
            <w:pPr>
              <w:pStyle w:val="paragraph"/>
              <w:spacing w:before="0" w:beforeAutospacing="0" w:after="0" w:afterAutospacing="0"/>
              <w:jc w:val="both"/>
              <w:textAlignment w:val="baseline"/>
              <w:rPr>
                <w:i/>
                <w:iCs/>
                <w:lang w:val="lt-LT"/>
              </w:rPr>
            </w:pPr>
            <w:r w:rsidRPr="006758E6">
              <w:rPr>
                <w:color w:val="212121"/>
                <w:lang w:val="lt-LT"/>
              </w:rPr>
              <w:t>1. Panaikinama sąlyga “</w:t>
            </w:r>
            <w:r w:rsidRPr="006758E6">
              <w:rPr>
                <w:i/>
                <w:iCs/>
                <w:lang w:val="lt-LT"/>
              </w:rPr>
              <w:t xml:space="preserve">Papildomų PIRKĖJO įsipareigojimų atveju </w:t>
            </w:r>
            <w:r w:rsidRPr="006758E6">
              <w:rPr>
                <w:i/>
                <w:iCs/>
                <w:u w:val="single"/>
                <w:lang w:val="lt-LT"/>
              </w:rPr>
              <w:t>(3.1.7. ....p.)“</w:t>
            </w:r>
            <w:r w:rsidRPr="006758E6">
              <w:rPr>
                <w:i/>
                <w:iCs/>
                <w:lang w:val="lt-LT"/>
              </w:rPr>
              <w:t xml:space="preserve"> ;</w:t>
            </w:r>
          </w:p>
          <w:p w14:paraId="75E444F4" w14:textId="3A555FED" w:rsidR="00C47C54" w:rsidRPr="006758E6" w:rsidRDefault="00C47C54" w:rsidP="00C47C54">
            <w:pPr>
              <w:pStyle w:val="paragraph"/>
              <w:spacing w:before="0" w:beforeAutospacing="0" w:after="0" w:afterAutospacing="0"/>
              <w:jc w:val="both"/>
              <w:textAlignment w:val="baseline"/>
              <w:rPr>
                <w:rStyle w:val="normaltextrun"/>
                <w:lang w:val="lt-LT"/>
              </w:rPr>
            </w:pPr>
            <w:r w:rsidRPr="006758E6">
              <w:rPr>
                <w:rStyle w:val="normaltextrun"/>
                <w:lang w:val="lt-LT"/>
              </w:rPr>
              <w:t>2. Patikslinama 3 dalies punktų numeracija nuo 3.18 iki 3.41 punkto;</w:t>
            </w:r>
          </w:p>
          <w:p w14:paraId="1E50F5D5" w14:textId="72AECD14" w:rsidR="00C47C54" w:rsidRPr="006758E6" w:rsidRDefault="00C47C54" w:rsidP="00C47C54">
            <w:pPr>
              <w:pStyle w:val="paragraph"/>
              <w:spacing w:before="0" w:beforeAutospacing="0" w:after="0" w:afterAutospacing="0"/>
              <w:jc w:val="both"/>
              <w:textAlignment w:val="baseline"/>
              <w:rPr>
                <w:i/>
                <w:iCs/>
                <w:u w:val="single"/>
                <w:lang w:val="lt-LT"/>
              </w:rPr>
            </w:pPr>
            <w:r w:rsidRPr="006758E6">
              <w:rPr>
                <w:color w:val="212121"/>
                <w:lang w:val="lt-LT"/>
              </w:rPr>
              <w:t>3. Panaikinama sąlyga</w:t>
            </w:r>
            <w:r w:rsidRPr="006758E6">
              <w:rPr>
                <w:rStyle w:val="normaltextrun"/>
                <w:i/>
                <w:iCs/>
                <w:lang w:val="lt-LT"/>
              </w:rPr>
              <w:t xml:space="preserve"> „Papildomų PIRKĖJO teisių atveju </w:t>
            </w:r>
            <w:r w:rsidRPr="006758E6">
              <w:rPr>
                <w:rStyle w:val="normaltextrun"/>
                <w:i/>
                <w:iCs/>
                <w:u w:val="single"/>
                <w:lang w:val="lt-LT"/>
              </w:rPr>
              <w:t>(3.3.9. ....p.)</w:t>
            </w:r>
            <w:r w:rsidRPr="006758E6">
              <w:rPr>
                <w:i/>
                <w:iCs/>
                <w:u w:val="single"/>
                <w:lang w:val="lt-LT"/>
              </w:rPr>
              <w:t>“;</w:t>
            </w:r>
          </w:p>
          <w:p w14:paraId="44BEE595" w14:textId="6EEDAB6B" w:rsidR="006758E6" w:rsidRDefault="00C47C54" w:rsidP="00C47C54">
            <w:pPr>
              <w:widowControl w:val="0"/>
              <w:adjustRightInd w:val="0"/>
              <w:jc w:val="both"/>
              <w:textAlignment w:val="baseline"/>
              <w:rPr>
                <w:rStyle w:val="normaltextrun"/>
                <w:i/>
                <w:iCs/>
              </w:rPr>
            </w:pPr>
            <w:r w:rsidRPr="006758E6">
              <w:rPr>
                <w:rStyle w:val="normaltextrun"/>
              </w:rPr>
              <w:t>4. Patikslinama 12 punkte nustatytą sąlygą “</w:t>
            </w:r>
            <w:r w:rsidRPr="006758E6">
              <w:rPr>
                <w:rStyle w:val="normaltextrun"/>
                <w:i/>
                <w:iCs/>
              </w:rPr>
              <w:t xml:space="preserve">Kai taikomas Pirkimo sutarties įvykdymo užtikrinimas 12.1-12.9 p. „ </w:t>
            </w:r>
            <w:r w:rsidRPr="006758E6">
              <w:rPr>
                <w:rStyle w:val="normaltextrun"/>
              </w:rPr>
              <w:t>nurodant “</w:t>
            </w:r>
            <w:r w:rsidRPr="006758E6">
              <w:rPr>
                <w:rStyle w:val="normaltextrun"/>
                <w:i/>
                <w:iCs/>
              </w:rPr>
              <w:t>Kai taikomas Pirkimo sutarties įvykdymo užtikrinimas 12.1-12.12 p. „</w:t>
            </w:r>
          </w:p>
          <w:p w14:paraId="2ED60E00" w14:textId="34E4856F" w:rsidR="00B34762" w:rsidRPr="00B34762" w:rsidRDefault="00B34762" w:rsidP="00C47C54">
            <w:pPr>
              <w:widowControl w:val="0"/>
              <w:adjustRightInd w:val="0"/>
              <w:jc w:val="both"/>
              <w:textAlignment w:val="baseline"/>
              <w:rPr>
                <w:rStyle w:val="normaltextrun"/>
              </w:rPr>
            </w:pPr>
            <w:r w:rsidRPr="00B34762">
              <w:rPr>
                <w:rStyle w:val="normaltextrun"/>
              </w:rPr>
              <w:t xml:space="preserve">5. </w:t>
            </w:r>
            <w:r>
              <w:rPr>
                <w:rStyle w:val="normaltextrun"/>
              </w:rPr>
              <w:t>Tikslinamos 3.17, 318 ir 5.12 punktuose pateikiamos nuorodos į kitus sutarties punktus.</w:t>
            </w:r>
          </w:p>
          <w:p w14:paraId="4D99542F" w14:textId="77777777" w:rsidR="00B34762" w:rsidRDefault="00B34762" w:rsidP="00C47C54">
            <w:pPr>
              <w:widowControl w:val="0"/>
              <w:adjustRightInd w:val="0"/>
              <w:jc w:val="both"/>
              <w:textAlignment w:val="baseline"/>
              <w:rPr>
                <w:color w:val="000000"/>
              </w:rPr>
            </w:pPr>
          </w:p>
          <w:p w14:paraId="4A323867" w14:textId="3D71B0D3" w:rsidR="00704749" w:rsidRPr="00586581" w:rsidRDefault="00944EE5" w:rsidP="00C47C54">
            <w:pPr>
              <w:widowControl w:val="0"/>
              <w:adjustRightInd w:val="0"/>
              <w:jc w:val="both"/>
              <w:textAlignment w:val="baseline"/>
              <w:rPr>
                <w:rFonts w:eastAsia="Calibri"/>
              </w:rPr>
            </w:pPr>
            <w:r w:rsidRPr="006758E6">
              <w:rPr>
                <w:color w:val="000000"/>
              </w:rPr>
              <w:t>Aktuali pirkimo dokumentų C dalies redakcija pridedama</w:t>
            </w:r>
            <w:r w:rsidR="006758E6">
              <w:rPr>
                <w:color w:val="000000"/>
              </w:rPr>
              <w:t xml:space="preserve"> </w:t>
            </w:r>
            <w:r w:rsidR="006758E6">
              <w:rPr>
                <w:i/>
                <w:iCs/>
                <w:color w:val="000000"/>
              </w:rPr>
              <w:t>(tikslinama vieta pažymėta)</w:t>
            </w:r>
            <w:r w:rsidR="009028E9">
              <w:rPr>
                <w:i/>
                <w:iCs/>
                <w:color w:val="000000"/>
              </w:rPr>
              <w:t>.</w:t>
            </w:r>
          </w:p>
        </w:tc>
      </w:tr>
    </w:tbl>
    <w:p w14:paraId="66E0F8DD" w14:textId="77777777" w:rsidR="00133147" w:rsidRDefault="00133147" w:rsidP="0088341A">
      <w:pPr>
        <w:widowControl w:val="0"/>
        <w:shd w:val="clear" w:color="auto" w:fill="FFFFFF"/>
        <w:jc w:val="both"/>
      </w:pPr>
    </w:p>
    <w:p w14:paraId="79F7A39F" w14:textId="37CC2499" w:rsidR="0088341A" w:rsidRPr="0088341A" w:rsidRDefault="0088341A" w:rsidP="0088341A">
      <w:pPr>
        <w:widowControl w:val="0"/>
        <w:shd w:val="clear" w:color="auto" w:fill="FFFFFF"/>
        <w:jc w:val="both"/>
      </w:pPr>
      <w:r w:rsidRPr="0088341A">
        <w:t>PRIDEDAMA:</w:t>
      </w:r>
    </w:p>
    <w:p w14:paraId="781FDFBF" w14:textId="1FEBFFDC" w:rsidR="0088341A" w:rsidRDefault="0088341A" w:rsidP="00944EE5">
      <w:pPr>
        <w:pStyle w:val="ListParagraph"/>
        <w:widowControl w:val="0"/>
        <w:numPr>
          <w:ilvl w:val="0"/>
          <w:numId w:val="11"/>
        </w:numPr>
        <w:shd w:val="clear" w:color="auto" w:fill="FFFFFF"/>
        <w:tabs>
          <w:tab w:val="left" w:pos="270"/>
        </w:tabs>
        <w:ind w:left="0" w:firstLine="0"/>
        <w:jc w:val="both"/>
      </w:pPr>
      <w:r w:rsidRPr="0088341A">
        <w:t>A dalis. Nurodymai dalyviams_</w:t>
      </w:r>
      <w:r w:rsidR="008C44F3">
        <w:t>a</w:t>
      </w:r>
      <w:r w:rsidRPr="0088341A">
        <w:t>ktuali redakcija nuo_</w:t>
      </w:r>
      <w:r w:rsidRPr="008C44F3">
        <w:t>202</w:t>
      </w:r>
      <w:r w:rsidR="00944EE5">
        <w:t>2</w:t>
      </w:r>
      <w:r w:rsidRPr="008C44F3">
        <w:t>-0</w:t>
      </w:r>
      <w:r w:rsidR="009028E9">
        <w:t>6-</w:t>
      </w:r>
      <w:r w:rsidR="0090650B">
        <w:t>14</w:t>
      </w:r>
      <w:r w:rsidRPr="0088341A">
        <w:t>.</w:t>
      </w:r>
    </w:p>
    <w:p w14:paraId="79D7964C" w14:textId="10959403" w:rsidR="0088341A" w:rsidRDefault="0088341A" w:rsidP="00944EE5">
      <w:pPr>
        <w:pStyle w:val="ListParagraph"/>
        <w:widowControl w:val="0"/>
        <w:numPr>
          <w:ilvl w:val="0"/>
          <w:numId w:val="11"/>
        </w:numPr>
        <w:shd w:val="clear" w:color="auto" w:fill="FFFFFF"/>
        <w:tabs>
          <w:tab w:val="left" w:pos="270"/>
        </w:tabs>
        <w:ind w:left="0" w:firstLine="0"/>
        <w:jc w:val="both"/>
      </w:pPr>
      <w:r w:rsidRPr="0088341A">
        <w:t>C dalis. Konkretus pirkimas dinaminėje pirkimų sistemoje_</w:t>
      </w:r>
      <w:r w:rsidR="008C44F3">
        <w:t>a</w:t>
      </w:r>
      <w:r w:rsidRPr="0088341A">
        <w:t>ktuali redakcija nuo_</w:t>
      </w:r>
      <w:r w:rsidRPr="008C44F3">
        <w:t>202</w:t>
      </w:r>
      <w:r w:rsidR="00944EE5">
        <w:t>2</w:t>
      </w:r>
      <w:r w:rsidRPr="008C44F3">
        <w:t>-</w:t>
      </w:r>
      <w:r w:rsidR="009028E9">
        <w:t>06</w:t>
      </w:r>
      <w:r w:rsidRPr="008C44F3">
        <w:t>-</w:t>
      </w:r>
      <w:r w:rsidR="0090650B">
        <w:t>14</w:t>
      </w:r>
      <w:r w:rsidRPr="0088341A">
        <w:t>.</w:t>
      </w:r>
    </w:p>
    <w:p w14:paraId="06405764" w14:textId="77777777" w:rsidR="00AB7845" w:rsidRPr="008C1212" w:rsidRDefault="00AB7845" w:rsidP="008C1212">
      <w:pPr>
        <w:widowControl w:val="0"/>
        <w:tabs>
          <w:tab w:val="left" w:pos="1134"/>
        </w:tabs>
        <w:jc w:val="both"/>
        <w:rPr>
          <w:b/>
        </w:rPr>
      </w:pPr>
    </w:p>
    <w:bookmarkEnd w:id="0"/>
    <w:p w14:paraId="652CC6A3" w14:textId="77777777" w:rsidR="00047FF3" w:rsidRDefault="00047FF3" w:rsidP="00047FF3">
      <w:pPr>
        <w:widowControl w:val="0"/>
        <w:tabs>
          <w:tab w:val="left" w:pos="1134"/>
        </w:tabs>
        <w:ind w:firstLine="851"/>
        <w:jc w:val="both"/>
        <w:rPr>
          <w:b/>
        </w:rPr>
      </w:pPr>
    </w:p>
    <w:sectPr w:rsidR="00047FF3" w:rsidSect="00791D4F">
      <w:headerReference w:type="default" r:id="rId8"/>
      <w:footerReference w:type="even" r:id="rId9"/>
      <w:footerReference w:type="first" r:id="rId10"/>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04BAC" w14:textId="77777777" w:rsidR="00C1264C" w:rsidRDefault="00C1264C">
      <w:r>
        <w:separator/>
      </w:r>
    </w:p>
  </w:endnote>
  <w:endnote w:type="continuationSeparator" w:id="0">
    <w:p w14:paraId="3B65FD36" w14:textId="77777777" w:rsidR="00C1264C" w:rsidRDefault="00C1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E45" w14:textId="77777777" w:rsidR="00D4628F"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D4628F" w:rsidRDefault="00C12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514" w14:textId="77777777" w:rsidR="00D4628F" w:rsidRDefault="00C1264C">
    <w:pPr>
      <w:pStyle w:val="Footer"/>
      <w:jc w:val="center"/>
    </w:pPr>
  </w:p>
  <w:p w14:paraId="5434B190" w14:textId="77777777" w:rsidR="00D4628F" w:rsidRDefault="00C12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2145B" w14:textId="77777777" w:rsidR="00C1264C" w:rsidRDefault="00C1264C">
      <w:r>
        <w:separator/>
      </w:r>
    </w:p>
  </w:footnote>
  <w:footnote w:type="continuationSeparator" w:id="0">
    <w:p w14:paraId="18D2F7A4" w14:textId="77777777" w:rsidR="00C1264C" w:rsidRDefault="00C12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506" w14:textId="77777777" w:rsidR="00D4628F"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D4628F" w:rsidRPr="00AD6481" w:rsidRDefault="00C1264C" w:rsidP="00AD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F5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66A00"/>
    <w:multiLevelType w:val="hybridMultilevel"/>
    <w:tmpl w:val="8A80B896"/>
    <w:lvl w:ilvl="0" w:tplc="508EBBD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C5700"/>
    <w:multiLevelType w:val="multilevel"/>
    <w:tmpl w:val="A10E19B2"/>
    <w:lvl w:ilvl="0">
      <w:start w:val="10"/>
      <w:numFmt w:val="decimal"/>
      <w:lvlText w:val="%1"/>
      <w:lvlJc w:val="left"/>
      <w:pPr>
        <w:ind w:left="600" w:hanging="600"/>
      </w:pPr>
      <w:rPr>
        <w:rFonts w:ascii="Times New Roman" w:eastAsia="Calibri" w:hAnsi="Times New Roman" w:cs="Times New Roman" w:hint="default"/>
        <w:sz w:val="24"/>
      </w:rPr>
    </w:lvl>
    <w:lvl w:ilvl="1">
      <w:start w:val="6"/>
      <w:numFmt w:val="decimal"/>
      <w:lvlText w:val="%1.%2"/>
      <w:lvlJc w:val="left"/>
      <w:pPr>
        <w:ind w:left="690" w:hanging="600"/>
      </w:pPr>
      <w:rPr>
        <w:rFonts w:ascii="Times New Roman" w:eastAsia="Calibri" w:hAnsi="Times New Roman" w:cs="Times New Roman" w:hint="default"/>
        <w:sz w:val="24"/>
      </w:rPr>
    </w:lvl>
    <w:lvl w:ilvl="2">
      <w:start w:val="1"/>
      <w:numFmt w:val="decimal"/>
      <w:lvlText w:val="%1.%2.%3"/>
      <w:lvlJc w:val="left"/>
      <w:pPr>
        <w:ind w:left="900" w:hanging="720"/>
      </w:pPr>
      <w:rPr>
        <w:rFonts w:ascii="Times New Roman" w:eastAsia="Calibri" w:hAnsi="Times New Roman" w:cs="Times New Roman" w:hint="default"/>
        <w:sz w:val="24"/>
      </w:rPr>
    </w:lvl>
    <w:lvl w:ilvl="3">
      <w:start w:val="1"/>
      <w:numFmt w:val="decimal"/>
      <w:lvlText w:val="%1.%2.%3.%4"/>
      <w:lvlJc w:val="left"/>
      <w:pPr>
        <w:ind w:left="990" w:hanging="720"/>
      </w:pPr>
      <w:rPr>
        <w:rFonts w:ascii="Times New Roman" w:eastAsia="Calibri" w:hAnsi="Times New Roman" w:cs="Times New Roman" w:hint="default"/>
        <w:sz w:val="24"/>
      </w:rPr>
    </w:lvl>
    <w:lvl w:ilvl="4">
      <w:start w:val="1"/>
      <w:numFmt w:val="decimal"/>
      <w:lvlText w:val="%1.%2.%3.%4.%5"/>
      <w:lvlJc w:val="left"/>
      <w:pPr>
        <w:ind w:left="1440" w:hanging="1080"/>
      </w:pPr>
      <w:rPr>
        <w:rFonts w:ascii="Times New Roman" w:eastAsia="Calibri" w:hAnsi="Times New Roman" w:cs="Times New Roman" w:hint="default"/>
        <w:sz w:val="24"/>
      </w:rPr>
    </w:lvl>
    <w:lvl w:ilvl="5">
      <w:start w:val="1"/>
      <w:numFmt w:val="decimal"/>
      <w:lvlText w:val="%1.%2.%3.%4.%5.%6"/>
      <w:lvlJc w:val="left"/>
      <w:pPr>
        <w:ind w:left="1530" w:hanging="1080"/>
      </w:pPr>
      <w:rPr>
        <w:rFonts w:ascii="Times New Roman" w:eastAsia="Calibri" w:hAnsi="Times New Roman" w:cs="Times New Roman" w:hint="default"/>
        <w:sz w:val="24"/>
      </w:rPr>
    </w:lvl>
    <w:lvl w:ilvl="6">
      <w:start w:val="1"/>
      <w:numFmt w:val="decimal"/>
      <w:lvlText w:val="%1.%2.%3.%4.%5.%6.%7"/>
      <w:lvlJc w:val="left"/>
      <w:pPr>
        <w:ind w:left="1980" w:hanging="1440"/>
      </w:pPr>
      <w:rPr>
        <w:rFonts w:ascii="Times New Roman" w:eastAsia="Calibri" w:hAnsi="Times New Roman" w:cs="Times New Roman" w:hint="default"/>
        <w:sz w:val="24"/>
      </w:rPr>
    </w:lvl>
    <w:lvl w:ilvl="7">
      <w:start w:val="1"/>
      <w:numFmt w:val="decimal"/>
      <w:lvlText w:val="%1.%2.%3.%4.%5.%6.%7.%8"/>
      <w:lvlJc w:val="left"/>
      <w:pPr>
        <w:ind w:left="2070" w:hanging="1440"/>
      </w:pPr>
      <w:rPr>
        <w:rFonts w:ascii="Times New Roman" w:eastAsia="Calibri" w:hAnsi="Times New Roman" w:cs="Times New Roman" w:hint="default"/>
        <w:sz w:val="24"/>
      </w:rPr>
    </w:lvl>
    <w:lvl w:ilvl="8">
      <w:start w:val="1"/>
      <w:numFmt w:val="decimal"/>
      <w:lvlText w:val="%1.%2.%3.%4.%5.%6.%7.%8.%9"/>
      <w:lvlJc w:val="left"/>
      <w:pPr>
        <w:ind w:left="2160" w:hanging="1440"/>
      </w:pPr>
      <w:rPr>
        <w:rFonts w:ascii="Times New Roman" w:eastAsia="Calibri" w:hAnsi="Times New Roman" w:cs="Times New Roman" w:hint="default"/>
        <w:sz w:val="24"/>
      </w:rPr>
    </w:lvl>
  </w:abstractNum>
  <w:abstractNum w:abstractNumId="3" w15:restartNumberingAfterBreak="0">
    <w:nsid w:val="17CD3DDA"/>
    <w:multiLevelType w:val="hybridMultilevel"/>
    <w:tmpl w:val="B12C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44AF7"/>
    <w:multiLevelType w:val="hybridMultilevel"/>
    <w:tmpl w:val="664E4BDE"/>
    <w:lvl w:ilvl="0" w:tplc="B1FCA716">
      <w:start w:val="1"/>
      <w:numFmt w:val="decimal"/>
      <w:lvlText w:val="%1."/>
      <w:lvlJc w:val="left"/>
      <w:pPr>
        <w:ind w:left="720" w:hanging="360"/>
      </w:pPr>
      <w:rPr>
        <w:rFonts w:hint="default"/>
        <w:i w:val="0"/>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0C4270"/>
    <w:multiLevelType w:val="hybridMultilevel"/>
    <w:tmpl w:val="C8DE6434"/>
    <w:lvl w:ilvl="0" w:tplc="28EE8166">
      <w:start w:val="16"/>
      <w:numFmt w:val="decimal"/>
      <w:lvlText w:val="%1)"/>
      <w:lvlJc w:val="left"/>
      <w:rPr>
        <w:rFonts w:hint="default"/>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AB4DF3"/>
    <w:multiLevelType w:val="multilevel"/>
    <w:tmpl w:val="5BAE948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pStyle w:val="Heading2"/>
      <w:lvlText w:val="%1.%2.%3."/>
      <w:lvlJc w:val="left"/>
      <w:pPr>
        <w:tabs>
          <w:tab w:val="num" w:pos="756"/>
        </w:tabs>
        <w:ind w:left="18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5AF7D8A"/>
    <w:multiLevelType w:val="multilevel"/>
    <w:tmpl w:val="E334C7C0"/>
    <w:lvl w:ilvl="0">
      <w:start w:val="10"/>
      <w:numFmt w:val="decimal"/>
      <w:lvlText w:val="%1"/>
      <w:lvlJc w:val="left"/>
      <w:pPr>
        <w:ind w:left="432" w:hanging="432"/>
      </w:pPr>
      <w:rPr>
        <w:rFonts w:hint="default"/>
      </w:rPr>
    </w:lvl>
    <w:lvl w:ilvl="1">
      <w:start w:val="6"/>
      <w:numFmt w:val="decimal"/>
      <w:lvlText w:val="%1.%2"/>
      <w:lvlJc w:val="left"/>
      <w:pPr>
        <w:ind w:left="522" w:hanging="43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num w:numId="1" w16cid:durableId="256181759">
    <w:abstractNumId w:val="5"/>
  </w:num>
  <w:num w:numId="2" w16cid:durableId="1154684822">
    <w:abstractNumId w:val="4"/>
  </w:num>
  <w:num w:numId="3" w16cid:durableId="1110901583">
    <w:abstractNumId w:val="0"/>
  </w:num>
  <w:num w:numId="4" w16cid:durableId="520516045">
    <w:abstractNumId w:val="7"/>
  </w:num>
  <w:num w:numId="5" w16cid:durableId="1706715676">
    <w:abstractNumId w:val="8"/>
  </w:num>
  <w:num w:numId="6" w16cid:durableId="725253731">
    <w:abstractNumId w:val="10"/>
  </w:num>
  <w:num w:numId="7" w16cid:durableId="870994444">
    <w:abstractNumId w:val="1"/>
  </w:num>
  <w:num w:numId="8" w16cid:durableId="1823961686">
    <w:abstractNumId w:val="11"/>
  </w:num>
  <w:num w:numId="9" w16cid:durableId="1995138879">
    <w:abstractNumId w:val="2"/>
  </w:num>
  <w:num w:numId="10" w16cid:durableId="1173452193">
    <w:abstractNumId w:val="12"/>
  </w:num>
  <w:num w:numId="11" w16cid:durableId="2128700527">
    <w:abstractNumId w:val="6"/>
  </w:num>
  <w:num w:numId="12" w16cid:durableId="1220900898">
    <w:abstractNumId w:val="3"/>
  </w:num>
  <w:num w:numId="13" w16cid:durableId="20013040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47FF3"/>
    <w:rsid w:val="00051DBE"/>
    <w:rsid w:val="00087D8D"/>
    <w:rsid w:val="000924EE"/>
    <w:rsid w:val="000C3A90"/>
    <w:rsid w:val="000D6DB1"/>
    <w:rsid w:val="00100402"/>
    <w:rsid w:val="00131B3A"/>
    <w:rsid w:val="00133147"/>
    <w:rsid w:val="00133F23"/>
    <w:rsid w:val="00155F3B"/>
    <w:rsid w:val="00177756"/>
    <w:rsid w:val="00184D6B"/>
    <w:rsid w:val="001B7EA5"/>
    <w:rsid w:val="001C6CE2"/>
    <w:rsid w:val="001D5BEB"/>
    <w:rsid w:val="002138CD"/>
    <w:rsid w:val="00254449"/>
    <w:rsid w:val="00271711"/>
    <w:rsid w:val="00277CF2"/>
    <w:rsid w:val="00277DCB"/>
    <w:rsid w:val="002D6FDB"/>
    <w:rsid w:val="002E43FE"/>
    <w:rsid w:val="00337865"/>
    <w:rsid w:val="00357841"/>
    <w:rsid w:val="003602FE"/>
    <w:rsid w:val="00365D4B"/>
    <w:rsid w:val="0038177F"/>
    <w:rsid w:val="00385F81"/>
    <w:rsid w:val="00387A22"/>
    <w:rsid w:val="003950A8"/>
    <w:rsid w:val="004008FD"/>
    <w:rsid w:val="00410C40"/>
    <w:rsid w:val="00477C1E"/>
    <w:rsid w:val="004932B2"/>
    <w:rsid w:val="004A1C16"/>
    <w:rsid w:val="004A5A13"/>
    <w:rsid w:val="004F12FC"/>
    <w:rsid w:val="0050477C"/>
    <w:rsid w:val="00512FC0"/>
    <w:rsid w:val="0056148B"/>
    <w:rsid w:val="00563AD2"/>
    <w:rsid w:val="00580CFC"/>
    <w:rsid w:val="00586581"/>
    <w:rsid w:val="005912F2"/>
    <w:rsid w:val="005A2623"/>
    <w:rsid w:val="005D6705"/>
    <w:rsid w:val="00615269"/>
    <w:rsid w:val="00621A12"/>
    <w:rsid w:val="00625C75"/>
    <w:rsid w:val="00672026"/>
    <w:rsid w:val="0067382C"/>
    <w:rsid w:val="006758E6"/>
    <w:rsid w:val="006944F4"/>
    <w:rsid w:val="006B0BDC"/>
    <w:rsid w:val="006D4CB7"/>
    <w:rsid w:val="006E53B8"/>
    <w:rsid w:val="00704749"/>
    <w:rsid w:val="007368E9"/>
    <w:rsid w:val="00780A82"/>
    <w:rsid w:val="007D46AA"/>
    <w:rsid w:val="008441F9"/>
    <w:rsid w:val="0086728C"/>
    <w:rsid w:val="00873F62"/>
    <w:rsid w:val="0088341A"/>
    <w:rsid w:val="008B0120"/>
    <w:rsid w:val="008C1212"/>
    <w:rsid w:val="008C44F3"/>
    <w:rsid w:val="008D110E"/>
    <w:rsid w:val="008E5B17"/>
    <w:rsid w:val="008F3DC8"/>
    <w:rsid w:val="0090070E"/>
    <w:rsid w:val="009028E9"/>
    <w:rsid w:val="0090650B"/>
    <w:rsid w:val="009157B6"/>
    <w:rsid w:val="00920237"/>
    <w:rsid w:val="00944EE5"/>
    <w:rsid w:val="00961369"/>
    <w:rsid w:val="0097229F"/>
    <w:rsid w:val="00997629"/>
    <w:rsid w:val="009D23C4"/>
    <w:rsid w:val="00A81677"/>
    <w:rsid w:val="00A9232A"/>
    <w:rsid w:val="00AA694F"/>
    <w:rsid w:val="00AB7845"/>
    <w:rsid w:val="00AC1461"/>
    <w:rsid w:val="00AC6695"/>
    <w:rsid w:val="00AF3DC1"/>
    <w:rsid w:val="00B34762"/>
    <w:rsid w:val="00B41EC3"/>
    <w:rsid w:val="00B83827"/>
    <w:rsid w:val="00B9534C"/>
    <w:rsid w:val="00B97CA8"/>
    <w:rsid w:val="00BC5C34"/>
    <w:rsid w:val="00BD71D9"/>
    <w:rsid w:val="00BF6153"/>
    <w:rsid w:val="00BF6F86"/>
    <w:rsid w:val="00C1264C"/>
    <w:rsid w:val="00C1436E"/>
    <w:rsid w:val="00C14AA4"/>
    <w:rsid w:val="00C47C54"/>
    <w:rsid w:val="00C513B9"/>
    <w:rsid w:val="00C51A72"/>
    <w:rsid w:val="00CC42DE"/>
    <w:rsid w:val="00D55E92"/>
    <w:rsid w:val="00DA5262"/>
    <w:rsid w:val="00DB4608"/>
    <w:rsid w:val="00DD0E1E"/>
    <w:rsid w:val="00DE5055"/>
    <w:rsid w:val="00E3714D"/>
    <w:rsid w:val="00E442AF"/>
    <w:rsid w:val="00E857DC"/>
    <w:rsid w:val="00ED142D"/>
    <w:rsid w:val="00F06566"/>
    <w:rsid w:val="00F14563"/>
    <w:rsid w:val="00F43959"/>
    <w:rsid w:val="00F526E8"/>
    <w:rsid w:val="00F60E70"/>
    <w:rsid w:val="00F62E22"/>
    <w:rsid w:val="00F772E4"/>
    <w:rsid w:val="00FA2A9F"/>
    <w:rsid w:val="00FA6C1D"/>
    <w:rsid w:val="00FD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chartTrackingRefBased/>
  <w15:docId w15:val="{DE2540F4-B599-44FB-BE30-881E56B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autoRedefine/>
    <w:qFormat/>
    <w:rsid w:val="00385F81"/>
    <w:pPr>
      <w:spacing w:after="80"/>
      <w:jc w:val="center"/>
      <w:outlineLvl w:val="0"/>
    </w:pPr>
    <w:rPr>
      <w:rFonts w:eastAsia="Calibri"/>
      <w:bCs/>
      <w:kern w:val="32"/>
    </w:rPr>
  </w:style>
  <w:style w:type="paragraph" w:styleId="Heading2">
    <w:name w:val="heading 2"/>
    <w:basedOn w:val="Normal"/>
    <w:next w:val="Normal"/>
    <w:link w:val="Heading2Char"/>
    <w:autoRedefine/>
    <w:qFormat/>
    <w:rsid w:val="00580CFC"/>
    <w:pPr>
      <w:numPr>
        <w:ilvl w:val="2"/>
        <w:numId w:val="8"/>
      </w:numPr>
      <w:spacing w:after="40"/>
      <w:jc w:val="both"/>
      <w:outlineLvl w:val="1"/>
    </w:pPr>
    <w:rPr>
      <w:rFonts w:ascii="Tahoma" w:hAnsi="Tahoma" w:cs="Arial"/>
      <w:bCs/>
      <w:i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047FF3"/>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920237"/>
    <w:rPr>
      <w:rFonts w:ascii="Times New Roman" w:eastAsia="Times New Roman" w:hAnsi="Times New Roman" w:cs="Times New Roman"/>
      <w:sz w:val="24"/>
      <w:szCs w:val="24"/>
      <w:lang w:val="lt-LT" w:eastAsia="lt-LT"/>
    </w:rPr>
  </w:style>
  <w:style w:type="character" w:styleId="CommentReference">
    <w:name w:val="annotation reference"/>
    <w:rsid w:val="00580CFC"/>
    <w:rPr>
      <w:sz w:val="16"/>
      <w:szCs w:val="16"/>
    </w:rPr>
  </w:style>
  <w:style w:type="paragraph" w:styleId="CommentText">
    <w:name w:val="annotation text"/>
    <w:basedOn w:val="Normal"/>
    <w:link w:val="CommentTextChar"/>
    <w:rsid w:val="00580CFC"/>
    <w:rPr>
      <w:sz w:val="20"/>
      <w:szCs w:val="20"/>
    </w:rPr>
  </w:style>
  <w:style w:type="character" w:customStyle="1" w:styleId="CommentTextChar">
    <w:name w:val="Comment Text Char"/>
    <w:basedOn w:val="DefaultParagraphFont"/>
    <w:link w:val="CommentText"/>
    <w:rsid w:val="00580CFC"/>
    <w:rPr>
      <w:rFonts w:ascii="Times New Roman" w:eastAsia="Times New Roman" w:hAnsi="Times New Roman" w:cs="Times New Roman"/>
      <w:sz w:val="20"/>
      <w:szCs w:val="20"/>
      <w:lang w:val="lt-LT" w:eastAsia="lt-LT"/>
    </w:rPr>
  </w:style>
  <w:style w:type="character" w:customStyle="1" w:styleId="Heading1Char">
    <w:name w:val="Heading 1 Char"/>
    <w:basedOn w:val="DefaultParagraphFont"/>
    <w:link w:val="Heading1"/>
    <w:rsid w:val="00385F81"/>
    <w:rPr>
      <w:rFonts w:ascii="Times New Roman" w:eastAsia="Calibri" w:hAnsi="Times New Roman" w:cs="Times New Roman"/>
      <w:bCs/>
      <w:kern w:val="32"/>
      <w:sz w:val="24"/>
      <w:szCs w:val="24"/>
      <w:lang w:val="lt-LT" w:eastAsia="lt-LT"/>
    </w:rPr>
  </w:style>
  <w:style w:type="character" w:customStyle="1" w:styleId="Heading2Char">
    <w:name w:val="Heading 2 Char"/>
    <w:basedOn w:val="DefaultParagraphFont"/>
    <w:link w:val="Heading2"/>
    <w:rsid w:val="00580CFC"/>
    <w:rPr>
      <w:rFonts w:ascii="Tahoma" w:eastAsia="Times New Roman" w:hAnsi="Tahoma" w:cs="Arial"/>
      <w:bCs/>
      <w:iCs/>
      <w:sz w:val="16"/>
      <w:szCs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Aistė Kairaitienė</cp:lastModifiedBy>
  <cp:revision>7</cp:revision>
  <cp:lastPrinted>2022-03-23T10:11:00Z</cp:lastPrinted>
  <dcterms:created xsi:type="dcterms:W3CDTF">2022-06-13T11:14:00Z</dcterms:created>
  <dcterms:modified xsi:type="dcterms:W3CDTF">2022-06-14T10:01:00Z</dcterms:modified>
</cp:coreProperties>
</file>