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43E2785B" w14:textId="1A7CF1EB" w:rsidR="000D629B" w:rsidRPr="00A27F60" w:rsidRDefault="00140D9D" w:rsidP="00870FCE">
      <w:pPr>
        <w:spacing w:line="259" w:lineRule="auto"/>
        <w:jc w:val="center"/>
        <w:rPr>
          <w:b/>
          <w:bCs/>
          <w:sz w:val="22"/>
          <w:szCs w:val="22"/>
        </w:rPr>
      </w:pPr>
      <w:r>
        <w:rPr>
          <w:b/>
          <w:bCs/>
          <w:sz w:val="22"/>
          <w:szCs w:val="22"/>
        </w:rPr>
        <w:t>[</w:t>
      </w:r>
      <w:r w:rsidRPr="00140D9D">
        <w:rPr>
          <w:b/>
          <w:bCs/>
          <w:color w:val="C00000"/>
          <w:sz w:val="22"/>
          <w:szCs w:val="22"/>
        </w:rPr>
        <w:t>pirkimo objekto pavadinimas</w:t>
      </w:r>
      <w:r>
        <w:rPr>
          <w:b/>
          <w:bCs/>
          <w:sz w:val="22"/>
          <w:szCs w:val="22"/>
        </w:rPr>
        <w:t>]</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4279440" w:rsidR="005A5832" w:rsidRPr="00A27F60" w:rsidRDefault="00140D9D" w:rsidP="00876509">
            <w:pPr>
              <w:spacing w:line="259" w:lineRule="auto"/>
              <w:jc w:val="center"/>
              <w:rPr>
                <w:b/>
                <w:bCs/>
                <w:sz w:val="22"/>
                <w:szCs w:val="22"/>
              </w:rPr>
            </w:pPr>
            <w:r>
              <w:rPr>
                <w:b/>
                <w:bCs/>
                <w:sz w:val="22"/>
                <w:szCs w:val="22"/>
              </w:rPr>
              <w:t>[</w:t>
            </w:r>
            <w:r w:rsidRPr="00140D9D">
              <w:rPr>
                <w:b/>
                <w:bCs/>
                <w:color w:val="C00000"/>
                <w:sz w:val="22"/>
                <w:szCs w:val="22"/>
              </w:rPr>
              <w:t>pirkimo objekto pavadinimas</w:t>
            </w:r>
            <w:r>
              <w:rPr>
                <w:b/>
                <w:bCs/>
                <w:sz w:val="22"/>
                <w:szCs w:val="22"/>
              </w:rPr>
              <w:t>]</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0D629B" w14:paraId="02C00FD0" w14:textId="77777777" w:rsidTr="00C0277E">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C0277E">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76E0786A" w14:textId="06C977C3" w:rsidR="00E04BBA" w:rsidRDefault="00140D9D" w:rsidP="00E04BBA">
            <w:pPr>
              <w:autoSpaceDE w:val="0"/>
              <w:autoSpaceDN w:val="0"/>
              <w:adjustRightInd w:val="0"/>
              <w:rPr>
                <w:rFonts w:eastAsia="TimesNewRomanPSMT"/>
                <w:sz w:val="22"/>
                <w:szCs w:val="22"/>
              </w:rPr>
            </w:pPr>
            <w:r>
              <w:rPr>
                <w:rFonts w:eastAsia="TimesNewRomanPSMT"/>
                <w:sz w:val="22"/>
                <w:szCs w:val="22"/>
              </w:rPr>
              <w:t xml:space="preserve">Onkologijos ir hematologijos klinikos </w:t>
            </w:r>
            <w:r w:rsidR="00064297">
              <w:rPr>
                <w:rFonts w:eastAsia="TimesNewRomanPSMT"/>
                <w:sz w:val="22"/>
                <w:szCs w:val="22"/>
              </w:rPr>
              <w:t>__________________________</w:t>
            </w:r>
            <w:r w:rsidR="001151F7">
              <w:rPr>
                <w:rFonts w:eastAsia="TimesNewRomanPSMT"/>
                <w:sz w:val="22"/>
                <w:szCs w:val="22"/>
              </w:rPr>
              <w:t>,</w:t>
            </w:r>
            <w:r w:rsidR="00E04BBA" w:rsidRPr="001151F7">
              <w:rPr>
                <w:rFonts w:eastAsia="TimesNewRomanPSMT"/>
                <w:sz w:val="22"/>
                <w:szCs w:val="22"/>
              </w:rPr>
              <w:t xml:space="preserve"> </w:t>
            </w:r>
            <w:r w:rsidR="00E04BBA" w:rsidRPr="00C115B6">
              <w:rPr>
                <w:rFonts w:eastAsia="TimesNewRomanPSMT"/>
                <w:sz w:val="22"/>
                <w:szCs w:val="22"/>
              </w:rPr>
              <w:t xml:space="preserve">tel. </w:t>
            </w:r>
            <w:r>
              <w:rPr>
                <w:rFonts w:eastAsia="TimesNewRomanPSMT"/>
                <w:sz w:val="22"/>
                <w:szCs w:val="22"/>
              </w:rPr>
              <w:t xml:space="preserve">+370 </w:t>
            </w:r>
            <w:r w:rsidR="00064297">
              <w:rPr>
                <w:rFonts w:eastAsia="TimesNewRomanPSMT"/>
                <w:sz w:val="22"/>
                <w:szCs w:val="22"/>
              </w:rPr>
              <w:t>_________</w:t>
            </w:r>
            <w:r w:rsidR="00E04BBA" w:rsidRPr="00C115B6">
              <w:rPr>
                <w:rFonts w:eastAsia="TimesNewRomanPSMT"/>
                <w:sz w:val="22"/>
                <w:szCs w:val="22"/>
              </w:rPr>
              <w:t xml:space="preserve">, el. paštas </w:t>
            </w:r>
            <w:hyperlink r:id="rId12" w:history="1">
              <w:r w:rsidR="00064297" w:rsidRPr="00906407">
                <w:rPr>
                  <w:rStyle w:val="Hipersaitas"/>
                  <w:rFonts w:eastAsia="TimesNewRomanPSMT"/>
                  <w:sz w:val="22"/>
                  <w:szCs w:val="22"/>
                </w:rPr>
                <w:t>_</w:t>
              </w:r>
              <w:r w:rsidR="00064297" w:rsidRPr="00906407">
                <w:rPr>
                  <w:rStyle w:val="Hipersaitas"/>
                  <w:rFonts w:eastAsia="TimesNewRomanPSMT"/>
                </w:rPr>
                <w:t>_________</w:t>
              </w:r>
              <w:r w:rsidR="00064297" w:rsidRPr="00906407">
                <w:rPr>
                  <w:rStyle w:val="Hipersaitas"/>
                  <w:rFonts w:eastAsia="TimesNewRomanPSMT"/>
                  <w:sz w:val="22"/>
                  <w:szCs w:val="22"/>
                </w:rPr>
                <w:t>@kulig.lt</w:t>
              </w:r>
            </w:hyperlink>
            <w:r w:rsidR="001151F7">
              <w:rPr>
                <w:rFonts w:eastAsia="TimesNewRomanPSMT"/>
                <w:sz w:val="22"/>
                <w:szCs w:val="22"/>
              </w:rPr>
              <w:t xml:space="preserve"> </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0D5C2C4E"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r w:rsidRPr="00C115B6">
              <w:rPr>
                <w:rStyle w:val="Emfaz"/>
                <w:i w:val="0"/>
                <w:iCs w:val="0"/>
                <w:sz w:val="22"/>
                <w:szCs w:val="22"/>
                <w:shd w:val="clear" w:color="auto" w:fill="FFFFFF"/>
              </w:rPr>
              <w:t>Zajančauskytė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5F321FC9" w:rsidR="00BB4557" w:rsidRPr="00C115B6" w:rsidRDefault="00BB4557" w:rsidP="00F27621">
            <w:pPr>
              <w:rPr>
                <w:color w:val="4472C4"/>
                <w:kern w:val="2"/>
                <w:sz w:val="22"/>
                <w:szCs w:val="22"/>
              </w:rPr>
            </w:pPr>
            <w:r w:rsidRPr="0085625D">
              <w:rPr>
                <w:kern w:val="2"/>
                <w:sz w:val="22"/>
                <w:szCs w:val="22"/>
              </w:rPr>
              <w:t>Viešųjų pirkimų skyriaus vyriausi</w:t>
            </w:r>
            <w:r w:rsidR="001151F7">
              <w:rPr>
                <w:kern w:val="2"/>
                <w:sz w:val="22"/>
                <w:szCs w:val="22"/>
              </w:rPr>
              <w:t>as</w:t>
            </w:r>
            <w:r w:rsidRPr="0085625D">
              <w:rPr>
                <w:kern w:val="2"/>
                <w:sz w:val="22"/>
                <w:szCs w:val="22"/>
              </w:rPr>
              <w:t>i</w:t>
            </w:r>
            <w:r w:rsidR="001151F7">
              <w:rPr>
                <w:kern w:val="2"/>
                <w:sz w:val="22"/>
                <w:szCs w:val="22"/>
              </w:rPr>
              <w:t>s</w:t>
            </w:r>
            <w:r w:rsidRPr="0085625D">
              <w:rPr>
                <w:kern w:val="2"/>
                <w:sz w:val="22"/>
                <w:szCs w:val="22"/>
              </w:rPr>
              <w:t xml:space="preserve"> specialist</w:t>
            </w:r>
            <w:r w:rsidR="001151F7">
              <w:rPr>
                <w:kern w:val="2"/>
                <w:sz w:val="22"/>
                <w:szCs w:val="22"/>
              </w:rPr>
              <w:t>as</w:t>
            </w:r>
            <w:r w:rsidRPr="0085625D">
              <w:rPr>
                <w:kern w:val="2"/>
                <w:sz w:val="22"/>
                <w:szCs w:val="22"/>
              </w:rPr>
              <w:t xml:space="preserve"> </w:t>
            </w:r>
            <w:r w:rsidR="001151F7">
              <w:rPr>
                <w:kern w:val="2"/>
                <w:sz w:val="22"/>
                <w:szCs w:val="22"/>
              </w:rPr>
              <w:t>Žilvinas Balsevičius</w:t>
            </w:r>
            <w:r w:rsidRPr="0085625D">
              <w:rPr>
                <w:kern w:val="2"/>
                <w:sz w:val="22"/>
                <w:szCs w:val="22"/>
              </w:rPr>
              <w:t>, tel. Nr. 846 4</w:t>
            </w:r>
            <w:r w:rsidR="000C3125">
              <w:rPr>
                <w:kern w:val="2"/>
                <w:sz w:val="22"/>
                <w:szCs w:val="22"/>
              </w:rPr>
              <w:t>9</w:t>
            </w:r>
            <w:r w:rsidRPr="0085625D">
              <w:rPr>
                <w:kern w:val="2"/>
                <w:sz w:val="22"/>
                <w:szCs w:val="22"/>
              </w:rPr>
              <w:t>1</w:t>
            </w:r>
            <w:r w:rsidR="000C3125">
              <w:rPr>
                <w:kern w:val="2"/>
                <w:sz w:val="22"/>
                <w:szCs w:val="22"/>
              </w:rPr>
              <w:t>1</w:t>
            </w:r>
            <w:r w:rsidRPr="0085625D">
              <w:rPr>
                <w:kern w:val="2"/>
                <w:sz w:val="22"/>
                <w:szCs w:val="22"/>
              </w:rPr>
              <w:t>9</w:t>
            </w:r>
            <w:r w:rsidR="000C3125">
              <w:rPr>
                <w:kern w:val="2"/>
                <w:sz w:val="22"/>
                <w:szCs w:val="22"/>
              </w:rPr>
              <w:t>4</w:t>
            </w:r>
            <w:r w:rsidRPr="0085625D">
              <w:rPr>
                <w:kern w:val="2"/>
                <w:sz w:val="22"/>
                <w:szCs w:val="22"/>
              </w:rPr>
              <w:t xml:space="preserve">, el.p. </w:t>
            </w:r>
            <w:hyperlink r:id="rId14" w:history="1">
              <w:r w:rsidR="000C3125" w:rsidRPr="00977A3B">
                <w:rPr>
                  <w:rStyle w:val="Hipersaitas"/>
                  <w:kern w:val="2"/>
                  <w:sz w:val="22"/>
                  <w:szCs w:val="22"/>
                </w:rPr>
                <w:t>zilvinas.balsevicius@kulig.lt</w:t>
              </w:r>
            </w:hyperlink>
          </w:p>
        </w:tc>
      </w:tr>
      <w:bookmarkEnd w:id="5"/>
      <w:tr w:rsidR="005A5832" w:rsidRPr="000D629B" w14:paraId="18BF8B3B" w14:textId="77777777" w:rsidTr="00C0277E">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C0277E">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C0277E">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2F873F5C" w:rsidR="00D512A1" w:rsidRPr="00444CBC" w:rsidRDefault="00140D9D">
            <w:pPr>
              <w:rPr>
                <w:sz w:val="22"/>
                <w:szCs w:val="22"/>
              </w:rPr>
            </w:pPr>
            <w:r>
              <w:rPr>
                <w:sz w:val="22"/>
                <w:szCs w:val="22"/>
              </w:rPr>
              <w:t>M</w:t>
            </w:r>
            <w:r>
              <w:t xml:space="preserve">edicininė įranga </w:t>
            </w:r>
            <w:r w:rsidRPr="00140D9D">
              <w:rPr>
                <w:sz w:val="22"/>
                <w:szCs w:val="22"/>
              </w:rPr>
              <w:t>[</w:t>
            </w:r>
            <w:r w:rsidRPr="00140D9D">
              <w:rPr>
                <w:color w:val="C00000"/>
                <w:sz w:val="22"/>
                <w:szCs w:val="22"/>
              </w:rPr>
              <w:t>pirkimo objekto pavadinimas</w:t>
            </w:r>
            <w:r w:rsidRPr="00140D9D">
              <w:rPr>
                <w:sz w:val="22"/>
                <w:szCs w:val="22"/>
              </w:rPr>
              <w:t>]</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lastRenderedPageBreak/>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C0277E">
        <w:trPr>
          <w:trHeight w:val="300"/>
        </w:trPr>
        <w:tc>
          <w:tcPr>
            <w:tcW w:w="2830" w:type="dxa"/>
          </w:tcPr>
          <w:p w14:paraId="5819190D" w14:textId="77777777" w:rsidR="005A5832" w:rsidRPr="000D629B" w:rsidRDefault="00A10867">
            <w:pPr>
              <w:rPr>
                <w:b/>
                <w:bCs/>
                <w:kern w:val="2"/>
                <w:sz w:val="22"/>
                <w:szCs w:val="22"/>
              </w:rPr>
            </w:pPr>
            <w:r w:rsidRPr="000D629B">
              <w:rPr>
                <w:b/>
                <w:bCs/>
                <w:kern w:val="2"/>
                <w:sz w:val="22"/>
                <w:szCs w:val="22"/>
              </w:rPr>
              <w:lastRenderedPageBreak/>
              <w:t>3.2. Pirkimo numeris</w:t>
            </w:r>
          </w:p>
        </w:tc>
        <w:tc>
          <w:tcPr>
            <w:tcW w:w="6804" w:type="dxa"/>
            <w:gridSpan w:val="2"/>
          </w:tcPr>
          <w:p w14:paraId="55E2E695" w14:textId="7296661D" w:rsidR="005A5832" w:rsidRPr="002A4BA1" w:rsidRDefault="005A5832">
            <w:pPr>
              <w:rPr>
                <w:b/>
                <w:bCs/>
                <w:kern w:val="2"/>
                <w:sz w:val="22"/>
                <w:szCs w:val="22"/>
              </w:rPr>
            </w:pPr>
          </w:p>
        </w:tc>
      </w:tr>
      <w:tr w:rsidR="005A5832" w:rsidRPr="000D629B" w14:paraId="2B336937" w14:textId="77777777" w:rsidTr="00C0277E">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C0277E">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C0277E">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22ADEBE3"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140D9D">
              <w:rPr>
                <w:b/>
                <w:bCs/>
                <w:sz w:val="22"/>
                <w:szCs w:val="22"/>
              </w:rPr>
              <w:t>[</w:t>
            </w:r>
            <w:r w:rsidR="00140D9D" w:rsidRPr="00140D9D">
              <w:rPr>
                <w:b/>
                <w:bCs/>
                <w:color w:val="C00000"/>
                <w:sz w:val="22"/>
                <w:szCs w:val="22"/>
              </w:rPr>
              <w:t>p</w:t>
            </w:r>
            <w:r w:rsidR="00140D9D" w:rsidRPr="00140D9D">
              <w:rPr>
                <w:b/>
                <w:bCs/>
                <w:color w:val="C00000"/>
              </w:rPr>
              <w:t xml:space="preserve">agal </w:t>
            </w:r>
            <w:r w:rsidR="00140D9D" w:rsidRPr="00140D9D">
              <w:rPr>
                <w:b/>
                <w:bCs/>
                <w:color w:val="C00000"/>
                <w:sz w:val="22"/>
                <w:szCs w:val="22"/>
              </w:rPr>
              <w:t>pirkimo objekt</w:t>
            </w:r>
            <w:r w:rsidR="00140D9D">
              <w:rPr>
                <w:b/>
                <w:bCs/>
                <w:color w:val="C00000"/>
                <w:sz w:val="22"/>
                <w:szCs w:val="22"/>
              </w:rPr>
              <w:t>ą</w:t>
            </w:r>
            <w:r w:rsidR="00140D9D">
              <w:rPr>
                <w:b/>
                <w:bCs/>
                <w:sz w:val="22"/>
                <w:szCs w:val="22"/>
              </w:rPr>
              <w:t xml:space="preserve">]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105EC671"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C0277E">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413995B0" w:rsidR="005A5832" w:rsidRPr="000D629B" w:rsidRDefault="00511915" w:rsidP="00511915">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5A5832" w:rsidRPr="000D629B" w14:paraId="0E680CF9" w14:textId="77777777" w:rsidTr="00C0277E">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C0277E">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C0277E">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C0277E">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C0277E">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C0277E">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C0277E">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C0277E">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C0277E">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C0277E">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C0277E">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C0277E">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C0277E">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882B1A">
            <w:pPr>
              <w:jc w:val="both"/>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C0277E">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C0277E">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C0277E">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C0277E">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269C2A5"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C0277E">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C0277E">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C0277E">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C0277E">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C0277E">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C0277E">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C0277E">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C0277E">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C0277E">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C0277E">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C0277E">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C0277E">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C0277E">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C0277E">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C0277E">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C0277E">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C0277E">
        <w:trPr>
          <w:trHeight w:val="300"/>
        </w:trPr>
        <w:tc>
          <w:tcPr>
            <w:tcW w:w="9634"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C0277E">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804" w:type="dxa"/>
            <w:gridSpan w:val="2"/>
          </w:tcPr>
          <w:p w14:paraId="05036B5C" w14:textId="3B8D1E17" w:rsidR="005A5832" w:rsidRPr="00882B1A" w:rsidRDefault="00A10867" w:rsidP="00140D9D">
            <w:pPr>
              <w:jc w:val="both"/>
              <w:rPr>
                <w:kern w:val="2"/>
                <w:sz w:val="22"/>
                <w:szCs w:val="22"/>
              </w:rPr>
            </w:pPr>
            <w:r w:rsidRPr="00882B1A">
              <w:rPr>
                <w:kern w:val="2"/>
                <w:sz w:val="22"/>
                <w:szCs w:val="22"/>
              </w:rPr>
              <w:t>Ši Sutartis laikoma sudaryta ir įsigalioja nuo Sutarties pasirašymo dienos (antrosios Šalies pasirašymo dieną).</w:t>
            </w:r>
          </w:p>
          <w:p w14:paraId="02983786" w14:textId="22F81845" w:rsidR="005A5832" w:rsidRPr="00882B1A" w:rsidRDefault="00A10867" w:rsidP="00140D9D">
            <w:pPr>
              <w:jc w:val="both"/>
              <w:rPr>
                <w:color w:val="4472C4"/>
                <w:kern w:val="2"/>
                <w:sz w:val="22"/>
                <w:szCs w:val="22"/>
              </w:rPr>
            </w:pPr>
            <w:r w:rsidRPr="00882B1A">
              <w:rPr>
                <w:kern w:val="2"/>
                <w:sz w:val="22"/>
                <w:szCs w:val="22"/>
              </w:rPr>
              <w:t xml:space="preserve">Sutartis galioja iki visiško prievolių įvykdymo, bet </w:t>
            </w:r>
            <w:r w:rsidR="00D54725">
              <w:rPr>
                <w:kern w:val="2"/>
                <w:sz w:val="22"/>
                <w:szCs w:val="22"/>
              </w:rPr>
              <w:t xml:space="preserve">įrangos </w:t>
            </w:r>
            <w:r w:rsidR="00D54725" w:rsidRPr="00D36039">
              <w:rPr>
                <w:sz w:val="22"/>
                <w:szCs w:val="22"/>
              </w:rPr>
              <w:t>pristatymo, montavimo, instaliavimo/įdiegimo ir paleidimo bei personalo apmokymo terminas (jei reikalinga)</w:t>
            </w:r>
            <w:r w:rsidRPr="00882B1A">
              <w:rPr>
                <w:kern w:val="2"/>
                <w:sz w:val="22"/>
                <w:szCs w:val="22"/>
              </w:rPr>
              <w:t xml:space="preserve"> terminas negali būti ilgesnis kaip </w:t>
            </w:r>
            <w:r w:rsidR="00D54725">
              <w:rPr>
                <w:b/>
                <w:bCs/>
                <w:sz w:val="22"/>
                <w:szCs w:val="22"/>
              </w:rPr>
              <w:t>[</w:t>
            </w:r>
            <w:r w:rsidR="00D54725" w:rsidRPr="00140D9D">
              <w:rPr>
                <w:b/>
                <w:bCs/>
                <w:color w:val="C00000"/>
                <w:sz w:val="22"/>
                <w:szCs w:val="22"/>
              </w:rPr>
              <w:t>p</w:t>
            </w:r>
            <w:r w:rsidR="00D54725" w:rsidRPr="00140D9D">
              <w:rPr>
                <w:b/>
                <w:bCs/>
                <w:color w:val="C00000"/>
              </w:rPr>
              <w:t xml:space="preserve">agal </w:t>
            </w:r>
            <w:r w:rsidR="00D54725" w:rsidRPr="00140D9D">
              <w:rPr>
                <w:b/>
                <w:bCs/>
                <w:color w:val="C00000"/>
                <w:sz w:val="22"/>
                <w:szCs w:val="22"/>
              </w:rPr>
              <w:t>pirkimo objekt</w:t>
            </w:r>
            <w:r w:rsidR="00D54725">
              <w:rPr>
                <w:b/>
                <w:bCs/>
                <w:color w:val="C00000"/>
                <w:sz w:val="22"/>
                <w:szCs w:val="22"/>
              </w:rPr>
              <w:t>ą</w:t>
            </w:r>
            <w:r w:rsidR="00D54725">
              <w:rPr>
                <w:b/>
                <w:bCs/>
                <w:sz w:val="22"/>
                <w:szCs w:val="22"/>
              </w:rPr>
              <w:t>]</w:t>
            </w:r>
          </w:p>
        </w:tc>
      </w:tr>
      <w:tr w:rsidR="005A5832" w:rsidRPr="000D629B" w14:paraId="66055558" w14:textId="77777777" w:rsidTr="00C0277E">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804" w:type="dxa"/>
            <w:gridSpan w:val="2"/>
          </w:tcPr>
          <w:p w14:paraId="78AB7DC8" w14:textId="4EBA105F" w:rsidR="005A5832" w:rsidRPr="000D629B" w:rsidRDefault="00A10867" w:rsidP="009B283C">
            <w:pPr>
              <w:rPr>
                <w:kern w:val="2"/>
                <w:sz w:val="22"/>
                <w:szCs w:val="22"/>
              </w:rPr>
            </w:pPr>
            <w:r w:rsidRPr="000D629B">
              <w:rPr>
                <w:kern w:val="2"/>
                <w:sz w:val="22"/>
                <w:szCs w:val="22"/>
              </w:rPr>
              <w:t>Netaikoma</w:t>
            </w:r>
          </w:p>
        </w:tc>
      </w:tr>
      <w:tr w:rsidR="005A5832" w:rsidRPr="000D629B" w14:paraId="4882BADE" w14:textId="77777777" w:rsidTr="00C0277E">
        <w:trPr>
          <w:trHeight w:val="300"/>
        </w:trPr>
        <w:tc>
          <w:tcPr>
            <w:tcW w:w="9634"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C0277E">
        <w:trPr>
          <w:trHeight w:val="300"/>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C0277E">
        <w:trPr>
          <w:trHeight w:val="300"/>
        </w:trPr>
        <w:tc>
          <w:tcPr>
            <w:tcW w:w="2830"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C0277E">
        <w:trPr>
          <w:trHeight w:val="300"/>
        </w:trPr>
        <w:tc>
          <w:tcPr>
            <w:tcW w:w="9634" w:type="dxa"/>
            <w:gridSpan w:val="3"/>
          </w:tcPr>
          <w:p w14:paraId="4821335E" w14:textId="77777777" w:rsidR="005A5832" w:rsidRPr="000D629B" w:rsidRDefault="00A10867">
            <w:pPr>
              <w:jc w:val="center"/>
              <w:rPr>
                <w:kern w:val="2"/>
                <w:sz w:val="22"/>
                <w:szCs w:val="22"/>
              </w:rPr>
            </w:pPr>
            <w:r w:rsidRPr="000D629B">
              <w:rPr>
                <w:b/>
                <w:bCs/>
                <w:kern w:val="2"/>
                <w:sz w:val="22"/>
                <w:szCs w:val="22"/>
              </w:rPr>
              <w:lastRenderedPageBreak/>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C0277E">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C0277E">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C0277E">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C0277E">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C0277E">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C0277E">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w:t>
            </w:r>
            <w:r w:rsidRPr="000D629B">
              <w:rPr>
                <w:bCs/>
                <w:sz w:val="22"/>
                <w:szCs w:val="22"/>
              </w:rPr>
              <w:lastRenderedPageBreak/>
              <w:t>Pirkėjui pareikalavus, Pardavėjas  privalo pateikti minėto punkto įgyvendinimą pagrindžiančius įrodymus.</w:t>
            </w:r>
          </w:p>
        </w:tc>
      </w:tr>
      <w:tr w:rsidR="001B206E" w:rsidRPr="000D629B" w14:paraId="671A6551" w14:textId="77777777" w:rsidTr="00C0277E">
        <w:trPr>
          <w:trHeight w:val="300"/>
        </w:trPr>
        <w:tc>
          <w:tcPr>
            <w:tcW w:w="9634" w:type="dxa"/>
            <w:gridSpan w:val="3"/>
          </w:tcPr>
          <w:p w14:paraId="6B6D9C84" w14:textId="363BCFFB" w:rsidR="001B206E" w:rsidRPr="000D629B" w:rsidRDefault="001B206E" w:rsidP="001B206E">
            <w:pPr>
              <w:jc w:val="center"/>
              <w:rPr>
                <w:bCs/>
                <w:sz w:val="22"/>
                <w:szCs w:val="22"/>
              </w:rPr>
            </w:pPr>
            <w:r w:rsidRPr="00724EA2">
              <w:rPr>
                <w:b/>
                <w:bCs/>
                <w:kern w:val="2"/>
                <w:sz w:val="22"/>
                <w:szCs w:val="22"/>
              </w:rPr>
              <w:lastRenderedPageBreak/>
              <w:t>13. BENDRŲJŲ SĄLYGŲ PAKEITIMAI IR PAPILDYMAI</w:t>
            </w:r>
          </w:p>
        </w:tc>
      </w:tr>
      <w:tr w:rsidR="001B206E" w:rsidRPr="000D629B" w14:paraId="1A66C1A3" w14:textId="77777777" w:rsidTr="00C0277E">
        <w:trPr>
          <w:trHeight w:val="300"/>
        </w:trPr>
        <w:tc>
          <w:tcPr>
            <w:tcW w:w="2830"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6804" w:type="dxa"/>
            <w:gridSpan w:val="2"/>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C0277E">
        <w:trPr>
          <w:trHeight w:val="300"/>
        </w:trPr>
        <w:tc>
          <w:tcPr>
            <w:tcW w:w="9634" w:type="dxa"/>
            <w:gridSpan w:val="3"/>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C0277E">
        <w:trPr>
          <w:trHeight w:val="300"/>
        </w:trPr>
        <w:tc>
          <w:tcPr>
            <w:tcW w:w="2830"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C0277E">
        <w:trPr>
          <w:trHeight w:val="300"/>
        </w:trPr>
        <w:tc>
          <w:tcPr>
            <w:tcW w:w="2830" w:type="dxa"/>
          </w:tcPr>
          <w:p w14:paraId="2F937B27" w14:textId="0125A921" w:rsidR="00BB6E25" w:rsidRPr="000D629B" w:rsidRDefault="00BB6E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C0277E">
        <w:trPr>
          <w:trHeight w:val="300"/>
        </w:trPr>
        <w:tc>
          <w:tcPr>
            <w:tcW w:w="2830" w:type="dxa"/>
          </w:tcPr>
          <w:p w14:paraId="32B83A15" w14:textId="1B6959F8" w:rsidR="00D54725" w:rsidRPr="000D629B" w:rsidRDefault="00D547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C0277E">
        <w:tc>
          <w:tcPr>
            <w:tcW w:w="9634" w:type="dxa"/>
            <w:gridSpan w:val="3"/>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C0277E">
        <w:tc>
          <w:tcPr>
            <w:tcW w:w="5240" w:type="dxa"/>
            <w:gridSpan w:val="2"/>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C0277E">
        <w:tc>
          <w:tcPr>
            <w:tcW w:w="5240" w:type="dxa"/>
            <w:gridSpan w:val="2"/>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C0277E">
        <w:tc>
          <w:tcPr>
            <w:tcW w:w="5240" w:type="dxa"/>
            <w:gridSpan w:val="2"/>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B6E25">
        <w:rPr>
          <w:i/>
          <w:iCs/>
          <w:sz w:val="20"/>
        </w:rPr>
        <w:t>sui generis</w:t>
      </w:r>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4297"/>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4BA1"/>
    <w:rsid w:val="002F145E"/>
    <w:rsid w:val="003826F4"/>
    <w:rsid w:val="003B732B"/>
    <w:rsid w:val="003E6D48"/>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4177E"/>
    <w:rsid w:val="00947376"/>
    <w:rsid w:val="00956BA4"/>
    <w:rsid w:val="00990810"/>
    <w:rsid w:val="009B283C"/>
    <w:rsid w:val="009C0D0E"/>
    <w:rsid w:val="009F7BBC"/>
    <w:rsid w:val="00A02054"/>
    <w:rsid w:val="00A10867"/>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__________@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62836</Words>
  <Characters>35818</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2025-02-20T12:42:00Z</dcterms:created>
  <dcterms:modified xsi:type="dcterms:W3CDTF">2025-02-20T14:23:00Z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