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539B" w14:textId="77777777" w:rsidR="00DD2207" w:rsidRPr="008C5ED5" w:rsidRDefault="00DD2207" w:rsidP="00DD2207">
      <w:pPr>
        <w:spacing w:after="0" w:line="240" w:lineRule="auto"/>
        <w:jc w:val="right"/>
        <w:rPr>
          <w:b/>
          <w:bCs/>
        </w:rPr>
      </w:pPr>
    </w:p>
    <w:tbl>
      <w:tblPr>
        <w:tblpPr w:leftFromText="180" w:rightFromText="180" w:vertAnchor="text" w:horzAnchor="margin" w:tblpXSpec="center" w:tblpY="8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072"/>
      </w:tblGrid>
      <w:tr w:rsidR="00DD2207" w:rsidRPr="000966C3" w14:paraId="48D1F789" w14:textId="77777777" w:rsidTr="0030463F">
        <w:trPr>
          <w:trHeight w:val="379"/>
        </w:trPr>
        <w:tc>
          <w:tcPr>
            <w:tcW w:w="10065" w:type="dxa"/>
            <w:gridSpan w:val="2"/>
            <w:shd w:val="clear" w:color="000000" w:fill="D0CECE"/>
            <w:noWrap/>
            <w:vAlign w:val="bottom"/>
            <w:hideMark/>
          </w:tcPr>
          <w:p w14:paraId="7A131322" w14:textId="77777777" w:rsidR="00DD2207" w:rsidRPr="000966C3" w:rsidRDefault="00DD2207" w:rsidP="0030463F">
            <w:pPr>
              <w:spacing w:after="0" w:line="240" w:lineRule="auto"/>
              <w:jc w:val="center"/>
              <w:rPr>
                <w:rFonts w:eastAsia="Times New Roman"/>
                <w:b/>
                <w:bCs/>
                <w:sz w:val="22"/>
                <w:lang w:eastAsia="lt-LT"/>
              </w:rPr>
            </w:pPr>
            <w:r w:rsidRPr="000966C3">
              <w:rPr>
                <w:rFonts w:eastAsia="Times New Roman"/>
                <w:b/>
                <w:bCs/>
                <w:sz w:val="22"/>
                <w:lang w:eastAsia="lt-LT"/>
              </w:rPr>
              <w:t>TECHNINĖ SPECIFIKACIJA</w:t>
            </w:r>
          </w:p>
        </w:tc>
      </w:tr>
      <w:tr w:rsidR="00DD2207" w:rsidRPr="000966C3" w14:paraId="63120C96" w14:textId="77777777" w:rsidTr="0030463F">
        <w:trPr>
          <w:trHeight w:val="285"/>
        </w:trPr>
        <w:tc>
          <w:tcPr>
            <w:tcW w:w="993" w:type="dxa"/>
            <w:shd w:val="clear" w:color="auto" w:fill="auto"/>
            <w:vAlign w:val="bottom"/>
            <w:hideMark/>
          </w:tcPr>
          <w:p w14:paraId="551E0F25" w14:textId="77777777" w:rsidR="00DD2207" w:rsidRPr="000966C3" w:rsidRDefault="00DD2207" w:rsidP="0030463F">
            <w:pPr>
              <w:spacing w:after="0" w:line="240" w:lineRule="auto"/>
              <w:rPr>
                <w:rFonts w:eastAsia="Times New Roman"/>
                <w:b/>
                <w:bCs/>
                <w:sz w:val="22"/>
                <w:lang w:eastAsia="lt-LT"/>
              </w:rPr>
            </w:pPr>
            <w:r w:rsidRPr="000966C3">
              <w:rPr>
                <w:rFonts w:eastAsia="Times New Roman"/>
                <w:b/>
                <w:bCs/>
                <w:sz w:val="22"/>
                <w:lang w:eastAsia="lt-LT"/>
              </w:rPr>
              <w:t>1.1.</w:t>
            </w:r>
          </w:p>
        </w:tc>
        <w:tc>
          <w:tcPr>
            <w:tcW w:w="9072" w:type="dxa"/>
            <w:shd w:val="clear" w:color="auto" w:fill="auto"/>
            <w:vAlign w:val="bottom"/>
            <w:hideMark/>
          </w:tcPr>
          <w:p w14:paraId="7D37DC79" w14:textId="77777777" w:rsidR="00DD2207" w:rsidRPr="000966C3" w:rsidRDefault="00DD2207" w:rsidP="0030463F">
            <w:pPr>
              <w:spacing w:after="0" w:line="240" w:lineRule="auto"/>
              <w:rPr>
                <w:rFonts w:eastAsia="Times New Roman"/>
                <w:b/>
                <w:bCs/>
                <w:sz w:val="22"/>
                <w:lang w:eastAsia="lt-LT"/>
              </w:rPr>
            </w:pPr>
            <w:r w:rsidRPr="000966C3">
              <w:rPr>
                <w:rFonts w:eastAsia="Times New Roman"/>
                <w:b/>
                <w:bCs/>
                <w:sz w:val="22"/>
                <w:lang w:eastAsia="lt-LT"/>
              </w:rPr>
              <w:t>Pacientų pervežimas automobiliu su pradinio gyvybės palaikymo greitosios medicinos pagalbos brigada</w:t>
            </w:r>
          </w:p>
        </w:tc>
      </w:tr>
      <w:tr w:rsidR="00DD2207" w:rsidRPr="000966C3" w14:paraId="0FACC9ED" w14:textId="77777777" w:rsidTr="0030463F">
        <w:trPr>
          <w:trHeight w:val="945"/>
        </w:trPr>
        <w:tc>
          <w:tcPr>
            <w:tcW w:w="993" w:type="dxa"/>
            <w:shd w:val="clear" w:color="auto" w:fill="auto"/>
            <w:vAlign w:val="bottom"/>
            <w:hideMark/>
          </w:tcPr>
          <w:p w14:paraId="4679AF6F"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1.1.1.</w:t>
            </w:r>
          </w:p>
        </w:tc>
        <w:tc>
          <w:tcPr>
            <w:tcW w:w="9072" w:type="dxa"/>
            <w:shd w:val="clear" w:color="auto" w:fill="auto"/>
            <w:vAlign w:val="bottom"/>
            <w:hideMark/>
          </w:tcPr>
          <w:p w14:paraId="454C001A"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Pacientų pervežimo greitosios medicinos pagalbos automobiliais Lietuvos teritorijoje paslaugos apima pacientų pervežimo atvejus, iš Perkančiosios organizacijos į kitą asmens sveikatos priežiūros įstaigas (ASPĮ) tolimesniam gydymui, diagnostinėms, gydomosioms procedūroms ar tyrimams atlikti, į namus po stacionarinio gydymo.</w:t>
            </w:r>
          </w:p>
        </w:tc>
      </w:tr>
      <w:tr w:rsidR="00DD2207" w:rsidRPr="000966C3" w14:paraId="037D7CE6" w14:textId="77777777" w:rsidTr="0030463F">
        <w:trPr>
          <w:trHeight w:val="630"/>
        </w:trPr>
        <w:tc>
          <w:tcPr>
            <w:tcW w:w="993" w:type="dxa"/>
            <w:shd w:val="clear" w:color="auto" w:fill="auto"/>
            <w:vAlign w:val="bottom"/>
            <w:hideMark/>
          </w:tcPr>
          <w:p w14:paraId="72CB52D3"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1.1.2.</w:t>
            </w:r>
          </w:p>
        </w:tc>
        <w:tc>
          <w:tcPr>
            <w:tcW w:w="9072" w:type="dxa"/>
            <w:shd w:val="clear" w:color="auto" w:fill="auto"/>
            <w:vAlign w:val="bottom"/>
            <w:hideMark/>
          </w:tcPr>
          <w:p w14:paraId="7D355EA9"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Tiekėjas, teikdamas paslaugas, privalo laikytis LR Sveikatos apsaugos ministro 2007 lapkričio 6 d. įsakyme "Greitosios medicinos pagalbos paslaugų teikimo reikalavimai" Nr. V-895 (aktuali redakcija) nustatytų reikalavimų.</w:t>
            </w:r>
          </w:p>
        </w:tc>
      </w:tr>
      <w:tr w:rsidR="00DD2207" w:rsidRPr="000966C3" w14:paraId="531F5667" w14:textId="77777777" w:rsidTr="0030463F">
        <w:trPr>
          <w:trHeight w:val="630"/>
        </w:trPr>
        <w:tc>
          <w:tcPr>
            <w:tcW w:w="993" w:type="dxa"/>
            <w:shd w:val="clear" w:color="auto" w:fill="auto"/>
            <w:vAlign w:val="bottom"/>
            <w:hideMark/>
          </w:tcPr>
          <w:p w14:paraId="002D2EA5"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1.1.3.</w:t>
            </w:r>
          </w:p>
        </w:tc>
        <w:tc>
          <w:tcPr>
            <w:tcW w:w="9072" w:type="dxa"/>
            <w:shd w:val="clear" w:color="auto" w:fill="auto"/>
            <w:vAlign w:val="bottom"/>
            <w:hideMark/>
          </w:tcPr>
          <w:p w14:paraId="60630E10"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DD2207" w:rsidRPr="000966C3" w14:paraId="3323ECF9" w14:textId="77777777" w:rsidTr="0030463F">
        <w:trPr>
          <w:trHeight w:val="1260"/>
        </w:trPr>
        <w:tc>
          <w:tcPr>
            <w:tcW w:w="993" w:type="dxa"/>
            <w:shd w:val="clear" w:color="auto" w:fill="auto"/>
            <w:vAlign w:val="bottom"/>
            <w:hideMark/>
          </w:tcPr>
          <w:p w14:paraId="7442866E"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1.1.4.</w:t>
            </w:r>
          </w:p>
        </w:tc>
        <w:tc>
          <w:tcPr>
            <w:tcW w:w="9072" w:type="dxa"/>
            <w:shd w:val="clear" w:color="auto" w:fill="auto"/>
            <w:vAlign w:val="bottom"/>
            <w:hideMark/>
          </w:tcPr>
          <w:p w14:paraId="372C2212" w14:textId="3A2609BA"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Tiekėj</w:t>
            </w:r>
            <w:r w:rsidR="00A75594">
              <w:rPr>
                <w:rFonts w:eastAsia="Times New Roman"/>
                <w:sz w:val="22"/>
                <w:lang w:eastAsia="lt-LT"/>
              </w:rPr>
              <w:t>o</w:t>
            </w:r>
            <w:r w:rsidRPr="000966C3">
              <w:rPr>
                <w:rFonts w:eastAsia="Times New Roman"/>
                <w:sz w:val="22"/>
                <w:lang w:eastAsia="lt-LT"/>
              </w:rPr>
              <w:t xml:space="preserve">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p>
        </w:tc>
      </w:tr>
      <w:tr w:rsidR="00DD2207" w:rsidRPr="000966C3" w14:paraId="720B1556" w14:textId="77777777" w:rsidTr="0030463F">
        <w:trPr>
          <w:trHeight w:val="427"/>
        </w:trPr>
        <w:tc>
          <w:tcPr>
            <w:tcW w:w="993" w:type="dxa"/>
            <w:shd w:val="clear" w:color="auto" w:fill="auto"/>
            <w:vAlign w:val="bottom"/>
            <w:hideMark/>
          </w:tcPr>
          <w:p w14:paraId="0446DD89"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1.1.5.</w:t>
            </w:r>
          </w:p>
        </w:tc>
        <w:tc>
          <w:tcPr>
            <w:tcW w:w="9072" w:type="dxa"/>
            <w:shd w:val="clear" w:color="auto" w:fill="auto"/>
            <w:vAlign w:val="bottom"/>
            <w:hideMark/>
          </w:tcPr>
          <w:p w14:paraId="2DAD726A" w14:textId="6737E58A"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Paslaugos turi būti teikiamos, t.</w:t>
            </w:r>
            <w:r w:rsidR="005E42C1">
              <w:rPr>
                <w:rFonts w:eastAsia="Times New Roman"/>
                <w:sz w:val="22"/>
                <w:lang w:eastAsia="lt-LT"/>
              </w:rPr>
              <w:t xml:space="preserve"> </w:t>
            </w:r>
            <w:r w:rsidRPr="000966C3">
              <w:rPr>
                <w:rFonts w:eastAsia="Times New Roman"/>
                <w:sz w:val="22"/>
                <w:lang w:eastAsia="lt-LT"/>
              </w:rPr>
              <w:t>y. pacientai vežami iš Perkančiosios organizacijos padalinių 24 val. per parą, 7 dienas per savaitę, darbo ir poilsio dienomis.</w:t>
            </w:r>
          </w:p>
        </w:tc>
      </w:tr>
      <w:tr w:rsidR="007A0A73" w:rsidRPr="000966C3" w14:paraId="6E9E1999" w14:textId="77777777" w:rsidTr="00800D3D">
        <w:tc>
          <w:tcPr>
            <w:tcW w:w="993" w:type="dxa"/>
            <w:shd w:val="clear" w:color="auto" w:fill="auto"/>
            <w:vAlign w:val="bottom"/>
          </w:tcPr>
          <w:p w14:paraId="24460083" w14:textId="4AB9D111" w:rsidR="007A0A73" w:rsidRPr="000966C3" w:rsidRDefault="007A0A73" w:rsidP="0030463F">
            <w:pPr>
              <w:spacing w:after="0" w:line="240" w:lineRule="auto"/>
              <w:rPr>
                <w:rFonts w:eastAsia="Times New Roman"/>
                <w:sz w:val="22"/>
                <w:lang w:eastAsia="lt-LT"/>
              </w:rPr>
            </w:pPr>
            <w:r>
              <w:rPr>
                <w:rFonts w:eastAsia="Times New Roman"/>
                <w:sz w:val="22"/>
                <w:lang w:eastAsia="lt-LT"/>
              </w:rPr>
              <w:t>1.1.</w:t>
            </w:r>
            <w:r w:rsidR="0042524F">
              <w:rPr>
                <w:rFonts w:eastAsia="Times New Roman"/>
                <w:sz w:val="22"/>
                <w:lang w:eastAsia="lt-LT"/>
              </w:rPr>
              <w:t>6.</w:t>
            </w:r>
          </w:p>
        </w:tc>
        <w:tc>
          <w:tcPr>
            <w:tcW w:w="9072" w:type="dxa"/>
            <w:shd w:val="clear" w:color="auto" w:fill="auto"/>
            <w:vAlign w:val="bottom"/>
          </w:tcPr>
          <w:p w14:paraId="2C8E6AA5" w14:textId="2FBBF15F" w:rsidR="007A0A73" w:rsidRPr="000966C3" w:rsidRDefault="0042524F" w:rsidP="0030463F">
            <w:pPr>
              <w:spacing w:after="0" w:line="240" w:lineRule="auto"/>
              <w:rPr>
                <w:rFonts w:eastAsia="Times New Roman"/>
                <w:sz w:val="22"/>
                <w:lang w:eastAsia="lt-LT"/>
              </w:rPr>
            </w:pPr>
            <w:r>
              <w:rPr>
                <w:rFonts w:eastAsia="Times New Roman"/>
                <w:sz w:val="22"/>
                <w:lang w:eastAsia="lt-LT"/>
              </w:rPr>
              <w:t>Preliminarus pas</w:t>
            </w:r>
            <w:r w:rsidR="005E42C1">
              <w:rPr>
                <w:rFonts w:eastAsia="Times New Roman"/>
                <w:sz w:val="22"/>
                <w:lang w:eastAsia="lt-LT"/>
              </w:rPr>
              <w:t>laugų kiekis</w:t>
            </w:r>
            <w:r w:rsidR="00A23347">
              <w:rPr>
                <w:rFonts w:eastAsia="Times New Roman"/>
                <w:sz w:val="22"/>
                <w:lang w:eastAsia="lt-LT"/>
              </w:rPr>
              <w:t xml:space="preserve"> 36 mėn., </w:t>
            </w:r>
            <w:r w:rsidR="005E42C1">
              <w:rPr>
                <w:rFonts w:eastAsia="Times New Roman"/>
                <w:sz w:val="22"/>
                <w:lang w:eastAsia="lt-LT"/>
              </w:rPr>
              <w:t xml:space="preserve">val.: </w:t>
            </w:r>
            <w:r w:rsidR="00A23347">
              <w:rPr>
                <w:rFonts w:eastAsia="Times New Roman"/>
                <w:sz w:val="22"/>
                <w:lang w:eastAsia="lt-LT"/>
              </w:rPr>
              <w:t>600</w:t>
            </w:r>
          </w:p>
        </w:tc>
      </w:tr>
      <w:tr w:rsidR="00DD2207" w:rsidRPr="000966C3" w14:paraId="210D452F" w14:textId="77777777" w:rsidTr="0030463F">
        <w:trPr>
          <w:trHeight w:val="315"/>
        </w:trPr>
        <w:tc>
          <w:tcPr>
            <w:tcW w:w="993" w:type="dxa"/>
            <w:shd w:val="clear" w:color="auto" w:fill="auto"/>
            <w:vAlign w:val="bottom"/>
            <w:hideMark/>
          </w:tcPr>
          <w:p w14:paraId="2E3E735D" w14:textId="77777777" w:rsidR="00DD2207" w:rsidRPr="000966C3" w:rsidRDefault="00DD2207" w:rsidP="0030463F">
            <w:pPr>
              <w:spacing w:after="0" w:line="240" w:lineRule="auto"/>
              <w:rPr>
                <w:rFonts w:eastAsia="Times New Roman"/>
                <w:b/>
                <w:bCs/>
                <w:sz w:val="22"/>
                <w:lang w:eastAsia="lt-LT"/>
              </w:rPr>
            </w:pPr>
            <w:r w:rsidRPr="000966C3">
              <w:rPr>
                <w:rFonts w:eastAsia="Times New Roman"/>
                <w:b/>
                <w:bCs/>
                <w:sz w:val="22"/>
                <w:lang w:eastAsia="lt-LT"/>
              </w:rPr>
              <w:t>1.2.</w:t>
            </w:r>
          </w:p>
        </w:tc>
        <w:tc>
          <w:tcPr>
            <w:tcW w:w="9072" w:type="dxa"/>
            <w:shd w:val="clear" w:color="auto" w:fill="auto"/>
            <w:vAlign w:val="bottom"/>
            <w:hideMark/>
          </w:tcPr>
          <w:p w14:paraId="2CDC78A6" w14:textId="77777777" w:rsidR="00DD2207" w:rsidRPr="000966C3" w:rsidRDefault="00DD2207" w:rsidP="0030463F">
            <w:pPr>
              <w:spacing w:after="0" w:line="240" w:lineRule="auto"/>
              <w:rPr>
                <w:rFonts w:eastAsia="Times New Roman"/>
                <w:b/>
                <w:bCs/>
                <w:sz w:val="22"/>
                <w:lang w:eastAsia="lt-LT"/>
              </w:rPr>
            </w:pPr>
            <w:r w:rsidRPr="000966C3">
              <w:rPr>
                <w:rFonts w:eastAsia="Times New Roman"/>
                <w:b/>
                <w:bCs/>
                <w:sz w:val="22"/>
                <w:lang w:eastAsia="lt-LT"/>
              </w:rPr>
              <w:t>Pacientų pervežimas automobiliu su pažangaus gyvybės palaikymo greitosios medicinos brigada</w:t>
            </w:r>
          </w:p>
        </w:tc>
      </w:tr>
      <w:tr w:rsidR="00DD2207" w:rsidRPr="000966C3" w14:paraId="19898B3F" w14:textId="77777777" w:rsidTr="0030463F">
        <w:trPr>
          <w:trHeight w:val="945"/>
        </w:trPr>
        <w:tc>
          <w:tcPr>
            <w:tcW w:w="993" w:type="dxa"/>
            <w:shd w:val="clear" w:color="auto" w:fill="auto"/>
            <w:vAlign w:val="bottom"/>
            <w:hideMark/>
          </w:tcPr>
          <w:p w14:paraId="1523DD7D"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1.2.1.</w:t>
            </w:r>
          </w:p>
        </w:tc>
        <w:tc>
          <w:tcPr>
            <w:tcW w:w="9072" w:type="dxa"/>
            <w:shd w:val="clear" w:color="auto" w:fill="auto"/>
            <w:vAlign w:val="bottom"/>
            <w:hideMark/>
          </w:tcPr>
          <w:p w14:paraId="1BF4CDD8"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Pacientų pervežimo greitosios medicinos pagalbos automobiliais Lietuvos teritorijoje paslaugos apima pacientų pervežimo atvejus, iš Perkančiosios organizacijos į kitą asmens sveikatos priežiūros įstaigas (ASPĮ) tolimesniam gydymui, diagnostinėms, gydomosioms procedūroms ar tyrimams atlikti, į namus po stacionarinio gydymo.</w:t>
            </w:r>
          </w:p>
        </w:tc>
      </w:tr>
      <w:tr w:rsidR="00DD2207" w:rsidRPr="000966C3" w14:paraId="35114324" w14:textId="77777777" w:rsidTr="0030463F">
        <w:trPr>
          <w:trHeight w:val="630"/>
        </w:trPr>
        <w:tc>
          <w:tcPr>
            <w:tcW w:w="993" w:type="dxa"/>
            <w:shd w:val="clear" w:color="auto" w:fill="auto"/>
            <w:vAlign w:val="bottom"/>
            <w:hideMark/>
          </w:tcPr>
          <w:p w14:paraId="4CAFB711"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1.2.2.</w:t>
            </w:r>
          </w:p>
        </w:tc>
        <w:tc>
          <w:tcPr>
            <w:tcW w:w="9072" w:type="dxa"/>
            <w:shd w:val="clear" w:color="auto" w:fill="auto"/>
            <w:vAlign w:val="bottom"/>
            <w:hideMark/>
          </w:tcPr>
          <w:p w14:paraId="0C0EF673"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Tiekėjas, teikdamas paslaugas, privalo laikytis LR Sveikatos apsaugos ministro 2007 lapkričio 6 d. įsakyme "Greitosios medicinos pagalbos paslaugų teikimo reikalavimai" Nr. V-895 (aktuali redakcija) nustatytų reikalavimų.</w:t>
            </w:r>
          </w:p>
        </w:tc>
      </w:tr>
      <w:tr w:rsidR="00DD2207" w:rsidRPr="000966C3" w14:paraId="5F333AA5" w14:textId="77777777" w:rsidTr="0030463F">
        <w:trPr>
          <w:trHeight w:val="630"/>
        </w:trPr>
        <w:tc>
          <w:tcPr>
            <w:tcW w:w="993" w:type="dxa"/>
            <w:shd w:val="clear" w:color="auto" w:fill="auto"/>
            <w:vAlign w:val="bottom"/>
            <w:hideMark/>
          </w:tcPr>
          <w:p w14:paraId="724979BE"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1.2.3.</w:t>
            </w:r>
          </w:p>
        </w:tc>
        <w:tc>
          <w:tcPr>
            <w:tcW w:w="9072" w:type="dxa"/>
            <w:shd w:val="clear" w:color="auto" w:fill="auto"/>
            <w:vAlign w:val="bottom"/>
            <w:hideMark/>
          </w:tcPr>
          <w:p w14:paraId="07D05AAC"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DD2207" w:rsidRPr="000966C3" w14:paraId="76B4AF25" w14:textId="77777777" w:rsidTr="0030463F">
        <w:trPr>
          <w:trHeight w:val="1260"/>
        </w:trPr>
        <w:tc>
          <w:tcPr>
            <w:tcW w:w="993" w:type="dxa"/>
            <w:shd w:val="clear" w:color="auto" w:fill="auto"/>
            <w:vAlign w:val="bottom"/>
            <w:hideMark/>
          </w:tcPr>
          <w:p w14:paraId="4B5DB4B1" w14:textId="77777777"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1.2.4.</w:t>
            </w:r>
          </w:p>
        </w:tc>
        <w:tc>
          <w:tcPr>
            <w:tcW w:w="9072" w:type="dxa"/>
            <w:shd w:val="clear" w:color="auto" w:fill="auto"/>
            <w:vAlign w:val="bottom"/>
            <w:hideMark/>
          </w:tcPr>
          <w:p w14:paraId="64E9C197" w14:textId="127F3A24" w:rsidR="00DD2207" w:rsidRPr="000966C3" w:rsidRDefault="00DD2207" w:rsidP="0030463F">
            <w:pPr>
              <w:spacing w:after="0" w:line="240" w:lineRule="auto"/>
              <w:rPr>
                <w:rFonts w:eastAsia="Times New Roman"/>
                <w:sz w:val="22"/>
                <w:lang w:eastAsia="lt-LT"/>
              </w:rPr>
            </w:pPr>
            <w:r w:rsidRPr="000966C3">
              <w:rPr>
                <w:rFonts w:eastAsia="Times New Roman"/>
                <w:sz w:val="22"/>
                <w:lang w:eastAsia="lt-LT"/>
              </w:rPr>
              <w:t>Tiekėj</w:t>
            </w:r>
            <w:r w:rsidR="00A75594">
              <w:rPr>
                <w:rFonts w:eastAsia="Times New Roman"/>
                <w:sz w:val="22"/>
                <w:lang w:eastAsia="lt-LT"/>
              </w:rPr>
              <w:t>o</w:t>
            </w:r>
            <w:r w:rsidRPr="000966C3">
              <w:rPr>
                <w:rFonts w:eastAsia="Times New Roman"/>
                <w:sz w:val="22"/>
                <w:lang w:eastAsia="lt-LT"/>
              </w:rPr>
              <w:t xml:space="preserve">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r w:rsidR="00A75594">
              <w:rPr>
                <w:rFonts w:eastAsia="Times New Roman"/>
                <w:sz w:val="22"/>
                <w:lang w:eastAsia="lt-LT"/>
              </w:rPr>
              <w:t>.</w:t>
            </w:r>
          </w:p>
        </w:tc>
      </w:tr>
      <w:tr w:rsidR="00800D3D" w:rsidRPr="000966C3" w14:paraId="34BA2F8E" w14:textId="77777777" w:rsidTr="00800D3D">
        <w:tc>
          <w:tcPr>
            <w:tcW w:w="993" w:type="dxa"/>
            <w:shd w:val="clear" w:color="auto" w:fill="auto"/>
            <w:vAlign w:val="bottom"/>
          </w:tcPr>
          <w:p w14:paraId="2F03DA9A" w14:textId="0FE67622" w:rsidR="00800D3D" w:rsidRPr="000966C3" w:rsidRDefault="00800D3D" w:rsidP="00800D3D">
            <w:pPr>
              <w:spacing w:after="0" w:line="240" w:lineRule="auto"/>
              <w:rPr>
                <w:rFonts w:eastAsia="Times New Roman"/>
                <w:sz w:val="22"/>
                <w:lang w:eastAsia="lt-LT"/>
              </w:rPr>
            </w:pPr>
            <w:r w:rsidRPr="000966C3">
              <w:rPr>
                <w:rFonts w:eastAsia="Times New Roman"/>
                <w:sz w:val="22"/>
                <w:lang w:eastAsia="lt-LT"/>
              </w:rPr>
              <w:t>1.</w:t>
            </w:r>
            <w:r w:rsidR="00587898">
              <w:rPr>
                <w:rFonts w:eastAsia="Times New Roman"/>
                <w:sz w:val="22"/>
                <w:lang w:eastAsia="lt-LT"/>
              </w:rPr>
              <w:t>2</w:t>
            </w:r>
            <w:r w:rsidRPr="000966C3">
              <w:rPr>
                <w:rFonts w:eastAsia="Times New Roman"/>
                <w:sz w:val="22"/>
                <w:lang w:eastAsia="lt-LT"/>
              </w:rPr>
              <w:t>.5.</w:t>
            </w:r>
          </w:p>
        </w:tc>
        <w:tc>
          <w:tcPr>
            <w:tcW w:w="9072" w:type="dxa"/>
            <w:shd w:val="clear" w:color="auto" w:fill="auto"/>
            <w:vAlign w:val="bottom"/>
          </w:tcPr>
          <w:p w14:paraId="41E6222F" w14:textId="67933F01" w:rsidR="00800D3D" w:rsidRPr="000966C3" w:rsidRDefault="00800D3D" w:rsidP="00800D3D">
            <w:pPr>
              <w:spacing w:after="0" w:line="240" w:lineRule="auto"/>
              <w:rPr>
                <w:rFonts w:eastAsia="Times New Roman"/>
                <w:sz w:val="22"/>
                <w:lang w:eastAsia="lt-LT"/>
              </w:rPr>
            </w:pPr>
            <w:r w:rsidRPr="000966C3">
              <w:rPr>
                <w:rFonts w:eastAsia="Times New Roman"/>
                <w:sz w:val="22"/>
                <w:lang w:eastAsia="lt-LT"/>
              </w:rPr>
              <w:t>Paslaugos turi būti teikiamos, t.</w:t>
            </w:r>
            <w:r>
              <w:rPr>
                <w:rFonts w:eastAsia="Times New Roman"/>
                <w:sz w:val="22"/>
                <w:lang w:eastAsia="lt-LT"/>
              </w:rPr>
              <w:t xml:space="preserve"> </w:t>
            </w:r>
            <w:r w:rsidRPr="000966C3">
              <w:rPr>
                <w:rFonts w:eastAsia="Times New Roman"/>
                <w:sz w:val="22"/>
                <w:lang w:eastAsia="lt-LT"/>
              </w:rPr>
              <w:t>y. pacientai vežami iš Perkančiosios organizacijos padalinių 24 val. per parą, 7 dienas per savaitę, darbo ir poilsio dienomis.</w:t>
            </w:r>
          </w:p>
        </w:tc>
      </w:tr>
      <w:tr w:rsidR="00800D3D" w:rsidRPr="000966C3" w14:paraId="272757B1" w14:textId="77777777" w:rsidTr="00800D3D">
        <w:tc>
          <w:tcPr>
            <w:tcW w:w="993" w:type="dxa"/>
            <w:shd w:val="clear" w:color="auto" w:fill="auto"/>
            <w:vAlign w:val="bottom"/>
          </w:tcPr>
          <w:p w14:paraId="0DB90C9B" w14:textId="3F716037" w:rsidR="00800D3D" w:rsidRPr="000966C3" w:rsidRDefault="00800D3D" w:rsidP="00800D3D">
            <w:pPr>
              <w:spacing w:after="0" w:line="240" w:lineRule="auto"/>
              <w:rPr>
                <w:rFonts w:eastAsia="Times New Roman"/>
                <w:sz w:val="22"/>
                <w:lang w:eastAsia="lt-LT"/>
              </w:rPr>
            </w:pPr>
            <w:r>
              <w:rPr>
                <w:rFonts w:eastAsia="Times New Roman"/>
                <w:sz w:val="22"/>
                <w:lang w:eastAsia="lt-LT"/>
              </w:rPr>
              <w:t>1.</w:t>
            </w:r>
            <w:r w:rsidR="00587898">
              <w:rPr>
                <w:rFonts w:eastAsia="Times New Roman"/>
                <w:sz w:val="22"/>
                <w:lang w:eastAsia="lt-LT"/>
              </w:rPr>
              <w:t>2</w:t>
            </w:r>
            <w:r>
              <w:rPr>
                <w:rFonts w:eastAsia="Times New Roman"/>
                <w:sz w:val="22"/>
                <w:lang w:eastAsia="lt-LT"/>
              </w:rPr>
              <w:t>.6.</w:t>
            </w:r>
          </w:p>
        </w:tc>
        <w:tc>
          <w:tcPr>
            <w:tcW w:w="9072" w:type="dxa"/>
            <w:shd w:val="clear" w:color="auto" w:fill="auto"/>
            <w:vAlign w:val="bottom"/>
          </w:tcPr>
          <w:p w14:paraId="0F255B2C" w14:textId="2488D0B8" w:rsidR="00800D3D" w:rsidRPr="000966C3" w:rsidRDefault="00800D3D" w:rsidP="00800D3D">
            <w:pPr>
              <w:spacing w:after="0" w:line="240" w:lineRule="auto"/>
              <w:rPr>
                <w:rFonts w:eastAsia="Times New Roman"/>
                <w:sz w:val="22"/>
                <w:lang w:eastAsia="lt-LT"/>
              </w:rPr>
            </w:pPr>
            <w:r>
              <w:rPr>
                <w:rFonts w:eastAsia="Times New Roman"/>
                <w:sz w:val="22"/>
                <w:lang w:eastAsia="lt-LT"/>
              </w:rPr>
              <w:t>Preliminarus paslaugų kiekis</w:t>
            </w:r>
            <w:r w:rsidR="00A23347">
              <w:rPr>
                <w:rFonts w:eastAsia="Times New Roman"/>
                <w:sz w:val="22"/>
                <w:lang w:eastAsia="lt-LT"/>
              </w:rPr>
              <w:t xml:space="preserve"> 36 mėn.,</w:t>
            </w:r>
            <w:r>
              <w:rPr>
                <w:rFonts w:eastAsia="Times New Roman"/>
                <w:sz w:val="22"/>
                <w:lang w:eastAsia="lt-LT"/>
              </w:rPr>
              <w:t xml:space="preserve"> val.: </w:t>
            </w:r>
            <w:r w:rsidR="00A23347">
              <w:rPr>
                <w:rFonts w:eastAsia="Times New Roman"/>
                <w:sz w:val="22"/>
                <w:lang w:eastAsia="lt-LT"/>
              </w:rPr>
              <w:t>30</w:t>
            </w:r>
          </w:p>
        </w:tc>
      </w:tr>
      <w:tr w:rsidR="008C5ED5" w:rsidRPr="008C5ED5" w14:paraId="69C8A316" w14:textId="77777777" w:rsidTr="00800D3D">
        <w:tc>
          <w:tcPr>
            <w:tcW w:w="993" w:type="dxa"/>
            <w:shd w:val="clear" w:color="auto" w:fill="auto"/>
            <w:vAlign w:val="bottom"/>
          </w:tcPr>
          <w:p w14:paraId="196F6ABE" w14:textId="7217A40A" w:rsidR="008C5ED5" w:rsidRPr="008C5ED5" w:rsidRDefault="008C5ED5" w:rsidP="00800D3D">
            <w:pPr>
              <w:spacing w:after="0" w:line="240" w:lineRule="auto"/>
              <w:rPr>
                <w:rFonts w:eastAsia="Times New Roman"/>
                <w:b/>
                <w:bCs/>
                <w:sz w:val="22"/>
                <w:lang w:eastAsia="lt-LT"/>
              </w:rPr>
            </w:pPr>
            <w:r w:rsidRPr="008C5ED5">
              <w:rPr>
                <w:rFonts w:eastAsia="Times New Roman"/>
                <w:b/>
                <w:bCs/>
                <w:sz w:val="22"/>
                <w:lang w:eastAsia="lt-LT"/>
              </w:rPr>
              <w:t>1.3.</w:t>
            </w:r>
          </w:p>
        </w:tc>
        <w:tc>
          <w:tcPr>
            <w:tcW w:w="9072" w:type="dxa"/>
            <w:shd w:val="clear" w:color="auto" w:fill="auto"/>
            <w:vAlign w:val="bottom"/>
          </w:tcPr>
          <w:p w14:paraId="625ECC18" w14:textId="300E4D4D" w:rsidR="008C5ED5" w:rsidRPr="008C5ED5" w:rsidRDefault="008C5ED5" w:rsidP="00800D3D">
            <w:pPr>
              <w:spacing w:after="0" w:line="240" w:lineRule="auto"/>
              <w:rPr>
                <w:rFonts w:eastAsia="Times New Roman"/>
                <w:b/>
                <w:bCs/>
                <w:sz w:val="22"/>
                <w:lang w:eastAsia="lt-LT"/>
              </w:rPr>
            </w:pPr>
            <w:r>
              <w:rPr>
                <w:rFonts w:eastAsia="Times New Roman"/>
                <w:b/>
                <w:bCs/>
                <w:sz w:val="22"/>
                <w:lang w:eastAsia="lt-LT"/>
              </w:rPr>
              <w:t>Užsakovas Tiekėjui užsakymą pateikia elektroniniu paštu arba telefonu.</w:t>
            </w:r>
          </w:p>
        </w:tc>
      </w:tr>
    </w:tbl>
    <w:p w14:paraId="726E14F5" w14:textId="77777777" w:rsidR="00D06016" w:rsidRDefault="00D06016"/>
    <w:sectPr w:rsidR="00D06016" w:rsidSect="00615FC6">
      <w:pgSz w:w="11906" w:h="16838"/>
      <w:pgMar w:top="851" w:right="851"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Microsoft Uighur">
    <w:altName w:val="Times New Roman"/>
    <w:charset w:val="B2"/>
    <w:family w:val="auto"/>
    <w:pitch w:val="variable"/>
    <w:sig w:usb0="80002003" w:usb1="80000000" w:usb2="00000008" w:usb3="00000000" w:csb0="0000004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07"/>
    <w:rsid w:val="000E3643"/>
    <w:rsid w:val="000E7C42"/>
    <w:rsid w:val="00122A68"/>
    <w:rsid w:val="00391D39"/>
    <w:rsid w:val="00402E90"/>
    <w:rsid w:val="0042524F"/>
    <w:rsid w:val="00465F69"/>
    <w:rsid w:val="00587898"/>
    <w:rsid w:val="005D5EA6"/>
    <w:rsid w:val="005E42C1"/>
    <w:rsid w:val="00615FC6"/>
    <w:rsid w:val="007A0A73"/>
    <w:rsid w:val="007E3DE6"/>
    <w:rsid w:val="00800D3D"/>
    <w:rsid w:val="008C5ED5"/>
    <w:rsid w:val="00A23347"/>
    <w:rsid w:val="00A75594"/>
    <w:rsid w:val="00D06016"/>
    <w:rsid w:val="00DB3808"/>
    <w:rsid w:val="00DD2207"/>
    <w:rsid w:val="00F54907"/>
  </w:rsids>
  <m:mathPr>
    <m:mathFont m:val="Cambria Math"/>
    <m:brkBin m:val="before"/>
    <m:brkBinSub m:val="--"/>
    <m:smallFrac m:val="0"/>
    <m:dispDef/>
    <m:lMargin m:val="0"/>
    <m:rMargin m:val="0"/>
    <m:defJc m:val="centerGroup"/>
    <m:wrapIndent m:val="1440"/>
    <m:intLim m:val="subSup"/>
    <m:naryLim m:val="undOvr"/>
  </m:mathPr>
  <w:themeFontLang w:val="en-GB"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5CA8"/>
  <w15:chartTrackingRefBased/>
  <w15:docId w15:val="{821FDC9D-1A9A-447D-99DC-E18BDE53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2207"/>
    <w:pPr>
      <w:spacing w:after="200" w:line="276"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2189</Words>
  <Characters>1248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Rusteika</dc:creator>
  <cp:keywords/>
  <dc:description/>
  <cp:lastModifiedBy>Jurgita Mikalauskienė</cp:lastModifiedBy>
  <cp:revision>2</cp:revision>
  <cp:lastPrinted>2025-02-17T09:10:00Z</cp:lastPrinted>
  <dcterms:created xsi:type="dcterms:W3CDTF">2025-02-19T08:22:00Z</dcterms:created>
  <dcterms:modified xsi:type="dcterms:W3CDTF">2025-02-19T08:22:00Z</dcterms:modified>
</cp:coreProperties>
</file>