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A6AE" w14:textId="77777777" w:rsidR="00EB3945" w:rsidRDefault="00BB782A">
      <w:pPr>
        <w:pStyle w:val="Pagrindinistekstas"/>
        <w:spacing w:before="68"/>
        <w:ind w:left="2372" w:right="2317"/>
        <w:jc w:val="center"/>
      </w:pPr>
      <w:r>
        <w:t>RINKOS DALYVIŲ KONSULTACIJOS (RDK) ATASKAITA</w:t>
      </w:r>
    </w:p>
    <w:p w14:paraId="3AB5FB3C" w14:textId="77777777" w:rsidR="00A51D04" w:rsidRDefault="00A51D04">
      <w:pPr>
        <w:pStyle w:val="Pagrindinistekstas"/>
        <w:spacing w:before="68"/>
        <w:ind w:left="2372" w:right="2317"/>
        <w:jc w:val="center"/>
      </w:pPr>
    </w:p>
    <w:p w14:paraId="6F793C05" w14:textId="77777777" w:rsidR="00EB3945" w:rsidRDefault="00EB3945">
      <w:pPr>
        <w:spacing w:before="10" w:after="1"/>
        <w:rPr>
          <w:b/>
          <w:sz w:val="20"/>
        </w:rPr>
      </w:pPr>
    </w:p>
    <w:tbl>
      <w:tblPr>
        <w:tblStyle w:val="TableNormal"/>
        <w:tblW w:w="994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3"/>
        <w:gridCol w:w="2979"/>
        <w:gridCol w:w="2833"/>
        <w:gridCol w:w="2835"/>
      </w:tblGrid>
      <w:tr w:rsidR="00EB3945" w14:paraId="2C477D5D" w14:textId="77777777" w:rsidTr="001F54A2">
        <w:trPr>
          <w:trHeight w:val="254"/>
        </w:trPr>
        <w:tc>
          <w:tcPr>
            <w:tcW w:w="4272" w:type="dxa"/>
            <w:gridSpan w:val="2"/>
          </w:tcPr>
          <w:p w14:paraId="190091B7" w14:textId="77777777" w:rsidR="00EB3945" w:rsidRDefault="00BB782A">
            <w:pPr>
              <w:pStyle w:val="TableParagraph"/>
              <w:spacing w:line="234" w:lineRule="exact"/>
              <w:ind w:left="1326"/>
            </w:pPr>
            <w:r>
              <w:t>Pirkimo objekto pavadinimas</w:t>
            </w:r>
          </w:p>
        </w:tc>
        <w:tc>
          <w:tcPr>
            <w:tcW w:w="5668" w:type="dxa"/>
            <w:gridSpan w:val="2"/>
          </w:tcPr>
          <w:p w14:paraId="45E2E3BC" w14:textId="7B88FF4C" w:rsidR="00EB3945" w:rsidRPr="00443BE2" w:rsidRDefault="00BB782A" w:rsidP="004E06AD">
            <w:pPr>
              <w:pStyle w:val="TableParagraph"/>
              <w:spacing w:line="234" w:lineRule="exact"/>
              <w:ind w:left="48"/>
              <w:jc w:val="center"/>
              <w:rPr>
                <w:b/>
                <w:bCs/>
              </w:rPr>
            </w:pPr>
            <w:r w:rsidRPr="00443BE2">
              <w:rPr>
                <w:b/>
                <w:bCs/>
              </w:rPr>
              <w:t>„</w:t>
            </w:r>
            <w:r w:rsidR="0076612C" w:rsidRPr="0076612C">
              <w:rPr>
                <w:b/>
                <w:bCs/>
              </w:rPr>
              <w:t>6 VIETŲ INFUZINIŲ POMPŲ STOTELĖ, AUTOMATINI</w:t>
            </w:r>
            <w:r w:rsidR="00395323">
              <w:rPr>
                <w:b/>
                <w:bCs/>
              </w:rPr>
              <w:t>AI</w:t>
            </w:r>
            <w:r w:rsidR="0076612C" w:rsidRPr="0076612C">
              <w:rPr>
                <w:b/>
                <w:bCs/>
              </w:rPr>
              <w:t xml:space="preserve"> ŠVIRKŠT</w:t>
            </w:r>
            <w:r w:rsidR="00395323">
              <w:rPr>
                <w:b/>
                <w:bCs/>
              </w:rPr>
              <w:t>AI</w:t>
            </w:r>
            <w:r w:rsidR="0076612C" w:rsidRPr="0076612C">
              <w:rPr>
                <w:b/>
                <w:bCs/>
              </w:rPr>
              <w:t xml:space="preserve"> IR INFUZIN</w:t>
            </w:r>
            <w:r w:rsidR="00395323">
              <w:rPr>
                <w:b/>
                <w:bCs/>
              </w:rPr>
              <w:t>ĖS</w:t>
            </w:r>
            <w:r w:rsidR="0076612C" w:rsidRPr="0076612C">
              <w:rPr>
                <w:b/>
                <w:bCs/>
              </w:rPr>
              <w:t xml:space="preserve"> TŪRIN</w:t>
            </w:r>
            <w:r w:rsidR="00395323">
              <w:rPr>
                <w:b/>
                <w:bCs/>
              </w:rPr>
              <w:t>ĖS</w:t>
            </w:r>
            <w:r w:rsidR="0076612C" w:rsidRPr="0076612C">
              <w:rPr>
                <w:b/>
                <w:bCs/>
              </w:rPr>
              <w:t xml:space="preserve"> POMP</w:t>
            </w:r>
            <w:r w:rsidR="00395323">
              <w:rPr>
                <w:b/>
                <w:bCs/>
              </w:rPr>
              <w:t>OS</w:t>
            </w:r>
            <w:r w:rsidRPr="00443BE2">
              <w:rPr>
                <w:b/>
                <w:bCs/>
              </w:rPr>
              <w:t>“</w:t>
            </w:r>
            <w:r w:rsidR="00F81C41" w:rsidRPr="00443BE2">
              <w:rPr>
                <w:b/>
                <w:bCs/>
              </w:rPr>
              <w:t xml:space="preserve"> </w:t>
            </w:r>
          </w:p>
        </w:tc>
      </w:tr>
      <w:tr w:rsidR="00EB3945" w14:paraId="5F13F5E4" w14:textId="77777777" w:rsidTr="001F54A2">
        <w:trPr>
          <w:trHeight w:val="252"/>
        </w:trPr>
        <w:tc>
          <w:tcPr>
            <w:tcW w:w="4272" w:type="dxa"/>
            <w:gridSpan w:val="2"/>
          </w:tcPr>
          <w:p w14:paraId="4DA11900" w14:textId="77777777" w:rsidR="00EB3945" w:rsidRDefault="00BB782A">
            <w:pPr>
              <w:pStyle w:val="TableParagraph"/>
              <w:spacing w:line="232" w:lineRule="exact"/>
              <w:ind w:left="1166"/>
            </w:pPr>
            <w:r>
              <w:t>RDK paskelbimo data ir numeris</w:t>
            </w:r>
          </w:p>
        </w:tc>
        <w:tc>
          <w:tcPr>
            <w:tcW w:w="5668" w:type="dxa"/>
            <w:gridSpan w:val="2"/>
          </w:tcPr>
          <w:p w14:paraId="3848E207" w14:textId="788BC51A" w:rsidR="00EB3945" w:rsidRDefault="00F81C41">
            <w:pPr>
              <w:pStyle w:val="TableParagraph"/>
              <w:spacing w:line="232" w:lineRule="exact"/>
              <w:ind w:left="1545"/>
            </w:pPr>
            <w:r>
              <w:t>202</w:t>
            </w:r>
            <w:r w:rsidR="00D73471">
              <w:t>5-01-0</w:t>
            </w:r>
            <w:r w:rsidR="00395323">
              <w:t>7</w:t>
            </w:r>
            <w:r w:rsidR="00BB782A">
              <w:t>, Nr.</w:t>
            </w:r>
            <w:r w:rsidR="004E06AD">
              <w:t xml:space="preserve"> </w:t>
            </w:r>
            <w:r w:rsidR="00395323">
              <w:t>699057</w:t>
            </w:r>
          </w:p>
        </w:tc>
      </w:tr>
      <w:tr w:rsidR="00EB3945" w14:paraId="6CE7F120" w14:textId="77777777" w:rsidTr="001F54A2">
        <w:trPr>
          <w:trHeight w:val="253"/>
        </w:trPr>
        <w:tc>
          <w:tcPr>
            <w:tcW w:w="4272" w:type="dxa"/>
            <w:gridSpan w:val="2"/>
          </w:tcPr>
          <w:p w14:paraId="1BCD1362" w14:textId="77777777" w:rsidR="00EB3945" w:rsidRDefault="00BB782A">
            <w:pPr>
              <w:pStyle w:val="TableParagraph"/>
              <w:spacing w:line="234" w:lineRule="exact"/>
              <w:ind w:left="1454"/>
            </w:pPr>
            <w:r>
              <w:t>RDK vykdymo laikotarpis</w:t>
            </w:r>
          </w:p>
        </w:tc>
        <w:tc>
          <w:tcPr>
            <w:tcW w:w="5668" w:type="dxa"/>
            <w:gridSpan w:val="2"/>
          </w:tcPr>
          <w:p w14:paraId="256D4B21" w14:textId="25CA9B6B" w:rsidR="00EB3945" w:rsidRDefault="00BB782A">
            <w:pPr>
              <w:pStyle w:val="TableParagraph"/>
              <w:spacing w:line="234" w:lineRule="exact"/>
              <w:ind w:left="1197"/>
            </w:pPr>
            <w:r>
              <w:t>nuo 202</w:t>
            </w:r>
            <w:r w:rsidR="00D73471">
              <w:t>5-01-0</w:t>
            </w:r>
            <w:r w:rsidR="00395323">
              <w:t>7</w:t>
            </w:r>
            <w:r>
              <w:t xml:space="preserve"> iki 202</w:t>
            </w:r>
            <w:r w:rsidR="00D73471">
              <w:t>5-01-1</w:t>
            </w:r>
            <w:r w:rsidR="00395323">
              <w:t>5</w:t>
            </w:r>
          </w:p>
        </w:tc>
      </w:tr>
      <w:tr w:rsidR="00EB3945" w14:paraId="30AA7C10" w14:textId="77777777" w:rsidTr="001F54A2">
        <w:trPr>
          <w:trHeight w:val="251"/>
        </w:trPr>
        <w:tc>
          <w:tcPr>
            <w:tcW w:w="4272" w:type="dxa"/>
            <w:gridSpan w:val="2"/>
          </w:tcPr>
          <w:p w14:paraId="191A450D" w14:textId="77777777" w:rsidR="00EB3945" w:rsidRDefault="00BB782A">
            <w:pPr>
              <w:pStyle w:val="TableParagraph"/>
              <w:spacing w:line="232" w:lineRule="exact"/>
              <w:ind w:left="1547"/>
            </w:pPr>
            <w:r>
              <w:t>RDK vykdyta šiuo būdu</w:t>
            </w:r>
          </w:p>
        </w:tc>
        <w:tc>
          <w:tcPr>
            <w:tcW w:w="5668" w:type="dxa"/>
            <w:gridSpan w:val="2"/>
          </w:tcPr>
          <w:p w14:paraId="1FD7B0E8" w14:textId="77777777" w:rsidR="00EB3945" w:rsidRDefault="00BB782A" w:rsidP="003C7524">
            <w:pPr>
              <w:pStyle w:val="TableParagraph"/>
              <w:spacing w:line="232" w:lineRule="exact"/>
              <w:ind w:left="48" w:hanging="48"/>
              <w:jc w:val="center"/>
            </w:pPr>
            <w:r>
              <w:t>CVP IS</w:t>
            </w:r>
          </w:p>
        </w:tc>
      </w:tr>
      <w:tr w:rsidR="00EB3945" w14:paraId="4A825690" w14:textId="77777777" w:rsidTr="001F54A2">
        <w:trPr>
          <w:trHeight w:val="254"/>
        </w:trPr>
        <w:tc>
          <w:tcPr>
            <w:tcW w:w="9940" w:type="dxa"/>
            <w:gridSpan w:val="4"/>
          </w:tcPr>
          <w:p w14:paraId="17664C1B" w14:textId="77777777" w:rsidR="00EB3945" w:rsidRDefault="00BB782A">
            <w:pPr>
              <w:pStyle w:val="TableParagraph"/>
              <w:spacing w:line="234" w:lineRule="exact"/>
              <w:ind w:left="1623" w:right="1645"/>
              <w:jc w:val="center"/>
              <w:rPr>
                <w:b/>
              </w:rPr>
            </w:pPr>
            <w:r>
              <w:rPr>
                <w:b/>
              </w:rPr>
              <w:t>INFORMACIJA APIE RDK DALYVIUS</w:t>
            </w:r>
          </w:p>
        </w:tc>
      </w:tr>
      <w:tr w:rsidR="00EB3945" w14:paraId="2B863420" w14:textId="77777777" w:rsidTr="001F54A2">
        <w:trPr>
          <w:trHeight w:val="505"/>
        </w:trPr>
        <w:tc>
          <w:tcPr>
            <w:tcW w:w="4272" w:type="dxa"/>
            <w:gridSpan w:val="2"/>
          </w:tcPr>
          <w:p w14:paraId="78B60F13" w14:textId="37E3CD60" w:rsidR="00EB3945" w:rsidRDefault="00BB782A" w:rsidP="00D76BBF">
            <w:pPr>
              <w:pStyle w:val="TableParagraph"/>
              <w:spacing w:line="246" w:lineRule="exact"/>
              <w:ind w:left="190" w:right="148"/>
              <w:jc w:val="center"/>
            </w:pPr>
            <w:r>
              <w:t>Atsakymus, pasiūlymus ar pastabas CVP IS pateikusių</w:t>
            </w:r>
            <w:r w:rsidR="00D76BBF">
              <w:t xml:space="preserve"> </w:t>
            </w:r>
            <w:r>
              <w:t>dalyvių skaičius</w:t>
            </w:r>
          </w:p>
        </w:tc>
        <w:tc>
          <w:tcPr>
            <w:tcW w:w="5668" w:type="dxa"/>
            <w:gridSpan w:val="2"/>
          </w:tcPr>
          <w:p w14:paraId="7B6D4F40" w14:textId="197A61F4" w:rsidR="00EB3945" w:rsidRDefault="00E139C9">
            <w:pPr>
              <w:pStyle w:val="TableParagraph"/>
              <w:spacing w:line="247" w:lineRule="exact"/>
              <w:ind w:left="10"/>
              <w:jc w:val="center"/>
            </w:pPr>
            <w:r>
              <w:t>2</w:t>
            </w:r>
          </w:p>
        </w:tc>
      </w:tr>
      <w:tr w:rsidR="00EB3945" w14:paraId="19D44268" w14:textId="77777777" w:rsidTr="001F54A2">
        <w:trPr>
          <w:trHeight w:val="506"/>
        </w:trPr>
        <w:tc>
          <w:tcPr>
            <w:tcW w:w="9940" w:type="dxa"/>
            <w:gridSpan w:val="4"/>
          </w:tcPr>
          <w:p w14:paraId="568A7C6D" w14:textId="77777777" w:rsidR="00EB3945" w:rsidRDefault="00BB782A">
            <w:pPr>
              <w:pStyle w:val="TableParagraph"/>
              <w:spacing w:before="2" w:line="252" w:lineRule="exact"/>
              <w:ind w:left="2625" w:right="194" w:hanging="2444"/>
              <w:rPr>
                <w:b/>
              </w:rPr>
            </w:pPr>
            <w:r>
              <w:rPr>
                <w:b/>
              </w:rPr>
              <w:t>TIEKĖJŲ SIŪLOMI PAKEITIMAI IR PERKANČIOSIOS ORGANIZACIJOS PRIIMTI SPRENDIMAI DĖL PATEIKTŲ SIŪLYMŲ IR REKOMENDACIJŲ</w:t>
            </w:r>
          </w:p>
        </w:tc>
      </w:tr>
      <w:tr w:rsidR="00EB3945" w14:paraId="15CB07CC" w14:textId="77777777" w:rsidTr="001F54A2">
        <w:trPr>
          <w:trHeight w:val="251"/>
        </w:trPr>
        <w:tc>
          <w:tcPr>
            <w:tcW w:w="4272" w:type="dxa"/>
            <w:gridSpan w:val="2"/>
          </w:tcPr>
          <w:p w14:paraId="7F045D54" w14:textId="77777777" w:rsidR="00EB3945" w:rsidRDefault="00BB782A">
            <w:pPr>
              <w:pStyle w:val="TableParagraph"/>
              <w:spacing w:line="232" w:lineRule="exact"/>
              <w:ind w:left="1434"/>
            </w:pPr>
            <w:r>
              <w:t>Tiekėjo siūlomi pakeitimai</w:t>
            </w:r>
          </w:p>
        </w:tc>
        <w:tc>
          <w:tcPr>
            <w:tcW w:w="5668" w:type="dxa"/>
            <w:gridSpan w:val="2"/>
          </w:tcPr>
          <w:p w14:paraId="657D5FA4" w14:textId="77777777" w:rsidR="00EB3945" w:rsidRDefault="00BB782A">
            <w:pPr>
              <w:pStyle w:val="TableParagraph"/>
              <w:spacing w:line="232" w:lineRule="exact"/>
              <w:ind w:left="835"/>
            </w:pPr>
            <w:r>
              <w:t>Perkančiosios organizacijos sprendimas</w:t>
            </w:r>
          </w:p>
        </w:tc>
      </w:tr>
      <w:tr w:rsidR="00EB3945" w14:paraId="70A41E2D" w14:textId="77777777" w:rsidTr="001F54A2">
        <w:trPr>
          <w:trHeight w:val="1065"/>
        </w:trPr>
        <w:tc>
          <w:tcPr>
            <w:tcW w:w="4272" w:type="dxa"/>
            <w:gridSpan w:val="2"/>
          </w:tcPr>
          <w:p w14:paraId="22505DC6" w14:textId="18220A64" w:rsidR="00EB3945" w:rsidRDefault="00D13CFD" w:rsidP="00FE5F3D">
            <w:pPr>
              <w:pStyle w:val="TableParagraph"/>
              <w:spacing w:line="252" w:lineRule="exact"/>
              <w:ind w:left="164" w:right="117" w:hanging="2"/>
              <w:jc w:val="both"/>
            </w:pPr>
            <w:r>
              <w:t xml:space="preserve">Į perkančiosios organizacijos pateiktą klausimą </w:t>
            </w:r>
            <w:r w:rsidRPr="00D13CFD">
              <w:rPr>
                <w:b/>
                <w:bCs/>
                <w:i/>
                <w:iCs/>
              </w:rPr>
              <w:t>„Numatytas prekių pristatymo terminas – Tiekėjas Prekes įsipareigoja pristatyti ne vėliau kaip per 90 (devyniasdešimt) kalendorinių dienų nuo Sutarties įsigaliojimo dienos. Ar toks  terminas pakankamas (per ilgas, per trumpas)  prekių pristatymui?“</w:t>
            </w:r>
            <w:r>
              <w:t xml:space="preserve"> tiekėjas pateikė atsakymą </w:t>
            </w:r>
            <w:r w:rsidRPr="009C1EAA">
              <w:rPr>
                <w:i/>
                <w:iCs/>
              </w:rPr>
              <w:t>„</w:t>
            </w:r>
            <w:r w:rsidR="00E765BB" w:rsidRPr="00E765BB">
              <w:rPr>
                <w:i/>
                <w:iCs/>
              </w:rPr>
              <w:t>Terminas prekių pristatymui pakankamas</w:t>
            </w:r>
            <w:r w:rsidR="00FE5F3D" w:rsidRPr="00FE5F3D">
              <w:rPr>
                <w:i/>
                <w:iCs/>
              </w:rPr>
              <w:t>“</w:t>
            </w:r>
          </w:p>
        </w:tc>
        <w:tc>
          <w:tcPr>
            <w:tcW w:w="5668" w:type="dxa"/>
            <w:gridSpan w:val="2"/>
          </w:tcPr>
          <w:p w14:paraId="002A44F5" w14:textId="1343737F" w:rsidR="00274254" w:rsidRDefault="00D81737" w:rsidP="00D13CFD">
            <w:pPr>
              <w:tabs>
                <w:tab w:val="left" w:pos="473"/>
              </w:tabs>
              <w:ind w:left="47" w:right="138"/>
              <w:jc w:val="both"/>
            </w:pPr>
            <w:r>
              <w:t xml:space="preserve">Perkančioji organizacija </w:t>
            </w:r>
            <w:r w:rsidR="006A1587">
              <w:t>nekeis pristatymo termino.</w:t>
            </w:r>
          </w:p>
        </w:tc>
      </w:tr>
      <w:tr w:rsidR="00201B9F" w14:paraId="39270AA0" w14:textId="77777777" w:rsidTr="001F54A2">
        <w:trPr>
          <w:trHeight w:val="1065"/>
        </w:trPr>
        <w:tc>
          <w:tcPr>
            <w:tcW w:w="4272" w:type="dxa"/>
            <w:gridSpan w:val="2"/>
          </w:tcPr>
          <w:p w14:paraId="4568A840" w14:textId="7F0473B1" w:rsidR="00AC42EF" w:rsidRPr="00AC42EF" w:rsidRDefault="00201B9F" w:rsidP="00AC42EF">
            <w:pPr>
              <w:pStyle w:val="TableParagraph"/>
              <w:spacing w:line="252" w:lineRule="exact"/>
              <w:ind w:left="164" w:right="117" w:hanging="2"/>
              <w:jc w:val="both"/>
              <w:rPr>
                <w:b/>
                <w:bCs/>
                <w:i/>
                <w:iCs/>
              </w:rPr>
            </w:pPr>
            <w:r>
              <w:t xml:space="preserve">Į perkančiosios organizacijos pateiktą klausimą </w:t>
            </w:r>
            <w:r w:rsidRPr="00AC42EF">
              <w:rPr>
                <w:b/>
                <w:bCs/>
                <w:i/>
                <w:iCs/>
              </w:rPr>
              <w:t>„</w:t>
            </w:r>
            <w:r w:rsidR="00AC42EF" w:rsidRPr="00AC42EF">
              <w:rPr>
                <w:b/>
                <w:bCs/>
                <w:i/>
                <w:iCs/>
              </w:rPr>
              <w:t>Kokias sąlygas papildomai siūlytumėte įtraukti į techninę specifikaciją, arba kurių reikėtų atsisakyti?</w:t>
            </w:r>
          </w:p>
          <w:p w14:paraId="57DC8C05" w14:textId="4DE694BF" w:rsidR="00201B9F" w:rsidRPr="00AC42EF" w:rsidRDefault="00AC42EF" w:rsidP="00AC42EF">
            <w:pPr>
              <w:pStyle w:val="TableParagraph"/>
              <w:spacing w:line="252" w:lineRule="exact"/>
              <w:ind w:left="164" w:right="117" w:hanging="2"/>
              <w:jc w:val="both"/>
            </w:pPr>
            <w:r w:rsidRPr="00AC42EF">
              <w:rPr>
                <w:b/>
                <w:bCs/>
                <w:i/>
                <w:iCs/>
              </w:rPr>
              <w:t>Prašome pateikti argumentuotas pastabas ir klausimus nurodant konkrečius punktus ir/ar teksto vietas.“</w:t>
            </w:r>
            <w:r>
              <w:rPr>
                <w:b/>
                <w:bCs/>
                <w:i/>
                <w:iCs/>
              </w:rPr>
              <w:t xml:space="preserve"> </w:t>
            </w:r>
            <w:r>
              <w:t>tiekėjas pateikė atsakymą</w:t>
            </w:r>
            <w:r w:rsidR="00F1711E">
              <w:t xml:space="preserve"> </w:t>
            </w:r>
            <w:r w:rsidR="00F1711E" w:rsidRPr="00F1711E">
              <w:rPr>
                <w:i/>
                <w:iCs/>
              </w:rPr>
              <w:t>„1. Jei bus naudojamas PKA (skausmo kontrolės) mygtukas, siūlome specifikacijoje numatyti, jog viena iš švirkštinių pompų turi būti komplektuojama su PKA režimais. Kitu atveju pašalinti techninės specifikacijos punktą Nr. 1.8 2. Techninės specifikacijos punktas Nr. 1.5 - prašomas stotelės įsijungimo laikas. Šis parametras nėra aktualus darbui su pompomis, kadangi stotelės įsijungia greitai, o šio punkto pagrindimui būtų reikalingas papildoma gamintojo deklaracija, todėl prašome panaikinti šį punktą.“</w:t>
            </w:r>
            <w:r>
              <w:t xml:space="preserve"> </w:t>
            </w:r>
          </w:p>
        </w:tc>
        <w:tc>
          <w:tcPr>
            <w:tcW w:w="5668" w:type="dxa"/>
            <w:gridSpan w:val="2"/>
          </w:tcPr>
          <w:p w14:paraId="42F481DE" w14:textId="3FE0802A" w:rsidR="00201B9F" w:rsidRDefault="00607673" w:rsidP="00D13CFD">
            <w:pPr>
              <w:tabs>
                <w:tab w:val="left" w:pos="473"/>
              </w:tabs>
              <w:ind w:left="47" w:right="138"/>
              <w:jc w:val="both"/>
            </w:pPr>
            <w:r>
              <w:t xml:space="preserve">Perkančioji organizacija </w:t>
            </w:r>
            <w:r w:rsidR="008E4B72">
              <w:t>naikina 1.5 punkto reikalavimus.</w:t>
            </w:r>
          </w:p>
        </w:tc>
      </w:tr>
      <w:tr w:rsidR="008C2C44" w14:paraId="71266149" w14:textId="77777777" w:rsidTr="001F54A2">
        <w:trPr>
          <w:trHeight w:val="1065"/>
        </w:trPr>
        <w:tc>
          <w:tcPr>
            <w:tcW w:w="4272" w:type="dxa"/>
            <w:gridSpan w:val="2"/>
          </w:tcPr>
          <w:p w14:paraId="0E7C479D" w14:textId="1E12D190" w:rsidR="008C2C44" w:rsidRDefault="008C2C44" w:rsidP="00D13CFD">
            <w:pPr>
              <w:pStyle w:val="TableParagraph"/>
              <w:spacing w:line="252" w:lineRule="exact"/>
              <w:ind w:left="164" w:right="117" w:hanging="2"/>
              <w:jc w:val="both"/>
            </w:pPr>
            <w:r>
              <w:t xml:space="preserve">Į perkančiosios organizacijos pateiktą klausimą </w:t>
            </w:r>
            <w:r w:rsidRPr="008C2C44">
              <w:rPr>
                <w:b/>
                <w:bCs/>
                <w:i/>
                <w:iCs/>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5" w:history="1">
              <w:r w:rsidRPr="008C2C44">
                <w:rPr>
                  <w:rStyle w:val="Hipersaitas"/>
                  <w:b/>
                  <w:bCs/>
                  <w:i/>
                  <w:iCs/>
                </w:rPr>
                <w:t>https://e-seimas.lrs.lt/portal/legalAct/lt/TAD/TAIS.403512/asr</w:t>
              </w:r>
            </w:hyperlink>
            <w:r w:rsidRPr="008C2C44">
              <w:rPr>
                <w:b/>
                <w:bCs/>
                <w:i/>
                <w:iCs/>
              </w:rPr>
              <w:t>), atitinka Jūsų įmonė  ir/arba Jūsų įmonės siūloma prekė, kokius aplinkos apsaugos kriterijų (žaliojo pirkimo reikalavimų) atitiktį patvirtinančius dokumentus galėtumėte pateikti pirkimo metu?“</w:t>
            </w:r>
            <w:r>
              <w:t xml:space="preserve"> tiekėjas pateikė atsakymą </w:t>
            </w:r>
            <w:r w:rsidRPr="008C2C44">
              <w:rPr>
                <w:i/>
                <w:iCs/>
              </w:rPr>
              <w:t>„</w:t>
            </w:r>
            <w:r w:rsidR="00963CCA" w:rsidRPr="00963CCA">
              <w:rPr>
                <w:i/>
                <w:iCs/>
              </w:rPr>
              <w:t xml:space="preserve">Prekės pakuotė yra perdirbama, prekė yra tvirta, ilgaamžė, funkcionali, ji ar jos sudedamosios </w:t>
            </w:r>
            <w:r w:rsidR="00963CCA" w:rsidRPr="00963CCA">
              <w:rPr>
                <w:i/>
                <w:iCs/>
              </w:rPr>
              <w:lastRenderedPageBreak/>
              <w:t>dalys tinkamos naudoti daug kartų ir lengvai pataisomos, ar pakeičiamos, prekė, virtusi atliekomis, tinka perdirbti.</w:t>
            </w:r>
            <w:r w:rsidRPr="008C2C44">
              <w:rPr>
                <w:i/>
                <w:iCs/>
              </w:rPr>
              <w:t>“</w:t>
            </w:r>
          </w:p>
        </w:tc>
        <w:tc>
          <w:tcPr>
            <w:tcW w:w="5668" w:type="dxa"/>
            <w:gridSpan w:val="2"/>
          </w:tcPr>
          <w:p w14:paraId="50D4073C" w14:textId="0123F3C4" w:rsidR="008C2C44" w:rsidRDefault="008E4B72" w:rsidP="00D13CFD">
            <w:pPr>
              <w:tabs>
                <w:tab w:val="left" w:pos="473"/>
              </w:tabs>
              <w:ind w:left="47" w:right="138"/>
              <w:jc w:val="both"/>
            </w:pPr>
            <w:r>
              <w:lastRenderedPageBreak/>
              <w:t>Perkančioji organizacija atsižvelgs į pasiūlymą.</w:t>
            </w:r>
          </w:p>
        </w:tc>
      </w:tr>
      <w:tr w:rsidR="00D13CFD" w14:paraId="583A9F86" w14:textId="77777777" w:rsidTr="001F54A2">
        <w:trPr>
          <w:trHeight w:val="292"/>
        </w:trPr>
        <w:tc>
          <w:tcPr>
            <w:tcW w:w="9940" w:type="dxa"/>
            <w:gridSpan w:val="4"/>
          </w:tcPr>
          <w:p w14:paraId="0ABB8DC6" w14:textId="475FC178" w:rsidR="00D13CFD" w:rsidRDefault="00D13CFD" w:rsidP="00D13CFD">
            <w:pPr>
              <w:tabs>
                <w:tab w:val="left" w:pos="473"/>
              </w:tabs>
              <w:ind w:left="47" w:right="138"/>
              <w:jc w:val="center"/>
            </w:pPr>
            <w:r w:rsidRPr="00C96DB6">
              <w:rPr>
                <w:b/>
                <w:bCs/>
              </w:rPr>
              <w:t>Tiekėjų pastabos ir siūlomi pakeitimai Techninių specifikacijų projektui</w:t>
            </w:r>
          </w:p>
        </w:tc>
      </w:tr>
      <w:tr w:rsidR="00773A86" w14:paraId="3AE39E81" w14:textId="77777777" w:rsidTr="00D73471">
        <w:trPr>
          <w:trHeight w:val="685"/>
        </w:trPr>
        <w:tc>
          <w:tcPr>
            <w:tcW w:w="1293" w:type="dxa"/>
            <w:vAlign w:val="center"/>
          </w:tcPr>
          <w:p w14:paraId="523BDD1D" w14:textId="4A09965E" w:rsidR="00773A86" w:rsidRDefault="00773A86" w:rsidP="00773A86">
            <w:pPr>
              <w:pStyle w:val="TableParagraph"/>
              <w:ind w:left="164" w:right="117" w:hanging="2"/>
              <w:jc w:val="center"/>
            </w:pPr>
            <w:r>
              <w:rPr>
                <w:b/>
                <w:sz w:val="16"/>
              </w:rPr>
              <w:t>Techninės specifikacijos punktas</w:t>
            </w:r>
          </w:p>
        </w:tc>
        <w:tc>
          <w:tcPr>
            <w:tcW w:w="2979" w:type="dxa"/>
            <w:vAlign w:val="center"/>
          </w:tcPr>
          <w:p w14:paraId="3EE432BD" w14:textId="6CDA6585" w:rsidR="00773A86" w:rsidRDefault="00773A86" w:rsidP="00773A86">
            <w:pPr>
              <w:pStyle w:val="TableParagraph"/>
              <w:ind w:left="164" w:right="117" w:hanging="2"/>
              <w:jc w:val="center"/>
            </w:pPr>
            <w:r>
              <w:rPr>
                <w:b/>
              </w:rPr>
              <w:t>Reikalaujamas parametras</w:t>
            </w:r>
          </w:p>
        </w:tc>
        <w:tc>
          <w:tcPr>
            <w:tcW w:w="2833" w:type="dxa"/>
            <w:vAlign w:val="center"/>
          </w:tcPr>
          <w:p w14:paraId="548E0B5A" w14:textId="11758333" w:rsidR="00773A86" w:rsidRDefault="00773A86" w:rsidP="00773A86">
            <w:pPr>
              <w:tabs>
                <w:tab w:val="left" w:pos="473"/>
              </w:tabs>
              <w:ind w:left="47" w:right="138"/>
              <w:jc w:val="center"/>
            </w:pPr>
            <w:r>
              <w:rPr>
                <w:b/>
              </w:rPr>
              <w:t>Tiekėjo siūlomas pakeitimas</w:t>
            </w:r>
          </w:p>
        </w:tc>
        <w:tc>
          <w:tcPr>
            <w:tcW w:w="2835" w:type="dxa"/>
            <w:vAlign w:val="center"/>
          </w:tcPr>
          <w:p w14:paraId="537B43C4" w14:textId="6436F3F2" w:rsidR="00773A86" w:rsidRDefault="00773A86" w:rsidP="00773A86">
            <w:pPr>
              <w:tabs>
                <w:tab w:val="left" w:pos="473"/>
              </w:tabs>
              <w:ind w:left="47" w:right="138"/>
              <w:jc w:val="center"/>
            </w:pPr>
            <w:r>
              <w:rPr>
                <w:b/>
              </w:rPr>
              <w:t>Perkančiosios organizacijos sprendimas</w:t>
            </w:r>
          </w:p>
        </w:tc>
      </w:tr>
      <w:tr w:rsidR="007F3FB8" w14:paraId="3AFF0F36" w14:textId="77777777" w:rsidTr="00F3055B">
        <w:trPr>
          <w:trHeight w:val="841"/>
        </w:trPr>
        <w:tc>
          <w:tcPr>
            <w:tcW w:w="1293" w:type="dxa"/>
          </w:tcPr>
          <w:p w14:paraId="52EF3796" w14:textId="0E5BCC99" w:rsidR="007F3FB8" w:rsidRPr="00F3055B" w:rsidRDefault="002C000E" w:rsidP="007F3FB8">
            <w:pPr>
              <w:pStyle w:val="TableParagraph"/>
              <w:ind w:left="164" w:right="117" w:hanging="2"/>
              <w:jc w:val="center"/>
              <w:rPr>
                <w:bCs/>
              </w:rPr>
            </w:pPr>
            <w:r w:rsidRPr="00F3055B">
              <w:rPr>
                <w:bCs/>
              </w:rPr>
              <w:t>1.1.</w:t>
            </w:r>
          </w:p>
        </w:tc>
        <w:tc>
          <w:tcPr>
            <w:tcW w:w="2979" w:type="dxa"/>
          </w:tcPr>
          <w:p w14:paraId="7C78B425" w14:textId="77777777" w:rsidR="00786342" w:rsidRPr="00F3055B" w:rsidRDefault="00786342" w:rsidP="00786342">
            <w:pPr>
              <w:rPr>
                <w:color w:val="000000"/>
                <w:lang w:eastAsia="lt-LT"/>
              </w:rPr>
            </w:pPr>
            <w:r w:rsidRPr="00F3055B">
              <w:rPr>
                <w:color w:val="000000"/>
                <w:lang w:eastAsia="lt-LT"/>
              </w:rPr>
              <w:t>Įstatomų pompų skaičius</w:t>
            </w:r>
          </w:p>
          <w:p w14:paraId="1E8F2097" w14:textId="77777777" w:rsidR="007C4DA1" w:rsidRPr="00F3055B" w:rsidRDefault="007C4DA1" w:rsidP="007C4DA1">
            <w:pPr>
              <w:rPr>
                <w:color w:val="000000"/>
                <w:lang w:eastAsia="lt-LT"/>
              </w:rPr>
            </w:pPr>
            <w:r w:rsidRPr="00F3055B">
              <w:rPr>
                <w:color w:val="000000"/>
                <w:lang w:eastAsia="lt-LT"/>
              </w:rPr>
              <w:t>≥ 6 vietų</w:t>
            </w:r>
          </w:p>
          <w:p w14:paraId="3E3454CD" w14:textId="2F3A7C0B" w:rsidR="00161134" w:rsidRPr="00F3055B" w:rsidRDefault="00161134" w:rsidP="00521020">
            <w:pPr>
              <w:pStyle w:val="TableParagraph"/>
              <w:ind w:left="144" w:right="117" w:hanging="2"/>
              <w:rPr>
                <w:bCs/>
              </w:rPr>
            </w:pPr>
          </w:p>
        </w:tc>
        <w:tc>
          <w:tcPr>
            <w:tcW w:w="2833" w:type="dxa"/>
          </w:tcPr>
          <w:p w14:paraId="78A6181B" w14:textId="64437099" w:rsidR="007F3FB8" w:rsidRPr="00F3055B" w:rsidRDefault="00D5108C" w:rsidP="00F3055B">
            <w:pPr>
              <w:tabs>
                <w:tab w:val="left" w:pos="473"/>
              </w:tabs>
              <w:ind w:left="47" w:right="138"/>
              <w:rPr>
                <w:bCs/>
                <w:i/>
                <w:iCs/>
              </w:rPr>
            </w:pPr>
            <w:r w:rsidRPr="00F3055B">
              <w:rPr>
                <w:bCs/>
                <w:i/>
                <w:iCs/>
              </w:rPr>
              <w:t>6 vietų</w:t>
            </w:r>
          </w:p>
        </w:tc>
        <w:tc>
          <w:tcPr>
            <w:tcW w:w="2835" w:type="dxa"/>
          </w:tcPr>
          <w:p w14:paraId="22B70CA4" w14:textId="79991132" w:rsidR="007F3FB8" w:rsidRPr="00F3055B" w:rsidRDefault="00E9185E" w:rsidP="001F54A2">
            <w:pPr>
              <w:tabs>
                <w:tab w:val="left" w:pos="473"/>
              </w:tabs>
              <w:ind w:left="47" w:right="138"/>
              <w:rPr>
                <w:bCs/>
              </w:rPr>
            </w:pPr>
            <w:r>
              <w:rPr>
                <w:bCs/>
              </w:rPr>
              <w:t xml:space="preserve">Perkančioji organizacija nesutinka </w:t>
            </w:r>
            <w:r w:rsidR="009E68AD">
              <w:rPr>
                <w:bCs/>
              </w:rPr>
              <w:t xml:space="preserve">keisti reikalavimo, jis neriboja galimybės teikti 6 vietų </w:t>
            </w:r>
            <w:r w:rsidR="00A07DEC">
              <w:rPr>
                <w:bCs/>
              </w:rPr>
              <w:t>stotelės.</w:t>
            </w:r>
          </w:p>
          <w:p w14:paraId="16F7C9A2" w14:textId="17319D68" w:rsidR="007C213E" w:rsidRPr="00F3055B" w:rsidRDefault="007C213E" w:rsidP="001F54A2">
            <w:pPr>
              <w:tabs>
                <w:tab w:val="left" w:pos="473"/>
              </w:tabs>
              <w:ind w:left="47" w:right="138"/>
              <w:rPr>
                <w:bCs/>
              </w:rPr>
            </w:pPr>
          </w:p>
        </w:tc>
      </w:tr>
      <w:tr w:rsidR="00D5108C" w14:paraId="52C52BD6" w14:textId="77777777" w:rsidTr="00826980">
        <w:trPr>
          <w:trHeight w:val="841"/>
        </w:trPr>
        <w:tc>
          <w:tcPr>
            <w:tcW w:w="1293" w:type="dxa"/>
          </w:tcPr>
          <w:p w14:paraId="0414DD40" w14:textId="5A4A605F" w:rsidR="00D5108C" w:rsidRPr="00F3055B" w:rsidRDefault="00D5108C" w:rsidP="007F3FB8">
            <w:pPr>
              <w:pStyle w:val="TableParagraph"/>
              <w:ind w:left="164" w:right="117" w:hanging="2"/>
              <w:jc w:val="center"/>
              <w:rPr>
                <w:bCs/>
              </w:rPr>
            </w:pPr>
            <w:r w:rsidRPr="00F3055B">
              <w:rPr>
                <w:bCs/>
              </w:rPr>
              <w:t>1.</w:t>
            </w:r>
            <w:r w:rsidR="00640FD5" w:rsidRPr="00F3055B">
              <w:rPr>
                <w:bCs/>
              </w:rPr>
              <w:t>3</w:t>
            </w:r>
            <w:r w:rsidRPr="00F3055B">
              <w:rPr>
                <w:bCs/>
              </w:rPr>
              <w:t>.</w:t>
            </w:r>
          </w:p>
        </w:tc>
        <w:tc>
          <w:tcPr>
            <w:tcW w:w="2979" w:type="dxa"/>
          </w:tcPr>
          <w:p w14:paraId="3E118178" w14:textId="77777777" w:rsidR="005C3C46" w:rsidRPr="00F3055B" w:rsidRDefault="009C49FF" w:rsidP="00786342">
            <w:pPr>
              <w:rPr>
                <w:color w:val="000000"/>
                <w:lang w:eastAsia="lt-LT"/>
              </w:rPr>
            </w:pPr>
            <w:r w:rsidRPr="00F3055B">
              <w:rPr>
                <w:color w:val="000000"/>
                <w:lang w:eastAsia="lt-LT"/>
              </w:rPr>
              <w:t>Aliarmai</w:t>
            </w:r>
          </w:p>
          <w:p w14:paraId="2F789EAB" w14:textId="1AE6E88F" w:rsidR="00B51D1B" w:rsidRPr="00F3055B" w:rsidRDefault="00B51D1B" w:rsidP="00786342">
            <w:pPr>
              <w:rPr>
                <w:color w:val="000000"/>
                <w:lang w:eastAsia="lt-LT"/>
              </w:rPr>
            </w:pPr>
            <w:r w:rsidRPr="00F3055B">
              <w:rPr>
                <w:color w:val="000000"/>
                <w:lang w:eastAsia="lt-LT"/>
              </w:rPr>
              <w:t>Akustiniai ir vizualiniai</w:t>
            </w:r>
          </w:p>
        </w:tc>
        <w:tc>
          <w:tcPr>
            <w:tcW w:w="2833" w:type="dxa"/>
          </w:tcPr>
          <w:p w14:paraId="416BC55C" w14:textId="6819D792" w:rsidR="00D5108C" w:rsidRPr="00F3055B" w:rsidRDefault="00B51D1B" w:rsidP="00826980">
            <w:pPr>
              <w:tabs>
                <w:tab w:val="left" w:pos="473"/>
              </w:tabs>
              <w:ind w:left="47" w:right="138"/>
              <w:rPr>
                <w:bCs/>
                <w:i/>
                <w:iCs/>
              </w:rPr>
            </w:pPr>
            <w:r w:rsidRPr="00F3055B">
              <w:rPr>
                <w:bCs/>
                <w:i/>
                <w:iCs/>
              </w:rPr>
              <w:t>Vizualiai skirtingų spalvų aliarmai</w:t>
            </w:r>
          </w:p>
        </w:tc>
        <w:tc>
          <w:tcPr>
            <w:tcW w:w="2835" w:type="dxa"/>
          </w:tcPr>
          <w:p w14:paraId="5E7F3FF3" w14:textId="5C5303FE" w:rsidR="00D5108C" w:rsidRPr="00F3055B" w:rsidRDefault="001C65DD" w:rsidP="001F54A2">
            <w:pPr>
              <w:tabs>
                <w:tab w:val="left" w:pos="473"/>
              </w:tabs>
              <w:ind w:left="47" w:right="138"/>
              <w:rPr>
                <w:bCs/>
              </w:rPr>
            </w:pPr>
            <w:r>
              <w:rPr>
                <w:bCs/>
              </w:rPr>
              <w:t xml:space="preserve">Perkančioji organizacija sutinka koreguoti reikalavimą </w:t>
            </w:r>
            <w:r w:rsidR="004F464D">
              <w:rPr>
                <w:bCs/>
              </w:rPr>
              <w:t xml:space="preserve"> į „Vizualiniai, skirtingų spalv</w:t>
            </w:r>
            <w:r w:rsidR="000512F8">
              <w:rPr>
                <w:bCs/>
              </w:rPr>
              <w:t>ų“</w:t>
            </w:r>
          </w:p>
        </w:tc>
      </w:tr>
      <w:tr w:rsidR="00B51D1B" w14:paraId="4032FECC" w14:textId="77777777" w:rsidTr="00826980">
        <w:trPr>
          <w:trHeight w:val="841"/>
        </w:trPr>
        <w:tc>
          <w:tcPr>
            <w:tcW w:w="1293" w:type="dxa"/>
          </w:tcPr>
          <w:p w14:paraId="5BCB4617" w14:textId="5D662F94" w:rsidR="00B51D1B" w:rsidRPr="00F3055B" w:rsidRDefault="00033768" w:rsidP="007F3FB8">
            <w:pPr>
              <w:pStyle w:val="TableParagraph"/>
              <w:ind w:left="164" w:right="117" w:hanging="2"/>
              <w:jc w:val="center"/>
              <w:rPr>
                <w:bCs/>
              </w:rPr>
            </w:pPr>
            <w:r w:rsidRPr="00F3055B">
              <w:rPr>
                <w:bCs/>
              </w:rPr>
              <w:t>1.4.</w:t>
            </w:r>
          </w:p>
        </w:tc>
        <w:tc>
          <w:tcPr>
            <w:tcW w:w="2979" w:type="dxa"/>
          </w:tcPr>
          <w:p w14:paraId="004004B6" w14:textId="77777777" w:rsidR="00B51D1B" w:rsidRPr="00F3055B" w:rsidRDefault="00033768" w:rsidP="00786342">
            <w:pPr>
              <w:rPr>
                <w:color w:val="000000"/>
                <w:lang w:eastAsia="lt-LT"/>
              </w:rPr>
            </w:pPr>
            <w:r w:rsidRPr="00F3055B">
              <w:rPr>
                <w:color w:val="000000"/>
                <w:lang w:eastAsia="lt-LT"/>
              </w:rPr>
              <w:t>Darbo iš akumuliatoriaus trukmė</w:t>
            </w:r>
          </w:p>
          <w:p w14:paraId="204CC031" w14:textId="6A6A06C9" w:rsidR="00033768" w:rsidRPr="00F3055B" w:rsidRDefault="00756519" w:rsidP="00786342">
            <w:pPr>
              <w:rPr>
                <w:color w:val="000000"/>
                <w:lang w:eastAsia="lt-LT"/>
              </w:rPr>
            </w:pPr>
            <w:r w:rsidRPr="00F3055B">
              <w:rPr>
                <w:color w:val="000000"/>
                <w:lang w:eastAsia="lt-LT"/>
              </w:rPr>
              <w:t>≥ 2 val.</w:t>
            </w:r>
          </w:p>
        </w:tc>
        <w:tc>
          <w:tcPr>
            <w:tcW w:w="2833" w:type="dxa"/>
          </w:tcPr>
          <w:p w14:paraId="3B75D77E" w14:textId="2C4FE857" w:rsidR="00B51D1B" w:rsidRPr="00F3055B" w:rsidRDefault="00891B9D" w:rsidP="00826980">
            <w:pPr>
              <w:tabs>
                <w:tab w:val="left" w:pos="473"/>
              </w:tabs>
              <w:ind w:left="47" w:right="138"/>
              <w:rPr>
                <w:bCs/>
                <w:i/>
                <w:iCs/>
              </w:rPr>
            </w:pPr>
            <w:r w:rsidRPr="00F3055B">
              <w:rPr>
                <w:bCs/>
                <w:i/>
                <w:iCs/>
              </w:rPr>
              <w:t>1 val.</w:t>
            </w:r>
          </w:p>
        </w:tc>
        <w:tc>
          <w:tcPr>
            <w:tcW w:w="2835" w:type="dxa"/>
          </w:tcPr>
          <w:p w14:paraId="32D8BF63" w14:textId="4127806E" w:rsidR="00B51D1B" w:rsidRPr="00F3055B" w:rsidRDefault="00A22C3F" w:rsidP="001F54A2">
            <w:pPr>
              <w:tabs>
                <w:tab w:val="left" w:pos="473"/>
              </w:tabs>
              <w:ind w:left="47" w:right="138"/>
              <w:rPr>
                <w:bCs/>
              </w:rPr>
            </w:pPr>
            <w:r w:rsidRPr="00A22C3F">
              <w:rPr>
                <w:bCs/>
              </w:rPr>
              <w:t>Perkančioji organizacija sutinka koreguoti reikalavimą  į „</w:t>
            </w:r>
            <w:r w:rsidR="00A05583" w:rsidRPr="00A05583">
              <w:rPr>
                <w:bCs/>
              </w:rPr>
              <w:t xml:space="preserve">≥ </w:t>
            </w:r>
            <w:r w:rsidR="00A05583">
              <w:rPr>
                <w:bCs/>
              </w:rPr>
              <w:t>1</w:t>
            </w:r>
            <w:r w:rsidR="00A05583" w:rsidRPr="00A05583">
              <w:rPr>
                <w:bCs/>
              </w:rPr>
              <w:t xml:space="preserve"> val.</w:t>
            </w:r>
            <w:r w:rsidR="00A05583">
              <w:rPr>
                <w:bCs/>
              </w:rPr>
              <w:t xml:space="preserve">  </w:t>
            </w:r>
            <w:r w:rsidRPr="00A22C3F">
              <w:rPr>
                <w:bCs/>
              </w:rPr>
              <w:t>“</w:t>
            </w:r>
          </w:p>
        </w:tc>
      </w:tr>
      <w:tr w:rsidR="00891B9D" w14:paraId="286DDB29" w14:textId="77777777" w:rsidTr="00826980">
        <w:trPr>
          <w:trHeight w:val="841"/>
        </w:trPr>
        <w:tc>
          <w:tcPr>
            <w:tcW w:w="1293" w:type="dxa"/>
          </w:tcPr>
          <w:p w14:paraId="31FF007C" w14:textId="0B1AC8FF" w:rsidR="00891B9D" w:rsidRPr="00F3055B" w:rsidRDefault="005D25DE" w:rsidP="007F3FB8">
            <w:pPr>
              <w:pStyle w:val="TableParagraph"/>
              <w:ind w:left="164" w:right="117" w:hanging="2"/>
              <w:jc w:val="center"/>
              <w:rPr>
                <w:bCs/>
              </w:rPr>
            </w:pPr>
            <w:r w:rsidRPr="00F3055B">
              <w:rPr>
                <w:bCs/>
              </w:rPr>
              <w:t>1.5.</w:t>
            </w:r>
          </w:p>
        </w:tc>
        <w:tc>
          <w:tcPr>
            <w:tcW w:w="2979" w:type="dxa"/>
          </w:tcPr>
          <w:p w14:paraId="02F7CE48" w14:textId="77777777" w:rsidR="005D25DE" w:rsidRPr="00F3055B" w:rsidRDefault="005D25DE" w:rsidP="005D25DE">
            <w:pPr>
              <w:rPr>
                <w:color w:val="000000"/>
                <w:lang w:eastAsia="lt-LT"/>
              </w:rPr>
            </w:pPr>
            <w:r w:rsidRPr="00F3055B">
              <w:rPr>
                <w:color w:val="000000"/>
                <w:lang w:eastAsia="lt-LT"/>
              </w:rPr>
              <w:t xml:space="preserve">Prietaiso įsijungimo greitis </w:t>
            </w:r>
          </w:p>
          <w:p w14:paraId="4067D469" w14:textId="77777777" w:rsidR="00891B9D" w:rsidRPr="00F3055B" w:rsidRDefault="005D25DE" w:rsidP="005D25DE">
            <w:pPr>
              <w:rPr>
                <w:color w:val="000000"/>
                <w:lang w:eastAsia="lt-LT"/>
              </w:rPr>
            </w:pPr>
            <w:r w:rsidRPr="00F3055B">
              <w:rPr>
                <w:color w:val="000000"/>
                <w:lang w:eastAsia="lt-LT"/>
              </w:rPr>
              <w:t>ne ilgesnis</w:t>
            </w:r>
          </w:p>
          <w:p w14:paraId="1EC26200" w14:textId="6A4CA718" w:rsidR="002258CC" w:rsidRPr="00F3055B" w:rsidRDefault="002258CC" w:rsidP="005D25DE">
            <w:pPr>
              <w:rPr>
                <w:color w:val="000000"/>
                <w:lang w:eastAsia="lt-LT"/>
              </w:rPr>
            </w:pPr>
            <w:r w:rsidRPr="00F3055B">
              <w:rPr>
                <w:color w:val="000000"/>
                <w:lang w:eastAsia="lt-LT"/>
              </w:rPr>
              <w:t>6 s.</w:t>
            </w:r>
          </w:p>
        </w:tc>
        <w:tc>
          <w:tcPr>
            <w:tcW w:w="2833" w:type="dxa"/>
          </w:tcPr>
          <w:p w14:paraId="22366262" w14:textId="6A9FDC38" w:rsidR="00891B9D" w:rsidRPr="00F3055B" w:rsidRDefault="002A4206" w:rsidP="00826980">
            <w:pPr>
              <w:tabs>
                <w:tab w:val="left" w:pos="473"/>
              </w:tabs>
              <w:ind w:left="47" w:right="138"/>
              <w:rPr>
                <w:bCs/>
                <w:i/>
                <w:iCs/>
              </w:rPr>
            </w:pPr>
            <w:r w:rsidRPr="00F3055B">
              <w:rPr>
                <w:bCs/>
                <w:i/>
                <w:iCs/>
              </w:rPr>
              <w:t>Išbraukti šį reikalavimą</w:t>
            </w:r>
          </w:p>
        </w:tc>
        <w:tc>
          <w:tcPr>
            <w:tcW w:w="2835" w:type="dxa"/>
          </w:tcPr>
          <w:p w14:paraId="1B690EEA" w14:textId="73C38289" w:rsidR="00891B9D" w:rsidRPr="00F3055B" w:rsidRDefault="00C44420" w:rsidP="00C44420">
            <w:pPr>
              <w:tabs>
                <w:tab w:val="left" w:pos="473"/>
              </w:tabs>
              <w:ind w:right="138"/>
              <w:rPr>
                <w:bCs/>
              </w:rPr>
            </w:pPr>
            <w:r w:rsidRPr="00C44420">
              <w:rPr>
                <w:bCs/>
              </w:rPr>
              <w:t xml:space="preserve">Perkančioji organizacija sutinka </w:t>
            </w:r>
            <w:r>
              <w:rPr>
                <w:bCs/>
              </w:rPr>
              <w:t>naikinti</w:t>
            </w:r>
            <w:r w:rsidRPr="00C44420">
              <w:rPr>
                <w:bCs/>
              </w:rPr>
              <w:t xml:space="preserve"> reikalavimą  </w:t>
            </w:r>
          </w:p>
        </w:tc>
      </w:tr>
      <w:tr w:rsidR="00891B9D" w14:paraId="7EF62AA0" w14:textId="77777777" w:rsidTr="00826980">
        <w:trPr>
          <w:trHeight w:val="841"/>
        </w:trPr>
        <w:tc>
          <w:tcPr>
            <w:tcW w:w="1293" w:type="dxa"/>
          </w:tcPr>
          <w:p w14:paraId="240E8E12" w14:textId="23B3ADAA" w:rsidR="00891B9D" w:rsidRPr="00F3055B" w:rsidRDefault="00A15FBA" w:rsidP="007F3FB8">
            <w:pPr>
              <w:pStyle w:val="TableParagraph"/>
              <w:ind w:left="164" w:right="117" w:hanging="2"/>
              <w:jc w:val="center"/>
              <w:rPr>
                <w:bCs/>
              </w:rPr>
            </w:pPr>
            <w:r w:rsidRPr="00F3055B">
              <w:rPr>
                <w:bCs/>
              </w:rPr>
              <w:t>1.6.</w:t>
            </w:r>
          </w:p>
        </w:tc>
        <w:tc>
          <w:tcPr>
            <w:tcW w:w="2979" w:type="dxa"/>
          </w:tcPr>
          <w:p w14:paraId="5D6D2094" w14:textId="34058896" w:rsidR="00891B9D" w:rsidRPr="00F3055B" w:rsidRDefault="00887FBE" w:rsidP="00786342">
            <w:pPr>
              <w:rPr>
                <w:color w:val="000000"/>
                <w:lang w:eastAsia="lt-LT"/>
              </w:rPr>
            </w:pPr>
            <w:r w:rsidRPr="00F3055B">
              <w:rPr>
                <w:color w:val="000000"/>
                <w:lang w:eastAsia="lt-LT"/>
              </w:rPr>
              <w:t>Personalo iškvietimo jungtis - Būtina</w:t>
            </w:r>
          </w:p>
        </w:tc>
        <w:tc>
          <w:tcPr>
            <w:tcW w:w="2833" w:type="dxa"/>
          </w:tcPr>
          <w:p w14:paraId="2565EAEA" w14:textId="77777777" w:rsidR="00891B9D" w:rsidRPr="00F3055B" w:rsidRDefault="00887FBE" w:rsidP="00826980">
            <w:pPr>
              <w:tabs>
                <w:tab w:val="left" w:pos="473"/>
              </w:tabs>
              <w:ind w:left="47" w:right="138"/>
              <w:rPr>
                <w:bCs/>
                <w:i/>
                <w:iCs/>
              </w:rPr>
            </w:pPr>
            <w:r w:rsidRPr="00F3055B">
              <w:rPr>
                <w:bCs/>
                <w:i/>
                <w:iCs/>
              </w:rPr>
              <w:t>Siūloma keisti į:</w:t>
            </w:r>
          </w:p>
          <w:p w14:paraId="47B96248" w14:textId="77777777" w:rsidR="00887FBE" w:rsidRPr="00F3055B" w:rsidRDefault="00887FBE" w:rsidP="00826980">
            <w:pPr>
              <w:tabs>
                <w:tab w:val="left" w:pos="473"/>
              </w:tabs>
              <w:ind w:left="47" w:right="138"/>
              <w:rPr>
                <w:bCs/>
                <w:i/>
                <w:iCs/>
              </w:rPr>
            </w:pPr>
          </w:p>
          <w:p w14:paraId="35B3E80E" w14:textId="77777777" w:rsidR="00887FBE" w:rsidRPr="00F3055B" w:rsidRDefault="005F3397" w:rsidP="00826980">
            <w:pPr>
              <w:tabs>
                <w:tab w:val="left" w:pos="473"/>
              </w:tabs>
              <w:ind w:left="47" w:right="138"/>
              <w:rPr>
                <w:bCs/>
                <w:i/>
                <w:iCs/>
              </w:rPr>
            </w:pPr>
            <w:r w:rsidRPr="00F3055B">
              <w:rPr>
                <w:bCs/>
                <w:i/>
                <w:iCs/>
              </w:rPr>
              <w:t>Stotelės jungtys:</w:t>
            </w:r>
          </w:p>
          <w:p w14:paraId="43439232" w14:textId="77777777" w:rsidR="003E52F5" w:rsidRPr="003E52F5" w:rsidRDefault="003E52F5" w:rsidP="003E52F5">
            <w:pPr>
              <w:tabs>
                <w:tab w:val="left" w:pos="473"/>
              </w:tabs>
              <w:ind w:left="47" w:right="138"/>
              <w:rPr>
                <w:bCs/>
                <w:i/>
                <w:iCs/>
              </w:rPr>
            </w:pPr>
            <w:r w:rsidRPr="003E52F5">
              <w:rPr>
                <w:bCs/>
                <w:i/>
                <w:iCs/>
              </w:rPr>
              <w:t>RS232</w:t>
            </w:r>
          </w:p>
          <w:p w14:paraId="124C6E98" w14:textId="77777777" w:rsidR="003E52F5" w:rsidRPr="003E52F5" w:rsidRDefault="003E52F5" w:rsidP="003E52F5">
            <w:pPr>
              <w:tabs>
                <w:tab w:val="left" w:pos="473"/>
              </w:tabs>
              <w:ind w:left="47" w:right="138"/>
              <w:rPr>
                <w:bCs/>
                <w:i/>
                <w:iCs/>
              </w:rPr>
            </w:pPr>
            <w:r w:rsidRPr="003E52F5">
              <w:rPr>
                <w:bCs/>
                <w:i/>
                <w:iCs/>
              </w:rPr>
              <w:t xml:space="preserve">RJ45 </w:t>
            </w:r>
          </w:p>
          <w:p w14:paraId="3E87B804" w14:textId="1E858131" w:rsidR="005F3397" w:rsidRPr="00F3055B" w:rsidRDefault="005F3397" w:rsidP="00826980">
            <w:pPr>
              <w:tabs>
                <w:tab w:val="left" w:pos="473"/>
              </w:tabs>
              <w:ind w:left="47" w:right="138"/>
              <w:rPr>
                <w:bCs/>
                <w:i/>
                <w:iCs/>
              </w:rPr>
            </w:pPr>
          </w:p>
        </w:tc>
        <w:tc>
          <w:tcPr>
            <w:tcW w:w="2835" w:type="dxa"/>
          </w:tcPr>
          <w:p w14:paraId="77AB3AA8" w14:textId="261A0E53" w:rsidR="00891B9D" w:rsidRPr="00F3055B" w:rsidRDefault="00857B59" w:rsidP="00D02CA7">
            <w:pPr>
              <w:tabs>
                <w:tab w:val="left" w:pos="473"/>
              </w:tabs>
              <w:ind w:left="47" w:right="138"/>
              <w:rPr>
                <w:bCs/>
              </w:rPr>
            </w:pPr>
            <w:r w:rsidRPr="00857B59">
              <w:rPr>
                <w:bCs/>
              </w:rPr>
              <w:t>Perkančioji organizacija sutinka koreguoti reikalavim</w:t>
            </w:r>
            <w:r w:rsidR="002E242A">
              <w:rPr>
                <w:bCs/>
              </w:rPr>
              <w:t xml:space="preserve">ą </w:t>
            </w:r>
            <w:r w:rsidR="00D02CA7">
              <w:rPr>
                <w:bCs/>
              </w:rPr>
              <w:t>į „</w:t>
            </w:r>
            <w:r w:rsidR="00C417D3" w:rsidRPr="00C417D3">
              <w:rPr>
                <w:bCs/>
              </w:rPr>
              <w:t>RJ45</w:t>
            </w:r>
            <w:r w:rsidR="00C417D3">
              <w:rPr>
                <w:bCs/>
              </w:rPr>
              <w:t xml:space="preserve"> </w:t>
            </w:r>
            <w:r w:rsidR="00D02CA7">
              <w:rPr>
                <w:bCs/>
              </w:rPr>
              <w:t>arba lyg</w:t>
            </w:r>
            <w:r w:rsidR="009F3181">
              <w:rPr>
                <w:bCs/>
              </w:rPr>
              <w:t>iavertė“</w:t>
            </w:r>
          </w:p>
        </w:tc>
      </w:tr>
      <w:tr w:rsidR="00B51D1B" w14:paraId="353EE0A7" w14:textId="77777777" w:rsidTr="00826980">
        <w:trPr>
          <w:trHeight w:val="841"/>
        </w:trPr>
        <w:tc>
          <w:tcPr>
            <w:tcW w:w="1293" w:type="dxa"/>
          </w:tcPr>
          <w:p w14:paraId="32FFFC2F" w14:textId="4DA69970" w:rsidR="00B51D1B" w:rsidRPr="00F3055B" w:rsidRDefault="00315197" w:rsidP="007F3FB8">
            <w:pPr>
              <w:pStyle w:val="TableParagraph"/>
              <w:ind w:left="164" w:right="117" w:hanging="2"/>
              <w:jc w:val="center"/>
              <w:rPr>
                <w:bCs/>
              </w:rPr>
            </w:pPr>
            <w:r w:rsidRPr="00F3055B">
              <w:rPr>
                <w:bCs/>
              </w:rPr>
              <w:t>1.7.</w:t>
            </w:r>
          </w:p>
        </w:tc>
        <w:tc>
          <w:tcPr>
            <w:tcW w:w="2979" w:type="dxa"/>
          </w:tcPr>
          <w:p w14:paraId="42D01180" w14:textId="77777777" w:rsidR="00B51D1B" w:rsidRPr="00F3055B" w:rsidRDefault="009359C9" w:rsidP="00786342">
            <w:pPr>
              <w:rPr>
                <w:color w:val="000000"/>
                <w:lang w:eastAsia="lt-LT"/>
              </w:rPr>
            </w:pPr>
            <w:r w:rsidRPr="00F3055B">
              <w:rPr>
                <w:color w:val="000000"/>
                <w:lang w:eastAsia="lt-LT"/>
              </w:rPr>
              <w:t>Klasifikacija</w:t>
            </w:r>
          </w:p>
          <w:p w14:paraId="251814F5" w14:textId="77777777" w:rsidR="00AF77B9" w:rsidRPr="00F3055B" w:rsidRDefault="00AF77B9" w:rsidP="00786342">
            <w:pPr>
              <w:rPr>
                <w:color w:val="000000"/>
                <w:lang w:eastAsia="lt-LT"/>
              </w:rPr>
            </w:pPr>
          </w:p>
          <w:p w14:paraId="6888089B" w14:textId="77777777" w:rsidR="00AF77B9" w:rsidRPr="00F3055B" w:rsidRDefault="00AF77B9" w:rsidP="00AF77B9">
            <w:pPr>
              <w:rPr>
                <w:color w:val="000000"/>
                <w:lang w:eastAsia="lt-LT"/>
              </w:rPr>
            </w:pPr>
            <w:r w:rsidRPr="00F3055B">
              <w:rPr>
                <w:color w:val="000000"/>
                <w:lang w:eastAsia="lt-LT"/>
              </w:rPr>
              <w:t>1. I Apsaugos klasė pagal IEC/EN60601-1 (arba lygiavertė)</w:t>
            </w:r>
          </w:p>
          <w:p w14:paraId="7835F802" w14:textId="45BF143D" w:rsidR="009359C9" w:rsidRPr="00F3055B" w:rsidRDefault="00AF77B9" w:rsidP="00AF77B9">
            <w:pPr>
              <w:rPr>
                <w:color w:val="000000"/>
                <w:lang w:eastAsia="lt-LT"/>
              </w:rPr>
            </w:pPr>
            <w:r w:rsidRPr="00F3055B">
              <w:rPr>
                <w:color w:val="000000"/>
                <w:lang w:eastAsia="lt-LT"/>
              </w:rPr>
              <w:t>2. Apsauga nuo kietų objektų ir skysčių patekimo į prietaiso vidų IP33 klasės (arba lygiavertė)</w:t>
            </w:r>
          </w:p>
          <w:p w14:paraId="217A7111" w14:textId="06919D84" w:rsidR="009359C9" w:rsidRPr="00F3055B" w:rsidRDefault="009359C9" w:rsidP="00786342">
            <w:pPr>
              <w:rPr>
                <w:color w:val="000000"/>
                <w:lang w:eastAsia="lt-LT"/>
              </w:rPr>
            </w:pPr>
          </w:p>
        </w:tc>
        <w:tc>
          <w:tcPr>
            <w:tcW w:w="2833" w:type="dxa"/>
          </w:tcPr>
          <w:p w14:paraId="63C14B4F" w14:textId="7772FE5D" w:rsidR="006C691F" w:rsidRPr="00F3055B" w:rsidRDefault="006C691F" w:rsidP="006C691F">
            <w:pPr>
              <w:tabs>
                <w:tab w:val="left" w:pos="473"/>
              </w:tabs>
              <w:ind w:left="47" w:right="138"/>
              <w:rPr>
                <w:bCs/>
                <w:i/>
                <w:iCs/>
              </w:rPr>
            </w:pPr>
            <w:r w:rsidRPr="00F3055B">
              <w:rPr>
                <w:bCs/>
                <w:i/>
                <w:iCs/>
              </w:rPr>
              <w:t>Apsaugos klasė IP22 pilnai užtikrina stotelės saugumą dirbant ligoninės aplinkoje.</w:t>
            </w:r>
          </w:p>
          <w:p w14:paraId="1B7E7A3C" w14:textId="77777777" w:rsidR="006C691F" w:rsidRPr="00F3055B" w:rsidRDefault="006C691F" w:rsidP="006C691F">
            <w:pPr>
              <w:tabs>
                <w:tab w:val="left" w:pos="473"/>
              </w:tabs>
              <w:ind w:left="47" w:right="138"/>
              <w:rPr>
                <w:bCs/>
                <w:i/>
                <w:iCs/>
              </w:rPr>
            </w:pPr>
          </w:p>
          <w:p w14:paraId="4578B905" w14:textId="0972FDC7" w:rsidR="006C691F" w:rsidRPr="006C691F" w:rsidRDefault="006C691F" w:rsidP="006C691F">
            <w:pPr>
              <w:tabs>
                <w:tab w:val="left" w:pos="473"/>
              </w:tabs>
              <w:ind w:left="47" w:right="138"/>
              <w:rPr>
                <w:bCs/>
                <w:i/>
                <w:iCs/>
              </w:rPr>
            </w:pPr>
            <w:r w:rsidRPr="006C691F">
              <w:rPr>
                <w:bCs/>
                <w:i/>
                <w:iCs/>
              </w:rPr>
              <w:t xml:space="preserve">2. Apsauga nuo kietų objektų ir skysčių patekimo į prietaiso vidų IP22klasės (arba lygiavertė) </w:t>
            </w:r>
          </w:p>
          <w:p w14:paraId="7150526B" w14:textId="77777777" w:rsidR="00B51D1B" w:rsidRPr="00F3055B" w:rsidRDefault="00B51D1B" w:rsidP="00826980">
            <w:pPr>
              <w:tabs>
                <w:tab w:val="left" w:pos="473"/>
              </w:tabs>
              <w:ind w:left="47" w:right="138"/>
              <w:rPr>
                <w:bCs/>
                <w:i/>
                <w:iCs/>
              </w:rPr>
            </w:pPr>
          </w:p>
        </w:tc>
        <w:tc>
          <w:tcPr>
            <w:tcW w:w="2835" w:type="dxa"/>
          </w:tcPr>
          <w:p w14:paraId="3176CA62" w14:textId="08190D51" w:rsidR="00B51D1B" w:rsidRPr="00F3055B" w:rsidRDefault="00FB581A" w:rsidP="001F54A2">
            <w:pPr>
              <w:tabs>
                <w:tab w:val="left" w:pos="473"/>
              </w:tabs>
              <w:ind w:left="47" w:right="138"/>
              <w:rPr>
                <w:bCs/>
              </w:rPr>
            </w:pPr>
            <w:r w:rsidRPr="00FB581A">
              <w:rPr>
                <w:bCs/>
              </w:rPr>
              <w:t>Perkančioji organizacija nesutinka keisti reikalavimo</w:t>
            </w:r>
            <w:r>
              <w:rPr>
                <w:bCs/>
              </w:rPr>
              <w:t>.</w:t>
            </w:r>
            <w:r w:rsidRPr="00FB581A">
              <w:rPr>
                <w:bCs/>
              </w:rPr>
              <w:t xml:space="preserve"> IP22 nėra pakankama apsauga, dėl dažnos įrangos dezinfekcijos.</w:t>
            </w:r>
          </w:p>
        </w:tc>
      </w:tr>
      <w:tr w:rsidR="00AA7328" w14:paraId="3EC8F013" w14:textId="77777777" w:rsidTr="00826980">
        <w:trPr>
          <w:trHeight w:val="841"/>
        </w:trPr>
        <w:tc>
          <w:tcPr>
            <w:tcW w:w="1293" w:type="dxa"/>
          </w:tcPr>
          <w:p w14:paraId="7F9B22C8" w14:textId="6C45F009" w:rsidR="00AA7328" w:rsidRPr="00F3055B" w:rsidRDefault="00AA7328" w:rsidP="007F3FB8">
            <w:pPr>
              <w:pStyle w:val="TableParagraph"/>
              <w:ind w:left="164" w:right="117" w:hanging="2"/>
              <w:jc w:val="center"/>
              <w:rPr>
                <w:bCs/>
              </w:rPr>
            </w:pPr>
            <w:r w:rsidRPr="00F3055B">
              <w:rPr>
                <w:bCs/>
              </w:rPr>
              <w:t>1.8.</w:t>
            </w:r>
          </w:p>
        </w:tc>
        <w:tc>
          <w:tcPr>
            <w:tcW w:w="2979" w:type="dxa"/>
          </w:tcPr>
          <w:p w14:paraId="7D9259AC" w14:textId="4A51BFDD" w:rsidR="00AA7328" w:rsidRPr="00F3055B" w:rsidRDefault="00371070" w:rsidP="00786342">
            <w:pPr>
              <w:rPr>
                <w:color w:val="000000"/>
                <w:lang w:eastAsia="lt-LT"/>
              </w:rPr>
            </w:pPr>
            <w:r w:rsidRPr="00F3055B">
              <w:rPr>
                <w:color w:val="000000"/>
                <w:lang w:eastAsia="lt-LT"/>
              </w:rPr>
              <w:t>Skausmo kontrolės pultelis - Būtina</w:t>
            </w:r>
          </w:p>
        </w:tc>
        <w:tc>
          <w:tcPr>
            <w:tcW w:w="2833" w:type="dxa"/>
          </w:tcPr>
          <w:p w14:paraId="728727F9" w14:textId="01587588" w:rsidR="00AA7328" w:rsidRPr="00F3055B" w:rsidRDefault="00371070" w:rsidP="006C691F">
            <w:pPr>
              <w:tabs>
                <w:tab w:val="left" w:pos="473"/>
              </w:tabs>
              <w:ind w:left="47" w:right="138"/>
              <w:rPr>
                <w:bCs/>
                <w:i/>
                <w:iCs/>
              </w:rPr>
            </w:pPr>
            <w:r w:rsidRPr="00F3055B">
              <w:rPr>
                <w:bCs/>
                <w:i/>
                <w:iCs/>
              </w:rPr>
              <w:t>Išbraukti šį reikalavimą</w:t>
            </w:r>
          </w:p>
        </w:tc>
        <w:tc>
          <w:tcPr>
            <w:tcW w:w="2835" w:type="dxa"/>
          </w:tcPr>
          <w:p w14:paraId="46156B7A" w14:textId="18C58EAB" w:rsidR="00AA7328" w:rsidRPr="00F3055B" w:rsidRDefault="00D31DF5" w:rsidP="001F54A2">
            <w:pPr>
              <w:tabs>
                <w:tab w:val="left" w:pos="473"/>
              </w:tabs>
              <w:ind w:left="47" w:right="138"/>
              <w:rPr>
                <w:bCs/>
              </w:rPr>
            </w:pPr>
            <w:r w:rsidRPr="00D31DF5">
              <w:rPr>
                <w:bCs/>
              </w:rPr>
              <w:t xml:space="preserve">Perkančioji organizacija nesutinka </w:t>
            </w:r>
            <w:r w:rsidR="00B97D77">
              <w:rPr>
                <w:bCs/>
              </w:rPr>
              <w:t xml:space="preserve">naikinti </w:t>
            </w:r>
            <w:r w:rsidRPr="00D31DF5">
              <w:rPr>
                <w:bCs/>
              </w:rPr>
              <w:t>reikalavimo</w:t>
            </w:r>
            <w:r>
              <w:rPr>
                <w:bCs/>
              </w:rPr>
              <w:t xml:space="preserve">, tačiau </w:t>
            </w:r>
            <w:r w:rsidR="0087488D">
              <w:rPr>
                <w:bCs/>
              </w:rPr>
              <w:t>koreguoj</w:t>
            </w:r>
            <w:r w:rsidR="00B97D77">
              <w:rPr>
                <w:bCs/>
              </w:rPr>
              <w:t>a</w:t>
            </w:r>
            <w:r w:rsidR="0087488D">
              <w:rPr>
                <w:bCs/>
              </w:rPr>
              <w:t xml:space="preserve"> jį į „</w:t>
            </w:r>
            <w:r w:rsidR="00A10B03" w:rsidRPr="00A10B03">
              <w:rPr>
                <w:bCs/>
              </w:rPr>
              <w:t>Būtina, jungiasi prie švirkštinės pompos arba pompų stotelės</w:t>
            </w:r>
            <w:r w:rsidR="0087488D">
              <w:rPr>
                <w:bCs/>
              </w:rPr>
              <w:t>“</w:t>
            </w:r>
          </w:p>
        </w:tc>
      </w:tr>
      <w:tr w:rsidR="00AA7328" w14:paraId="41DED1DC" w14:textId="77777777" w:rsidTr="00826980">
        <w:trPr>
          <w:trHeight w:val="841"/>
        </w:trPr>
        <w:tc>
          <w:tcPr>
            <w:tcW w:w="1293" w:type="dxa"/>
          </w:tcPr>
          <w:p w14:paraId="54CCF2F7" w14:textId="45B4DEC4" w:rsidR="00AA7328" w:rsidRPr="00F3055B" w:rsidRDefault="00B95D16" w:rsidP="007F3FB8">
            <w:pPr>
              <w:pStyle w:val="TableParagraph"/>
              <w:ind w:left="164" w:right="117" w:hanging="2"/>
              <w:jc w:val="center"/>
              <w:rPr>
                <w:bCs/>
              </w:rPr>
            </w:pPr>
            <w:r w:rsidRPr="00F3055B">
              <w:rPr>
                <w:bCs/>
              </w:rPr>
              <w:t>1.9.</w:t>
            </w:r>
          </w:p>
        </w:tc>
        <w:tc>
          <w:tcPr>
            <w:tcW w:w="2979" w:type="dxa"/>
          </w:tcPr>
          <w:p w14:paraId="4A2FC713" w14:textId="77777777" w:rsidR="00AA7328" w:rsidRPr="00F3055B" w:rsidRDefault="00B95D16" w:rsidP="00786342">
            <w:pPr>
              <w:rPr>
                <w:color w:val="000000"/>
                <w:lang w:eastAsia="lt-LT"/>
              </w:rPr>
            </w:pPr>
            <w:r w:rsidRPr="00F3055B">
              <w:rPr>
                <w:color w:val="000000"/>
                <w:lang w:eastAsia="lt-LT"/>
              </w:rPr>
              <w:t>Pompų integracija su centrine monitoravimo stotimi</w:t>
            </w:r>
          </w:p>
          <w:p w14:paraId="408F4C87" w14:textId="77777777" w:rsidR="00B95D16" w:rsidRPr="00F3055B" w:rsidRDefault="00B95D16" w:rsidP="00786342">
            <w:pPr>
              <w:rPr>
                <w:color w:val="000000"/>
                <w:lang w:eastAsia="lt-LT"/>
              </w:rPr>
            </w:pPr>
          </w:p>
          <w:p w14:paraId="5591C7B8" w14:textId="01D2FA98" w:rsidR="00B95D16" w:rsidRPr="00F3055B" w:rsidRDefault="00D03DA6" w:rsidP="00786342">
            <w:pPr>
              <w:rPr>
                <w:color w:val="000000"/>
                <w:lang w:eastAsia="lt-LT"/>
              </w:rPr>
            </w:pPr>
            <w:r w:rsidRPr="00F3055B">
              <w:rPr>
                <w:color w:val="000000"/>
                <w:lang w:eastAsia="lt-LT"/>
              </w:rPr>
              <w:t>Infuzinės pompos sotelės pagalba jungiasi prie centrinės monitoravimo stoties (siųsti aliarmus, tame pačiame ekrane atvaizduoti infuzijos parametrus lygiagrečiai paciento monitoriaus parametrams)</w:t>
            </w:r>
          </w:p>
        </w:tc>
        <w:tc>
          <w:tcPr>
            <w:tcW w:w="2833" w:type="dxa"/>
          </w:tcPr>
          <w:p w14:paraId="7DF57EAA" w14:textId="00F6B651" w:rsidR="00846288" w:rsidRPr="00F3055B" w:rsidRDefault="00846288" w:rsidP="009E7474">
            <w:pPr>
              <w:tabs>
                <w:tab w:val="left" w:pos="473"/>
              </w:tabs>
              <w:ind w:left="47" w:right="138"/>
              <w:rPr>
                <w:bCs/>
                <w:i/>
                <w:iCs/>
              </w:rPr>
            </w:pPr>
            <w:r w:rsidRPr="00F3055B">
              <w:rPr>
                <w:bCs/>
                <w:i/>
                <w:iCs/>
              </w:rPr>
              <w:t>Prašome nedetalizuoti, kokiame monitoriuje bus vaizduojami infuzijų parametrai. Paaiškiname, kad šiai funkcijai gali būti naudojamas atskiras monitorius</w:t>
            </w:r>
            <w:r w:rsidR="00186545" w:rsidRPr="00F3055B">
              <w:rPr>
                <w:bCs/>
                <w:i/>
                <w:iCs/>
              </w:rPr>
              <w:t>:</w:t>
            </w:r>
          </w:p>
          <w:p w14:paraId="51B70B42" w14:textId="77777777" w:rsidR="00846288" w:rsidRPr="00F3055B" w:rsidRDefault="00846288" w:rsidP="009E7474">
            <w:pPr>
              <w:tabs>
                <w:tab w:val="left" w:pos="473"/>
              </w:tabs>
              <w:ind w:left="47" w:right="138"/>
              <w:rPr>
                <w:bCs/>
                <w:i/>
                <w:iCs/>
              </w:rPr>
            </w:pPr>
          </w:p>
          <w:p w14:paraId="54A7BD74" w14:textId="510B7DA4" w:rsidR="00AA7328" w:rsidRPr="00F3055B" w:rsidRDefault="009E7474" w:rsidP="00186545">
            <w:pPr>
              <w:tabs>
                <w:tab w:val="left" w:pos="473"/>
              </w:tabs>
              <w:ind w:left="47" w:right="138"/>
              <w:rPr>
                <w:bCs/>
                <w:i/>
                <w:iCs/>
              </w:rPr>
            </w:pPr>
            <w:r w:rsidRPr="009E7474">
              <w:rPr>
                <w:bCs/>
                <w:i/>
                <w:iCs/>
              </w:rPr>
              <w:t>Infuzinės pompos sotelės pagalba jungiasi prie centrinės monitoravimo stoties</w:t>
            </w:r>
          </w:p>
        </w:tc>
        <w:tc>
          <w:tcPr>
            <w:tcW w:w="2835" w:type="dxa"/>
          </w:tcPr>
          <w:p w14:paraId="421BDC4A" w14:textId="265D8631" w:rsidR="00AA7328" w:rsidRPr="00F3055B" w:rsidRDefault="00A1528E" w:rsidP="001F54A2">
            <w:pPr>
              <w:tabs>
                <w:tab w:val="left" w:pos="473"/>
              </w:tabs>
              <w:ind w:left="47" w:right="138"/>
              <w:rPr>
                <w:bCs/>
              </w:rPr>
            </w:pPr>
            <w:r w:rsidRPr="00A1528E">
              <w:rPr>
                <w:bCs/>
              </w:rPr>
              <w:t>Perkančioji organizacija naikin</w:t>
            </w:r>
            <w:r>
              <w:rPr>
                <w:bCs/>
              </w:rPr>
              <w:t>a šį</w:t>
            </w:r>
            <w:r w:rsidRPr="00A1528E">
              <w:rPr>
                <w:bCs/>
              </w:rPr>
              <w:t xml:space="preserve"> reikalavimą  </w:t>
            </w:r>
          </w:p>
        </w:tc>
      </w:tr>
      <w:tr w:rsidR="00AA7328" w14:paraId="1119E6E5" w14:textId="77777777" w:rsidTr="00826980">
        <w:trPr>
          <w:trHeight w:val="841"/>
        </w:trPr>
        <w:tc>
          <w:tcPr>
            <w:tcW w:w="1293" w:type="dxa"/>
          </w:tcPr>
          <w:p w14:paraId="66DAB7C2" w14:textId="0B1593F0" w:rsidR="00AA7328" w:rsidRPr="00F3055B" w:rsidRDefault="00DA40D1" w:rsidP="007F3FB8">
            <w:pPr>
              <w:pStyle w:val="TableParagraph"/>
              <w:ind w:left="164" w:right="117" w:hanging="2"/>
              <w:jc w:val="center"/>
              <w:rPr>
                <w:bCs/>
              </w:rPr>
            </w:pPr>
            <w:r w:rsidRPr="00F3055B">
              <w:rPr>
                <w:bCs/>
              </w:rPr>
              <w:t>2.1.</w:t>
            </w:r>
          </w:p>
        </w:tc>
        <w:tc>
          <w:tcPr>
            <w:tcW w:w="2979" w:type="dxa"/>
          </w:tcPr>
          <w:p w14:paraId="62816270" w14:textId="77777777" w:rsidR="00AA7328" w:rsidRPr="00F3055B" w:rsidRDefault="00A33F36" w:rsidP="00786342">
            <w:pPr>
              <w:rPr>
                <w:color w:val="000000"/>
                <w:lang w:eastAsia="lt-LT"/>
              </w:rPr>
            </w:pPr>
            <w:r w:rsidRPr="00F3055B">
              <w:rPr>
                <w:color w:val="000000"/>
                <w:lang w:eastAsia="lt-LT"/>
              </w:rPr>
              <w:t>Pompos ekranas</w:t>
            </w:r>
          </w:p>
          <w:p w14:paraId="402E7D07" w14:textId="77777777" w:rsidR="00A33F36" w:rsidRPr="00F3055B" w:rsidRDefault="00A33F36" w:rsidP="00786342">
            <w:pPr>
              <w:rPr>
                <w:color w:val="000000"/>
                <w:lang w:eastAsia="lt-LT"/>
              </w:rPr>
            </w:pPr>
          </w:p>
          <w:p w14:paraId="6FC88A61" w14:textId="6D62D8CD" w:rsidR="00895FEB" w:rsidRPr="00F3055B" w:rsidRDefault="00895FEB" w:rsidP="00786342">
            <w:pPr>
              <w:rPr>
                <w:color w:val="000000"/>
                <w:lang w:eastAsia="lt-LT"/>
              </w:rPr>
            </w:pPr>
            <w:r w:rsidRPr="00F3055B">
              <w:rPr>
                <w:color w:val="000000"/>
                <w:lang w:eastAsia="lt-LT"/>
              </w:rPr>
              <w:t>Spalvotas, ≥ 5 colių įstrižainės ekranas</w:t>
            </w:r>
          </w:p>
        </w:tc>
        <w:tc>
          <w:tcPr>
            <w:tcW w:w="2833" w:type="dxa"/>
          </w:tcPr>
          <w:p w14:paraId="5CC21A6E" w14:textId="77777777" w:rsidR="00E830D6" w:rsidRPr="00F3055B" w:rsidRDefault="00E830D6" w:rsidP="00E830D6">
            <w:pPr>
              <w:tabs>
                <w:tab w:val="left" w:pos="473"/>
              </w:tabs>
              <w:ind w:left="47" w:right="138"/>
              <w:rPr>
                <w:bCs/>
                <w:i/>
                <w:iCs/>
              </w:rPr>
            </w:pPr>
            <w:r w:rsidRPr="00F3055B">
              <w:rPr>
                <w:bCs/>
                <w:i/>
                <w:iCs/>
              </w:rPr>
              <w:t xml:space="preserve">Prašome panaikint reikalavimą spalvotam, 5 colių ekranui ir formuluoti reikalavimą sekančiai: </w:t>
            </w:r>
          </w:p>
          <w:p w14:paraId="1D7CDD02" w14:textId="77777777" w:rsidR="00E830D6" w:rsidRPr="00E830D6" w:rsidRDefault="00E830D6" w:rsidP="00E830D6">
            <w:pPr>
              <w:tabs>
                <w:tab w:val="left" w:pos="473"/>
              </w:tabs>
              <w:ind w:left="47" w:right="138"/>
              <w:rPr>
                <w:bCs/>
                <w:i/>
                <w:iCs/>
              </w:rPr>
            </w:pPr>
            <w:r w:rsidRPr="00E830D6">
              <w:rPr>
                <w:bCs/>
                <w:i/>
                <w:iCs/>
              </w:rPr>
              <w:t>"</w:t>
            </w:r>
            <w:r w:rsidRPr="00E830D6">
              <w:rPr>
                <w:b/>
                <w:bCs/>
                <w:i/>
                <w:iCs/>
              </w:rPr>
              <w:t xml:space="preserve">Monochrominis LCD </w:t>
            </w:r>
            <w:r w:rsidRPr="00E830D6">
              <w:rPr>
                <w:b/>
                <w:bCs/>
                <w:i/>
                <w:iCs/>
              </w:rPr>
              <w:lastRenderedPageBreak/>
              <w:t>ekranas, 7,3 cm įstrižainės arba lygiavertis</w:t>
            </w:r>
            <w:r w:rsidRPr="00E830D6">
              <w:rPr>
                <w:bCs/>
                <w:i/>
                <w:iCs/>
              </w:rPr>
              <w:t xml:space="preserve">". </w:t>
            </w:r>
          </w:p>
          <w:p w14:paraId="7B71A392" w14:textId="5A37508B" w:rsidR="00AA7328" w:rsidRPr="00F3055B" w:rsidRDefault="00AA7328" w:rsidP="006C691F">
            <w:pPr>
              <w:tabs>
                <w:tab w:val="left" w:pos="473"/>
              </w:tabs>
              <w:ind w:left="47" w:right="138"/>
              <w:rPr>
                <w:bCs/>
                <w:i/>
                <w:iCs/>
              </w:rPr>
            </w:pPr>
          </w:p>
        </w:tc>
        <w:tc>
          <w:tcPr>
            <w:tcW w:w="2835" w:type="dxa"/>
          </w:tcPr>
          <w:p w14:paraId="519D0D73" w14:textId="2A592552" w:rsidR="00AA7328" w:rsidRPr="00F3055B" w:rsidRDefault="007642A4" w:rsidP="001F54A2">
            <w:pPr>
              <w:tabs>
                <w:tab w:val="left" w:pos="473"/>
              </w:tabs>
              <w:ind w:left="47" w:right="138"/>
              <w:rPr>
                <w:bCs/>
              </w:rPr>
            </w:pPr>
            <w:r w:rsidRPr="007642A4">
              <w:rPr>
                <w:bCs/>
              </w:rPr>
              <w:lastRenderedPageBreak/>
              <w:t xml:space="preserve">Perkančioji organizacija nesutinka keisti reikalavimo. </w:t>
            </w:r>
            <w:r>
              <w:t xml:space="preserve"> </w:t>
            </w:r>
            <w:r w:rsidRPr="007642A4">
              <w:rPr>
                <w:bCs/>
              </w:rPr>
              <w:t xml:space="preserve">Spalvotas, bent 5 colių ekranas yra svarbus kasdieniniame personalo </w:t>
            </w:r>
            <w:r w:rsidRPr="007642A4">
              <w:rPr>
                <w:bCs/>
              </w:rPr>
              <w:lastRenderedPageBreak/>
              <w:t xml:space="preserve">darbe, suteikiantis </w:t>
            </w:r>
            <w:r w:rsidR="00191BD7">
              <w:rPr>
                <w:bCs/>
              </w:rPr>
              <w:t xml:space="preserve">daugiau </w:t>
            </w:r>
            <w:r w:rsidRPr="007642A4">
              <w:rPr>
                <w:bCs/>
              </w:rPr>
              <w:t>aiškumo ir lengv</w:t>
            </w:r>
            <w:r w:rsidR="00A71E7F">
              <w:rPr>
                <w:bCs/>
              </w:rPr>
              <w:t>inantis</w:t>
            </w:r>
            <w:r w:rsidRPr="007642A4">
              <w:rPr>
                <w:bCs/>
              </w:rPr>
              <w:t xml:space="preserve"> pompų valdym</w:t>
            </w:r>
            <w:r w:rsidR="00A71E7F">
              <w:rPr>
                <w:bCs/>
              </w:rPr>
              <w:t>ą</w:t>
            </w:r>
            <w:r w:rsidRPr="007642A4">
              <w:rPr>
                <w:bCs/>
              </w:rPr>
              <w:t>.</w:t>
            </w:r>
          </w:p>
        </w:tc>
      </w:tr>
      <w:tr w:rsidR="00CA1914" w14:paraId="61FBB237" w14:textId="77777777" w:rsidTr="00826980">
        <w:trPr>
          <w:trHeight w:val="841"/>
        </w:trPr>
        <w:tc>
          <w:tcPr>
            <w:tcW w:w="1293" w:type="dxa"/>
          </w:tcPr>
          <w:p w14:paraId="70A7A21A" w14:textId="500AE41C" w:rsidR="00CA1914" w:rsidRPr="00F3055B" w:rsidRDefault="00CA1914" w:rsidP="007F3FB8">
            <w:pPr>
              <w:pStyle w:val="TableParagraph"/>
              <w:ind w:left="164" w:right="117" w:hanging="2"/>
              <w:jc w:val="center"/>
              <w:rPr>
                <w:bCs/>
              </w:rPr>
            </w:pPr>
            <w:r w:rsidRPr="00F3055B">
              <w:rPr>
                <w:bCs/>
              </w:rPr>
              <w:lastRenderedPageBreak/>
              <w:t>2.7.</w:t>
            </w:r>
          </w:p>
        </w:tc>
        <w:tc>
          <w:tcPr>
            <w:tcW w:w="2979" w:type="dxa"/>
          </w:tcPr>
          <w:p w14:paraId="37297A0A" w14:textId="77777777" w:rsidR="00CA1914" w:rsidRPr="00F3055B" w:rsidRDefault="001562E3" w:rsidP="00786342">
            <w:pPr>
              <w:rPr>
                <w:color w:val="000000"/>
                <w:lang w:eastAsia="lt-LT"/>
              </w:rPr>
            </w:pPr>
            <w:r w:rsidRPr="00F3055B">
              <w:rPr>
                <w:color w:val="000000"/>
                <w:lang w:eastAsia="lt-LT"/>
              </w:rPr>
              <w:t>Infuzijos greitis</w:t>
            </w:r>
          </w:p>
          <w:p w14:paraId="02CCAE0D" w14:textId="77777777" w:rsidR="001562E3" w:rsidRPr="00F3055B" w:rsidRDefault="001562E3" w:rsidP="00786342">
            <w:pPr>
              <w:rPr>
                <w:color w:val="000000"/>
                <w:lang w:eastAsia="lt-LT"/>
              </w:rPr>
            </w:pPr>
          </w:p>
          <w:p w14:paraId="6A02A9B1" w14:textId="06550836" w:rsidR="001562E3" w:rsidRPr="00F3055B" w:rsidRDefault="00E755E7" w:rsidP="00786342">
            <w:pPr>
              <w:rPr>
                <w:color w:val="000000"/>
                <w:lang w:eastAsia="lt-LT"/>
              </w:rPr>
            </w:pPr>
            <w:r w:rsidRPr="00F3055B">
              <w:rPr>
                <w:color w:val="000000"/>
                <w:lang w:eastAsia="lt-LT"/>
              </w:rPr>
              <w:t>≤ 0,01 - ≥ 1800 ml/val.</w:t>
            </w:r>
          </w:p>
        </w:tc>
        <w:tc>
          <w:tcPr>
            <w:tcW w:w="2833" w:type="dxa"/>
          </w:tcPr>
          <w:p w14:paraId="2093A2F0" w14:textId="77777777" w:rsidR="0071237C" w:rsidRPr="0071237C" w:rsidRDefault="0071237C" w:rsidP="0071237C">
            <w:pPr>
              <w:rPr>
                <w:i/>
                <w:iCs/>
                <w:color w:val="000000"/>
                <w:lang w:eastAsia="lt-LT"/>
              </w:rPr>
            </w:pPr>
            <w:r w:rsidRPr="0071237C">
              <w:rPr>
                <w:i/>
                <w:iCs/>
                <w:color w:val="000000"/>
                <w:lang w:eastAsia="lt-LT"/>
              </w:rPr>
              <w:t xml:space="preserve">Prašome praplėsti infuzijos greičio nustatymo ribas. </w:t>
            </w:r>
          </w:p>
          <w:p w14:paraId="0334DB06" w14:textId="110F4392" w:rsidR="00CA1914" w:rsidRPr="00F3055B" w:rsidRDefault="0071237C" w:rsidP="0071237C">
            <w:pPr>
              <w:rPr>
                <w:bCs/>
                <w:i/>
                <w:iCs/>
              </w:rPr>
            </w:pPr>
            <w:r w:rsidRPr="0071237C">
              <w:rPr>
                <w:i/>
                <w:iCs/>
                <w:color w:val="000000"/>
                <w:lang w:eastAsia="lt-LT"/>
              </w:rPr>
              <w:t>Pažymime kad infuzijos greičio intervalas 0,1 ml/val. - 1200 ml/val. pilnai užtikrina pompos terapines galimybes.</w:t>
            </w:r>
          </w:p>
        </w:tc>
        <w:tc>
          <w:tcPr>
            <w:tcW w:w="2835" w:type="dxa"/>
          </w:tcPr>
          <w:p w14:paraId="1DC321FD" w14:textId="2775840F" w:rsidR="00CA1914" w:rsidRPr="00F3055B" w:rsidRDefault="00BE4DE1" w:rsidP="001F54A2">
            <w:pPr>
              <w:tabs>
                <w:tab w:val="left" w:pos="473"/>
              </w:tabs>
              <w:ind w:left="47" w:right="138"/>
              <w:rPr>
                <w:bCs/>
              </w:rPr>
            </w:pPr>
            <w:r w:rsidRPr="00BE4DE1">
              <w:rPr>
                <w:bCs/>
              </w:rPr>
              <w:t>Perkančioji organizacija sutinka koreguoti reikalavimą į „</w:t>
            </w:r>
            <w:r w:rsidR="00A4626F">
              <w:rPr>
                <w:bCs/>
              </w:rPr>
              <w:t xml:space="preserve">Ne siauresnėse nei </w:t>
            </w:r>
            <w:r w:rsidR="006641D9" w:rsidRPr="006641D9">
              <w:rPr>
                <w:bCs/>
              </w:rPr>
              <w:t>0,1 ml/val. - 1200 ml/val.</w:t>
            </w:r>
            <w:r w:rsidR="006641D9">
              <w:rPr>
                <w:bCs/>
              </w:rPr>
              <w:t xml:space="preserve"> ribose</w:t>
            </w:r>
            <w:r w:rsidRPr="00BE4DE1">
              <w:rPr>
                <w:bCs/>
              </w:rPr>
              <w:t>“</w:t>
            </w:r>
          </w:p>
        </w:tc>
      </w:tr>
      <w:tr w:rsidR="003E3D5E" w14:paraId="2B759815" w14:textId="77777777" w:rsidTr="00FE586D">
        <w:trPr>
          <w:trHeight w:val="841"/>
        </w:trPr>
        <w:tc>
          <w:tcPr>
            <w:tcW w:w="1293" w:type="dxa"/>
          </w:tcPr>
          <w:p w14:paraId="76BE3F75" w14:textId="74895F0A" w:rsidR="003E3D5E" w:rsidRPr="00F3055B" w:rsidRDefault="003E3D5E" w:rsidP="003E3D5E">
            <w:pPr>
              <w:pStyle w:val="TableParagraph"/>
              <w:ind w:left="164" w:right="117" w:hanging="2"/>
              <w:jc w:val="center"/>
              <w:rPr>
                <w:bCs/>
              </w:rPr>
            </w:pPr>
            <w:r w:rsidRPr="00F3055B">
              <w:rPr>
                <w:bCs/>
              </w:rPr>
              <w:t>2.8.</w:t>
            </w:r>
          </w:p>
        </w:tc>
        <w:tc>
          <w:tcPr>
            <w:tcW w:w="2979" w:type="dxa"/>
            <w:tcBorders>
              <w:bottom w:val="single" w:sz="4" w:space="0" w:color="auto"/>
            </w:tcBorders>
          </w:tcPr>
          <w:p w14:paraId="193C2938" w14:textId="77777777" w:rsidR="003E3D5E" w:rsidRPr="00F3055B" w:rsidRDefault="003E3D5E" w:rsidP="003E3D5E">
            <w:pPr>
              <w:rPr>
                <w:color w:val="000000"/>
                <w:lang w:eastAsia="lt-LT"/>
              </w:rPr>
            </w:pPr>
            <w:r w:rsidRPr="00F3055B">
              <w:rPr>
                <w:color w:val="000000"/>
                <w:lang w:eastAsia="lt-LT"/>
              </w:rPr>
              <w:t>Vaistų biblioteka</w:t>
            </w:r>
          </w:p>
          <w:p w14:paraId="7B9565DC" w14:textId="02E79F81" w:rsidR="00290CEE" w:rsidRPr="00F3055B" w:rsidRDefault="00290CEE" w:rsidP="003E3D5E">
            <w:pPr>
              <w:rPr>
                <w:color w:val="000000"/>
                <w:lang w:eastAsia="lt-LT"/>
              </w:rPr>
            </w:pPr>
            <w:r w:rsidRPr="00F3055B">
              <w:rPr>
                <w:i/>
                <w:iCs/>
                <w:color w:val="000000"/>
                <w:lang w:eastAsia="lt-LT"/>
              </w:rPr>
              <w:t>1. ≥ 300 vaistų sąrašas</w:t>
            </w:r>
            <w:r w:rsidRPr="00F3055B">
              <w:rPr>
                <w:i/>
                <w:iCs/>
                <w:color w:val="000000"/>
                <w:lang w:eastAsia="lt-LT"/>
              </w:rPr>
              <w:br/>
              <w:t>2. ≥ 30 vaistų kategorijų</w:t>
            </w:r>
            <w:r w:rsidRPr="00F3055B">
              <w:rPr>
                <w:i/>
                <w:iCs/>
                <w:color w:val="000000"/>
                <w:lang w:eastAsia="lt-LT"/>
              </w:rPr>
              <w:br/>
              <w:t>3. Spalvinis vaistų  žymėjimas</w:t>
            </w:r>
            <w:r w:rsidRPr="00F3055B">
              <w:rPr>
                <w:i/>
                <w:iCs/>
                <w:color w:val="000000"/>
                <w:lang w:eastAsia="lt-LT"/>
              </w:rPr>
              <w:br/>
              <w:t>4. Saugaus dozavimo programinė įranga (DERS)</w:t>
            </w:r>
          </w:p>
        </w:tc>
        <w:tc>
          <w:tcPr>
            <w:tcW w:w="2833" w:type="dxa"/>
            <w:tcBorders>
              <w:bottom w:val="single" w:sz="4" w:space="0" w:color="auto"/>
            </w:tcBorders>
          </w:tcPr>
          <w:p w14:paraId="3019BB0D" w14:textId="77777777" w:rsidR="00110BD2" w:rsidRPr="00110BD2" w:rsidRDefault="00110BD2" w:rsidP="00110BD2">
            <w:pPr>
              <w:rPr>
                <w:i/>
                <w:iCs/>
                <w:color w:val="000000"/>
                <w:lang w:eastAsia="lt-LT"/>
              </w:rPr>
            </w:pPr>
            <w:r w:rsidRPr="00110BD2">
              <w:rPr>
                <w:i/>
                <w:iCs/>
                <w:color w:val="000000"/>
                <w:lang w:eastAsia="lt-LT"/>
              </w:rPr>
              <w:t>1. Iki 3800 vaistų pavadinimų</w:t>
            </w:r>
          </w:p>
          <w:p w14:paraId="6629BA83" w14:textId="77777777" w:rsidR="00110BD2" w:rsidRPr="00110BD2" w:rsidRDefault="00110BD2" w:rsidP="00110BD2">
            <w:pPr>
              <w:rPr>
                <w:i/>
                <w:iCs/>
                <w:color w:val="000000"/>
                <w:lang w:eastAsia="lt-LT"/>
              </w:rPr>
            </w:pPr>
            <w:r w:rsidRPr="00110BD2">
              <w:rPr>
                <w:i/>
                <w:iCs/>
                <w:color w:val="000000"/>
                <w:lang w:eastAsia="lt-LT"/>
              </w:rPr>
              <w:t>2. 19 kategorijų</w:t>
            </w:r>
          </w:p>
          <w:p w14:paraId="2D719A97" w14:textId="69E516CB" w:rsidR="003E3D5E" w:rsidRPr="00F3055B" w:rsidRDefault="00110BD2" w:rsidP="00110BD2">
            <w:pPr>
              <w:tabs>
                <w:tab w:val="left" w:pos="473"/>
              </w:tabs>
              <w:ind w:left="47" w:right="138"/>
              <w:rPr>
                <w:bCs/>
                <w:i/>
                <w:iCs/>
              </w:rPr>
            </w:pPr>
            <w:r w:rsidRPr="00F3055B">
              <w:rPr>
                <w:i/>
                <w:iCs/>
                <w:color w:val="000000"/>
                <w:lang w:eastAsia="lt-LT"/>
              </w:rPr>
              <w:t>3. Saugaus dozavimo programinė įranga</w:t>
            </w:r>
          </w:p>
        </w:tc>
        <w:tc>
          <w:tcPr>
            <w:tcW w:w="2835" w:type="dxa"/>
          </w:tcPr>
          <w:p w14:paraId="7A445B75" w14:textId="5D1F152B" w:rsidR="003E3D5E" w:rsidRPr="00F3055B" w:rsidRDefault="003F321F" w:rsidP="003E3D5E">
            <w:pPr>
              <w:tabs>
                <w:tab w:val="left" w:pos="473"/>
              </w:tabs>
              <w:ind w:left="47" w:right="138"/>
              <w:rPr>
                <w:bCs/>
              </w:rPr>
            </w:pPr>
            <w:r>
              <w:rPr>
                <w:bCs/>
              </w:rPr>
              <w:t xml:space="preserve">Perkančioji organizacija nesutinka </w:t>
            </w:r>
            <w:r w:rsidR="00E01F82">
              <w:rPr>
                <w:bCs/>
              </w:rPr>
              <w:t xml:space="preserve">koreguoti 2.8.1 </w:t>
            </w:r>
            <w:r w:rsidR="00346DBC">
              <w:rPr>
                <w:bCs/>
              </w:rPr>
              <w:t>punkto reikalavimo</w:t>
            </w:r>
            <w:r w:rsidR="00DF26F3">
              <w:rPr>
                <w:bCs/>
              </w:rPr>
              <w:t xml:space="preserve">. Tiekėjas gali siūlyti aukštesnių </w:t>
            </w:r>
            <w:r w:rsidR="00723C6B">
              <w:rPr>
                <w:bCs/>
              </w:rPr>
              <w:t xml:space="preserve">parametrų vaistų </w:t>
            </w:r>
            <w:r w:rsidR="004D022E">
              <w:rPr>
                <w:bCs/>
              </w:rPr>
              <w:t xml:space="preserve">sąrašo biblioteką. Sutinka koreguoti </w:t>
            </w:r>
            <w:r w:rsidR="00E01F82">
              <w:rPr>
                <w:bCs/>
              </w:rPr>
              <w:t>2.8.</w:t>
            </w:r>
            <w:r w:rsidR="009B75AA">
              <w:rPr>
                <w:bCs/>
              </w:rPr>
              <w:t>2 punkto reikalavimą į „</w:t>
            </w:r>
            <w:r w:rsidR="00090DEF" w:rsidRPr="00090DEF">
              <w:rPr>
                <w:bCs/>
              </w:rPr>
              <w:t xml:space="preserve">2. ≥ </w:t>
            </w:r>
            <w:r w:rsidR="00090DEF">
              <w:rPr>
                <w:bCs/>
              </w:rPr>
              <w:t>19</w:t>
            </w:r>
            <w:r w:rsidR="00090DEF" w:rsidRPr="00090DEF">
              <w:rPr>
                <w:bCs/>
              </w:rPr>
              <w:t xml:space="preserve"> vaistų kategorijų</w:t>
            </w:r>
            <w:r w:rsidR="00090DEF">
              <w:rPr>
                <w:bCs/>
              </w:rPr>
              <w:t>.</w:t>
            </w:r>
            <w:r w:rsidR="000E5431">
              <w:rPr>
                <w:bCs/>
              </w:rPr>
              <w:t xml:space="preserve">“ Nesutinka naikinti 2.8.3 punkto reikalavimo. </w:t>
            </w:r>
            <w:r w:rsidR="00DD7D4C">
              <w:rPr>
                <w:bCs/>
              </w:rPr>
              <w:t>S</w:t>
            </w:r>
            <w:r w:rsidR="00DD7D4C" w:rsidRPr="00DD7D4C">
              <w:rPr>
                <w:bCs/>
              </w:rPr>
              <w:t>palvinis vaistų žymėjimas leidžia personalui greičiau įvertinti, kokie tirpalai yra lašinami.</w:t>
            </w:r>
            <w:r w:rsidR="00090DEF">
              <w:rPr>
                <w:bCs/>
              </w:rPr>
              <w:t xml:space="preserve"> </w:t>
            </w:r>
          </w:p>
        </w:tc>
      </w:tr>
      <w:tr w:rsidR="00FE586D" w14:paraId="7E35047E" w14:textId="77777777" w:rsidTr="00FE586D">
        <w:trPr>
          <w:trHeight w:val="841"/>
        </w:trPr>
        <w:tc>
          <w:tcPr>
            <w:tcW w:w="1293" w:type="dxa"/>
            <w:tcBorders>
              <w:right w:val="single" w:sz="4" w:space="0" w:color="auto"/>
            </w:tcBorders>
          </w:tcPr>
          <w:p w14:paraId="261470BC" w14:textId="267646F4" w:rsidR="00FE586D" w:rsidRPr="00F3055B" w:rsidRDefault="00FE586D" w:rsidP="00FE586D">
            <w:pPr>
              <w:pStyle w:val="TableParagraph"/>
              <w:ind w:left="164" w:right="117" w:hanging="2"/>
              <w:jc w:val="center"/>
              <w:rPr>
                <w:bCs/>
              </w:rPr>
            </w:pPr>
            <w:r w:rsidRPr="00F3055B">
              <w:rPr>
                <w:bCs/>
              </w:rPr>
              <w:t>2.9.</w:t>
            </w:r>
          </w:p>
        </w:tc>
        <w:tc>
          <w:tcPr>
            <w:tcW w:w="2979" w:type="dxa"/>
            <w:tcBorders>
              <w:top w:val="single" w:sz="4" w:space="0" w:color="auto"/>
              <w:left w:val="single" w:sz="4" w:space="0" w:color="auto"/>
              <w:bottom w:val="single" w:sz="4" w:space="0" w:color="auto"/>
              <w:right w:val="single" w:sz="4" w:space="0" w:color="auto"/>
            </w:tcBorders>
          </w:tcPr>
          <w:p w14:paraId="6B7C5BEF" w14:textId="77777777" w:rsidR="00FE586D" w:rsidRPr="00F3055B" w:rsidRDefault="00FE586D" w:rsidP="00FE586D">
            <w:pPr>
              <w:rPr>
                <w:color w:val="000000"/>
                <w:lang w:eastAsia="lt-LT"/>
              </w:rPr>
            </w:pPr>
            <w:r w:rsidRPr="00F3055B">
              <w:rPr>
                <w:color w:val="000000"/>
                <w:lang w:eastAsia="lt-LT"/>
              </w:rPr>
              <w:t>Infuzijos tikslumas</w:t>
            </w:r>
          </w:p>
          <w:p w14:paraId="7935996F" w14:textId="48390276" w:rsidR="00FE586D" w:rsidRPr="00F3055B" w:rsidRDefault="00FE586D" w:rsidP="00FE586D">
            <w:pPr>
              <w:rPr>
                <w:color w:val="000000"/>
                <w:lang w:eastAsia="lt-LT"/>
              </w:rPr>
            </w:pPr>
            <w:r w:rsidRPr="00F3055B">
              <w:rPr>
                <w:color w:val="000000"/>
                <w:lang w:eastAsia="lt-LT"/>
              </w:rPr>
              <w:t>≤ ±2%</w:t>
            </w:r>
          </w:p>
        </w:tc>
        <w:tc>
          <w:tcPr>
            <w:tcW w:w="2833" w:type="dxa"/>
            <w:tcBorders>
              <w:top w:val="single" w:sz="4" w:space="0" w:color="auto"/>
              <w:left w:val="nil"/>
              <w:bottom w:val="single" w:sz="4" w:space="0" w:color="auto"/>
              <w:right w:val="single" w:sz="4" w:space="0" w:color="auto"/>
            </w:tcBorders>
          </w:tcPr>
          <w:p w14:paraId="184C3FEC" w14:textId="7EFA0E14" w:rsidR="00FE586D" w:rsidRPr="00F3055B" w:rsidRDefault="00FE586D" w:rsidP="00FE586D">
            <w:pPr>
              <w:rPr>
                <w:i/>
                <w:iCs/>
                <w:color w:val="000000"/>
                <w:lang w:eastAsia="lt-LT"/>
              </w:rPr>
            </w:pPr>
            <w:r w:rsidRPr="00F3055B">
              <w:rPr>
                <w:i/>
                <w:iCs/>
                <w:color w:val="000000"/>
                <w:lang w:eastAsia="lt-LT"/>
              </w:rPr>
              <w:t>± 1% mechanizmo, ± 2 % švirkštų.</w:t>
            </w:r>
          </w:p>
        </w:tc>
        <w:tc>
          <w:tcPr>
            <w:tcW w:w="2835" w:type="dxa"/>
          </w:tcPr>
          <w:p w14:paraId="403CF94E" w14:textId="12807BE9" w:rsidR="00FE586D" w:rsidRPr="00F3055B" w:rsidRDefault="00DD2E63" w:rsidP="00FE586D">
            <w:pPr>
              <w:tabs>
                <w:tab w:val="left" w:pos="473"/>
              </w:tabs>
              <w:ind w:left="47" w:right="138"/>
              <w:rPr>
                <w:bCs/>
              </w:rPr>
            </w:pPr>
            <w:r w:rsidRPr="00DD2E63">
              <w:rPr>
                <w:bCs/>
              </w:rPr>
              <w:t xml:space="preserve">Perkančioji organizacija nesutinka keisti reikalavimo. </w:t>
            </w:r>
            <w:r w:rsidR="001C61CB" w:rsidRPr="001C61CB">
              <w:rPr>
                <w:bCs/>
              </w:rPr>
              <w:t>Švirkštinėse pompose labai svarb</w:t>
            </w:r>
            <w:r w:rsidR="001B6936">
              <w:rPr>
                <w:bCs/>
              </w:rPr>
              <w:t xml:space="preserve">us </w:t>
            </w:r>
            <w:r w:rsidR="001C61CB" w:rsidRPr="001C61CB">
              <w:rPr>
                <w:bCs/>
              </w:rPr>
              <w:t>infuzij</w:t>
            </w:r>
            <w:r w:rsidR="001B6936">
              <w:rPr>
                <w:bCs/>
              </w:rPr>
              <w:t>os tikslumas.</w:t>
            </w:r>
            <w:r w:rsidRPr="00DD2E63">
              <w:rPr>
                <w:bCs/>
              </w:rPr>
              <w:t xml:space="preserve"> </w:t>
            </w:r>
          </w:p>
        </w:tc>
      </w:tr>
      <w:tr w:rsidR="00FE586D" w14:paraId="4847733F" w14:textId="77777777" w:rsidTr="002A65BB">
        <w:trPr>
          <w:trHeight w:val="841"/>
        </w:trPr>
        <w:tc>
          <w:tcPr>
            <w:tcW w:w="1293" w:type="dxa"/>
            <w:tcBorders>
              <w:top w:val="nil"/>
              <w:left w:val="single" w:sz="4" w:space="0" w:color="auto"/>
              <w:bottom w:val="single" w:sz="4" w:space="0" w:color="auto"/>
              <w:right w:val="single" w:sz="4" w:space="0" w:color="auto"/>
            </w:tcBorders>
          </w:tcPr>
          <w:p w14:paraId="03CD108E" w14:textId="33C8822D" w:rsidR="00FE586D" w:rsidRPr="00F3055B" w:rsidRDefault="00FE586D" w:rsidP="00FE586D">
            <w:pPr>
              <w:pStyle w:val="TableParagraph"/>
              <w:ind w:left="164" w:right="117" w:hanging="2"/>
              <w:jc w:val="center"/>
              <w:rPr>
                <w:bCs/>
              </w:rPr>
            </w:pPr>
            <w:r w:rsidRPr="00F3055B">
              <w:rPr>
                <w:color w:val="000000"/>
                <w:lang w:eastAsia="lt-LT"/>
              </w:rPr>
              <w:t>2.10</w:t>
            </w:r>
          </w:p>
        </w:tc>
        <w:tc>
          <w:tcPr>
            <w:tcW w:w="2979" w:type="dxa"/>
            <w:tcBorders>
              <w:top w:val="single" w:sz="4" w:space="0" w:color="auto"/>
              <w:left w:val="nil"/>
              <w:bottom w:val="single" w:sz="4" w:space="0" w:color="auto"/>
              <w:right w:val="single" w:sz="4" w:space="0" w:color="auto"/>
            </w:tcBorders>
          </w:tcPr>
          <w:p w14:paraId="0F02C61F" w14:textId="77777777" w:rsidR="00FE586D" w:rsidRPr="00F3055B" w:rsidRDefault="00FE586D" w:rsidP="00FE586D">
            <w:pPr>
              <w:rPr>
                <w:color w:val="000000"/>
                <w:lang w:eastAsia="lt-LT"/>
              </w:rPr>
            </w:pPr>
            <w:r w:rsidRPr="00F3055B">
              <w:rPr>
                <w:color w:val="000000"/>
                <w:lang w:eastAsia="lt-LT"/>
              </w:rPr>
              <w:t>Okliuzjos aptikimas</w:t>
            </w:r>
          </w:p>
          <w:p w14:paraId="6D00DCF8" w14:textId="787740BD" w:rsidR="00FE586D" w:rsidRPr="00F3055B" w:rsidRDefault="00FE586D" w:rsidP="00FE586D">
            <w:pPr>
              <w:rPr>
                <w:color w:val="000000"/>
                <w:lang w:eastAsia="lt-LT"/>
              </w:rPr>
            </w:pPr>
            <w:r w:rsidRPr="00F3055B">
              <w:rPr>
                <w:color w:val="000000"/>
                <w:lang w:eastAsia="lt-LT"/>
              </w:rPr>
              <w:t>1. Ne siauresnis nei 80 - 900 mmHg</w:t>
            </w:r>
            <w:r w:rsidRPr="00F3055B">
              <w:rPr>
                <w:color w:val="000000"/>
                <w:lang w:eastAsia="lt-LT"/>
              </w:rPr>
              <w:br/>
              <w:t>2. ≥ 9 jautrumo nustatymo lygiai</w:t>
            </w:r>
          </w:p>
        </w:tc>
        <w:tc>
          <w:tcPr>
            <w:tcW w:w="2833" w:type="dxa"/>
            <w:tcBorders>
              <w:top w:val="nil"/>
              <w:left w:val="nil"/>
              <w:bottom w:val="single" w:sz="4" w:space="0" w:color="auto"/>
              <w:right w:val="single" w:sz="4" w:space="0" w:color="auto"/>
            </w:tcBorders>
          </w:tcPr>
          <w:p w14:paraId="5529F793" w14:textId="59FB0103" w:rsidR="00FE586D" w:rsidRPr="00F3055B" w:rsidRDefault="00FE586D" w:rsidP="00FE586D">
            <w:pPr>
              <w:rPr>
                <w:i/>
                <w:iCs/>
                <w:color w:val="000000"/>
                <w:lang w:eastAsia="lt-LT"/>
              </w:rPr>
            </w:pPr>
            <w:r w:rsidRPr="00F3055B">
              <w:rPr>
                <w:i/>
                <w:iCs/>
                <w:color w:val="000000"/>
                <w:lang w:eastAsia="lt-LT"/>
              </w:rPr>
              <w:t>50 -900 mmHg</w:t>
            </w:r>
          </w:p>
        </w:tc>
        <w:tc>
          <w:tcPr>
            <w:tcW w:w="2835" w:type="dxa"/>
          </w:tcPr>
          <w:p w14:paraId="460BA861" w14:textId="37BED744" w:rsidR="00FE586D" w:rsidRPr="00F3055B" w:rsidRDefault="001724CB" w:rsidP="00FE586D">
            <w:pPr>
              <w:tabs>
                <w:tab w:val="left" w:pos="473"/>
              </w:tabs>
              <w:ind w:left="47" w:right="138"/>
              <w:rPr>
                <w:bCs/>
              </w:rPr>
            </w:pPr>
            <w:r w:rsidRPr="001724CB">
              <w:rPr>
                <w:bCs/>
              </w:rPr>
              <w:t xml:space="preserve">Perkančioji organizacija nesutinka keisti </w:t>
            </w:r>
            <w:r w:rsidR="00023C94">
              <w:rPr>
                <w:bCs/>
              </w:rPr>
              <w:t xml:space="preserve">2.10.1 </w:t>
            </w:r>
            <w:r w:rsidRPr="001724CB">
              <w:rPr>
                <w:bCs/>
              </w:rPr>
              <w:t>reikalavimo</w:t>
            </w:r>
            <w:r w:rsidR="00023C94">
              <w:rPr>
                <w:bCs/>
              </w:rPr>
              <w:t xml:space="preserve"> nes pakeitimas mažintų konkure</w:t>
            </w:r>
            <w:r w:rsidR="00780008">
              <w:rPr>
                <w:bCs/>
              </w:rPr>
              <w:t>nciją</w:t>
            </w:r>
            <w:r w:rsidRPr="001724CB">
              <w:rPr>
                <w:bCs/>
              </w:rPr>
              <w:t>.</w:t>
            </w:r>
            <w:r w:rsidR="00780008">
              <w:rPr>
                <w:bCs/>
              </w:rPr>
              <w:t xml:space="preserve"> Nesutinka </w:t>
            </w:r>
            <w:r w:rsidR="009D0870">
              <w:rPr>
                <w:bCs/>
              </w:rPr>
              <w:t xml:space="preserve">keisti 2.10.2. reikalavimo, nes </w:t>
            </w:r>
            <w:r w:rsidR="00347AA3">
              <w:rPr>
                <w:bCs/>
              </w:rPr>
              <w:t>j</w:t>
            </w:r>
            <w:r w:rsidR="00347AA3" w:rsidRPr="00347AA3">
              <w:rPr>
                <w:bCs/>
              </w:rPr>
              <w:t>autrumo lygių nustatymas yra svarbus, jog pompa nealermuotų, esant mažam nustatymui, tačiau nesant realiai okliuzijai.</w:t>
            </w:r>
          </w:p>
        </w:tc>
      </w:tr>
      <w:tr w:rsidR="00FE586D" w14:paraId="5EEBB6FC" w14:textId="77777777" w:rsidTr="002A65BB">
        <w:trPr>
          <w:trHeight w:val="841"/>
        </w:trPr>
        <w:tc>
          <w:tcPr>
            <w:tcW w:w="1293" w:type="dxa"/>
            <w:tcBorders>
              <w:top w:val="nil"/>
              <w:left w:val="single" w:sz="4" w:space="0" w:color="auto"/>
              <w:bottom w:val="single" w:sz="4" w:space="0" w:color="auto"/>
              <w:right w:val="single" w:sz="4" w:space="0" w:color="auto"/>
            </w:tcBorders>
          </w:tcPr>
          <w:p w14:paraId="5258E1D2" w14:textId="2E36BA5C" w:rsidR="00FE586D" w:rsidRPr="00F3055B" w:rsidRDefault="00FE586D" w:rsidP="00FE586D">
            <w:pPr>
              <w:pStyle w:val="TableParagraph"/>
              <w:ind w:left="164" w:right="117" w:hanging="2"/>
              <w:jc w:val="center"/>
              <w:rPr>
                <w:bCs/>
              </w:rPr>
            </w:pPr>
            <w:r w:rsidRPr="00F3055B">
              <w:rPr>
                <w:color w:val="000000"/>
                <w:lang w:eastAsia="lt-LT"/>
              </w:rPr>
              <w:t>2.11</w:t>
            </w:r>
          </w:p>
        </w:tc>
        <w:tc>
          <w:tcPr>
            <w:tcW w:w="2979" w:type="dxa"/>
            <w:tcBorders>
              <w:top w:val="single" w:sz="4" w:space="0" w:color="auto"/>
              <w:left w:val="nil"/>
              <w:bottom w:val="single" w:sz="4" w:space="0" w:color="auto"/>
              <w:right w:val="single" w:sz="4" w:space="0" w:color="auto"/>
            </w:tcBorders>
          </w:tcPr>
          <w:p w14:paraId="206E822A" w14:textId="77777777" w:rsidR="00FE586D" w:rsidRPr="00F3055B" w:rsidRDefault="00FE586D" w:rsidP="00FE586D">
            <w:pPr>
              <w:rPr>
                <w:color w:val="000000"/>
                <w:lang w:eastAsia="lt-LT"/>
              </w:rPr>
            </w:pPr>
            <w:r w:rsidRPr="00F3055B">
              <w:rPr>
                <w:color w:val="000000"/>
                <w:lang w:eastAsia="lt-LT"/>
              </w:rPr>
              <w:t>Pompos svoris</w:t>
            </w:r>
          </w:p>
          <w:p w14:paraId="36DC1DD1" w14:textId="4A843CC8" w:rsidR="00FE586D" w:rsidRPr="00F3055B" w:rsidRDefault="00FE586D" w:rsidP="00FE586D">
            <w:pPr>
              <w:rPr>
                <w:color w:val="000000"/>
                <w:lang w:eastAsia="lt-LT"/>
              </w:rPr>
            </w:pPr>
            <w:r w:rsidRPr="00F3055B">
              <w:rPr>
                <w:color w:val="000000"/>
                <w:lang w:eastAsia="lt-LT"/>
              </w:rPr>
              <w:t>≤ 1,9 kg</w:t>
            </w:r>
          </w:p>
        </w:tc>
        <w:tc>
          <w:tcPr>
            <w:tcW w:w="2833" w:type="dxa"/>
            <w:tcBorders>
              <w:top w:val="nil"/>
              <w:left w:val="nil"/>
              <w:bottom w:val="single" w:sz="4" w:space="0" w:color="auto"/>
              <w:right w:val="single" w:sz="4" w:space="0" w:color="auto"/>
            </w:tcBorders>
          </w:tcPr>
          <w:p w14:paraId="35709D50" w14:textId="0D62B1BA" w:rsidR="00FE586D" w:rsidRPr="00F3055B" w:rsidRDefault="00FE586D" w:rsidP="00FE586D">
            <w:pPr>
              <w:rPr>
                <w:i/>
                <w:iCs/>
                <w:color w:val="000000"/>
                <w:lang w:eastAsia="lt-LT"/>
              </w:rPr>
            </w:pPr>
            <w:r w:rsidRPr="00F3055B">
              <w:rPr>
                <w:i/>
                <w:iCs/>
                <w:color w:val="000000"/>
                <w:lang w:eastAsia="lt-LT"/>
              </w:rPr>
              <w:t>2,1 kg</w:t>
            </w:r>
          </w:p>
        </w:tc>
        <w:tc>
          <w:tcPr>
            <w:tcW w:w="2835" w:type="dxa"/>
          </w:tcPr>
          <w:p w14:paraId="3C4FDD5B" w14:textId="476E0712" w:rsidR="00FE586D" w:rsidRPr="00F3055B" w:rsidRDefault="004302EC" w:rsidP="00FE586D">
            <w:pPr>
              <w:tabs>
                <w:tab w:val="left" w:pos="473"/>
              </w:tabs>
              <w:ind w:left="47" w:right="138"/>
              <w:rPr>
                <w:bCs/>
              </w:rPr>
            </w:pPr>
            <w:r w:rsidRPr="004302EC">
              <w:rPr>
                <w:bCs/>
              </w:rPr>
              <w:t>Perkančioji organizacija sutinka koreguoti reikalavimą į „</w:t>
            </w:r>
            <w:r w:rsidR="00F520C7" w:rsidRPr="00F520C7">
              <w:rPr>
                <w:bCs/>
              </w:rPr>
              <w:t xml:space="preserve">≤ </w:t>
            </w:r>
            <w:r w:rsidR="00F520C7">
              <w:rPr>
                <w:bCs/>
              </w:rPr>
              <w:t>2,1</w:t>
            </w:r>
            <w:r w:rsidR="00F520C7" w:rsidRPr="00F520C7">
              <w:rPr>
                <w:bCs/>
              </w:rPr>
              <w:t xml:space="preserve"> kg</w:t>
            </w:r>
            <w:r w:rsidRPr="004302EC">
              <w:rPr>
                <w:bCs/>
              </w:rPr>
              <w:t>“</w:t>
            </w:r>
          </w:p>
        </w:tc>
      </w:tr>
      <w:tr w:rsidR="00FE586D" w14:paraId="62B1C622" w14:textId="77777777" w:rsidTr="002A65BB">
        <w:trPr>
          <w:trHeight w:val="841"/>
        </w:trPr>
        <w:tc>
          <w:tcPr>
            <w:tcW w:w="1293" w:type="dxa"/>
            <w:tcBorders>
              <w:top w:val="nil"/>
              <w:left w:val="single" w:sz="4" w:space="0" w:color="auto"/>
              <w:bottom w:val="single" w:sz="4" w:space="0" w:color="auto"/>
              <w:right w:val="single" w:sz="4" w:space="0" w:color="auto"/>
            </w:tcBorders>
          </w:tcPr>
          <w:p w14:paraId="19C288BA" w14:textId="0498363D" w:rsidR="00FE586D" w:rsidRPr="00F3055B" w:rsidRDefault="00FE586D" w:rsidP="00FE586D">
            <w:pPr>
              <w:pStyle w:val="TableParagraph"/>
              <w:ind w:left="164" w:right="117" w:hanging="2"/>
              <w:jc w:val="center"/>
              <w:rPr>
                <w:bCs/>
              </w:rPr>
            </w:pPr>
            <w:r w:rsidRPr="00F3055B">
              <w:rPr>
                <w:color w:val="000000"/>
                <w:lang w:eastAsia="lt-LT"/>
              </w:rPr>
              <w:t>2.12</w:t>
            </w:r>
          </w:p>
        </w:tc>
        <w:tc>
          <w:tcPr>
            <w:tcW w:w="2979" w:type="dxa"/>
            <w:tcBorders>
              <w:top w:val="single" w:sz="4" w:space="0" w:color="auto"/>
              <w:left w:val="nil"/>
              <w:bottom w:val="single" w:sz="4" w:space="0" w:color="auto"/>
              <w:right w:val="single" w:sz="4" w:space="0" w:color="auto"/>
            </w:tcBorders>
          </w:tcPr>
          <w:p w14:paraId="0A51DC56" w14:textId="77777777" w:rsidR="00FE586D" w:rsidRPr="00F3055B" w:rsidRDefault="00FE586D" w:rsidP="00FE586D">
            <w:pPr>
              <w:rPr>
                <w:color w:val="000000"/>
                <w:lang w:eastAsia="lt-LT"/>
              </w:rPr>
            </w:pPr>
            <w:r w:rsidRPr="00F3055B">
              <w:rPr>
                <w:color w:val="000000"/>
                <w:lang w:eastAsia="lt-LT"/>
              </w:rPr>
              <w:t>Klasifikacija</w:t>
            </w:r>
          </w:p>
          <w:p w14:paraId="57040E00" w14:textId="017E863E" w:rsidR="00FE586D" w:rsidRPr="00F3055B" w:rsidRDefault="00FE586D" w:rsidP="00FE586D">
            <w:pPr>
              <w:rPr>
                <w:color w:val="000000"/>
                <w:lang w:eastAsia="lt-LT"/>
              </w:rPr>
            </w:pPr>
            <w:r w:rsidRPr="00F3055B">
              <w:rPr>
                <w:color w:val="000000"/>
                <w:lang w:eastAsia="lt-LT"/>
              </w:rPr>
              <w:t>1. I Apsaugos klasė pagal IEC/EN60601-1 (arba lygiavertė)</w:t>
            </w:r>
            <w:r w:rsidRPr="00F3055B">
              <w:rPr>
                <w:color w:val="000000"/>
                <w:lang w:eastAsia="lt-LT"/>
              </w:rPr>
              <w:br/>
              <w:t>2. Apsauga nuo kietų objektų ir skysčių patekimo į prietaiso vidų IP33 klasės arba lygiavertė)</w:t>
            </w:r>
          </w:p>
        </w:tc>
        <w:tc>
          <w:tcPr>
            <w:tcW w:w="2833" w:type="dxa"/>
            <w:tcBorders>
              <w:top w:val="nil"/>
              <w:left w:val="nil"/>
              <w:bottom w:val="single" w:sz="4" w:space="0" w:color="auto"/>
              <w:right w:val="single" w:sz="4" w:space="0" w:color="auto"/>
            </w:tcBorders>
          </w:tcPr>
          <w:p w14:paraId="1E48D3AF" w14:textId="77777777" w:rsidR="00FE586D" w:rsidRPr="00F3055B" w:rsidRDefault="00FE586D" w:rsidP="00FE586D">
            <w:pPr>
              <w:rPr>
                <w:i/>
                <w:iCs/>
                <w:color w:val="000000"/>
                <w:lang w:eastAsia="lt-LT"/>
              </w:rPr>
            </w:pPr>
            <w:r w:rsidRPr="00F3055B">
              <w:rPr>
                <w:i/>
                <w:iCs/>
                <w:color w:val="000000"/>
                <w:lang w:eastAsia="lt-LT"/>
              </w:rPr>
              <w:t xml:space="preserve">1. I Apsaugos klasė pagal IEC/EN60601-1 </w:t>
            </w:r>
          </w:p>
          <w:p w14:paraId="519A0C50" w14:textId="6AEDB35E" w:rsidR="00FE586D" w:rsidRPr="00F3055B" w:rsidRDefault="00FE586D" w:rsidP="00FE586D">
            <w:pPr>
              <w:rPr>
                <w:i/>
                <w:iCs/>
                <w:color w:val="000000"/>
                <w:lang w:eastAsia="lt-LT"/>
              </w:rPr>
            </w:pPr>
            <w:r w:rsidRPr="00F3055B">
              <w:rPr>
                <w:i/>
                <w:iCs/>
                <w:color w:val="000000"/>
                <w:lang w:eastAsia="lt-LT"/>
              </w:rPr>
              <w:t>2. Apsauga nuo kietų objektų ir skysčių patekimo į prietaiso vidų IP22 klasės arba lygiavertė)</w:t>
            </w:r>
          </w:p>
        </w:tc>
        <w:tc>
          <w:tcPr>
            <w:tcW w:w="2835" w:type="dxa"/>
          </w:tcPr>
          <w:p w14:paraId="1DD72BA3" w14:textId="142A36D5" w:rsidR="00FE586D" w:rsidRPr="00F3055B" w:rsidRDefault="00401D76" w:rsidP="00FE586D">
            <w:pPr>
              <w:tabs>
                <w:tab w:val="left" w:pos="473"/>
              </w:tabs>
              <w:ind w:left="47" w:right="138"/>
              <w:rPr>
                <w:bCs/>
              </w:rPr>
            </w:pPr>
            <w:r w:rsidRPr="00401D76">
              <w:rPr>
                <w:bCs/>
              </w:rPr>
              <w:t>Perkančioji organizacija nesutinka keisti 2.1</w:t>
            </w:r>
            <w:r>
              <w:rPr>
                <w:bCs/>
              </w:rPr>
              <w:t>2</w:t>
            </w:r>
            <w:r w:rsidRPr="00401D76">
              <w:rPr>
                <w:bCs/>
              </w:rPr>
              <w:t>.</w:t>
            </w:r>
            <w:r>
              <w:rPr>
                <w:bCs/>
              </w:rPr>
              <w:t>2</w:t>
            </w:r>
            <w:r w:rsidRPr="00401D76">
              <w:rPr>
                <w:bCs/>
              </w:rPr>
              <w:t xml:space="preserve"> reikalavimo</w:t>
            </w:r>
            <w:r>
              <w:rPr>
                <w:bCs/>
              </w:rPr>
              <w:t xml:space="preserve">, </w:t>
            </w:r>
            <w:r w:rsidRPr="00401D76">
              <w:rPr>
                <w:bCs/>
              </w:rPr>
              <w:t>nes</w:t>
            </w:r>
            <w:r w:rsidR="00094DAF">
              <w:t xml:space="preserve"> </w:t>
            </w:r>
            <w:r w:rsidR="00094DAF" w:rsidRPr="00094DAF">
              <w:rPr>
                <w:bCs/>
              </w:rPr>
              <w:t xml:space="preserve">IP22 </w:t>
            </w:r>
            <w:r w:rsidR="00094DAF">
              <w:rPr>
                <w:bCs/>
              </w:rPr>
              <w:t>k</w:t>
            </w:r>
            <w:r w:rsidR="00E26740">
              <w:rPr>
                <w:bCs/>
              </w:rPr>
              <w:t xml:space="preserve">lasė </w:t>
            </w:r>
            <w:r w:rsidR="00094DAF" w:rsidRPr="00094DAF">
              <w:rPr>
                <w:bCs/>
              </w:rPr>
              <w:t>nėra pakankama apsauga, dėl dažno įrangos valymo ir dezinfekcijos</w:t>
            </w:r>
            <w:r w:rsidR="00E26740">
              <w:rPr>
                <w:bCs/>
              </w:rPr>
              <w:t>.</w:t>
            </w:r>
          </w:p>
        </w:tc>
      </w:tr>
      <w:tr w:rsidR="00FE586D" w14:paraId="31AA895F" w14:textId="77777777" w:rsidTr="00826980">
        <w:trPr>
          <w:trHeight w:val="841"/>
        </w:trPr>
        <w:tc>
          <w:tcPr>
            <w:tcW w:w="1293" w:type="dxa"/>
          </w:tcPr>
          <w:p w14:paraId="2DDA06D5" w14:textId="611B15B0" w:rsidR="00FE586D" w:rsidRPr="00F3055B" w:rsidRDefault="008862CE" w:rsidP="00FE586D">
            <w:pPr>
              <w:pStyle w:val="TableParagraph"/>
              <w:ind w:left="164" w:right="117" w:hanging="2"/>
              <w:jc w:val="center"/>
              <w:rPr>
                <w:bCs/>
              </w:rPr>
            </w:pPr>
            <w:r w:rsidRPr="00F3055B">
              <w:rPr>
                <w:bCs/>
              </w:rPr>
              <w:t>3.2.</w:t>
            </w:r>
          </w:p>
        </w:tc>
        <w:tc>
          <w:tcPr>
            <w:tcW w:w="2979" w:type="dxa"/>
          </w:tcPr>
          <w:p w14:paraId="4AD8BB69" w14:textId="77777777" w:rsidR="00FE586D" w:rsidRPr="00F3055B" w:rsidRDefault="00D50898" w:rsidP="00FE586D">
            <w:pPr>
              <w:rPr>
                <w:color w:val="000000"/>
                <w:lang w:eastAsia="lt-LT"/>
              </w:rPr>
            </w:pPr>
            <w:r w:rsidRPr="00F3055B">
              <w:rPr>
                <w:color w:val="000000"/>
                <w:lang w:eastAsia="lt-LT"/>
              </w:rPr>
              <w:t>Pompos ekranas</w:t>
            </w:r>
          </w:p>
          <w:p w14:paraId="2044D4CD" w14:textId="10DFD802" w:rsidR="00D50898" w:rsidRPr="00F3055B" w:rsidRDefault="003479A7" w:rsidP="00FE586D">
            <w:pPr>
              <w:rPr>
                <w:color w:val="000000"/>
                <w:lang w:eastAsia="lt-LT"/>
              </w:rPr>
            </w:pPr>
            <w:r w:rsidRPr="00F3055B">
              <w:rPr>
                <w:color w:val="000000"/>
                <w:lang w:eastAsia="lt-LT"/>
              </w:rPr>
              <w:t>Spalvotas, ≥ 5 colių įstrižainės ekranas</w:t>
            </w:r>
          </w:p>
        </w:tc>
        <w:tc>
          <w:tcPr>
            <w:tcW w:w="2833" w:type="dxa"/>
          </w:tcPr>
          <w:p w14:paraId="69486DC9" w14:textId="77777777" w:rsidR="00305572" w:rsidRPr="00F3055B" w:rsidRDefault="00305572" w:rsidP="00305572">
            <w:pPr>
              <w:rPr>
                <w:i/>
                <w:iCs/>
                <w:color w:val="000000"/>
                <w:lang w:eastAsia="lt-LT"/>
              </w:rPr>
            </w:pPr>
            <w:r w:rsidRPr="00F3055B">
              <w:rPr>
                <w:i/>
                <w:iCs/>
                <w:color w:val="000000"/>
                <w:lang w:eastAsia="lt-LT"/>
              </w:rPr>
              <w:t>Monochrominis LCD ekranas, 7,3 cm įstrižainės</w:t>
            </w:r>
          </w:p>
          <w:p w14:paraId="0BA47187" w14:textId="77777777" w:rsidR="00FE586D" w:rsidRPr="00F3055B" w:rsidRDefault="00FE586D" w:rsidP="00FE586D">
            <w:pPr>
              <w:rPr>
                <w:i/>
                <w:iCs/>
                <w:color w:val="000000"/>
                <w:lang w:eastAsia="lt-LT"/>
              </w:rPr>
            </w:pPr>
          </w:p>
        </w:tc>
        <w:tc>
          <w:tcPr>
            <w:tcW w:w="2835" w:type="dxa"/>
          </w:tcPr>
          <w:p w14:paraId="3EA3EC3C" w14:textId="10041BF8" w:rsidR="00FE586D" w:rsidRPr="00F3055B" w:rsidRDefault="00430006" w:rsidP="00FE586D">
            <w:pPr>
              <w:tabs>
                <w:tab w:val="left" w:pos="473"/>
              </w:tabs>
              <w:ind w:left="47" w:right="138"/>
              <w:rPr>
                <w:bCs/>
              </w:rPr>
            </w:pPr>
            <w:r w:rsidRPr="00430006">
              <w:rPr>
                <w:bCs/>
              </w:rPr>
              <w:t>Perkančioji organizacija nesutinka keisti reikalavimo.  Spalvotas, bent 5 colių ekranas yra svarbus kasdieniniame personalo darbe, suteikiantis daugiau aiškumo ir lengvinantis pompų valdymą.</w:t>
            </w:r>
          </w:p>
        </w:tc>
      </w:tr>
      <w:tr w:rsidR="00FE586D" w14:paraId="6B24FED5" w14:textId="77777777" w:rsidTr="00826980">
        <w:trPr>
          <w:trHeight w:val="841"/>
        </w:trPr>
        <w:tc>
          <w:tcPr>
            <w:tcW w:w="1293" w:type="dxa"/>
          </w:tcPr>
          <w:p w14:paraId="21B706D6" w14:textId="1DBD62D0" w:rsidR="00FE586D" w:rsidRPr="00F3055B" w:rsidRDefault="00052061" w:rsidP="00FE586D">
            <w:pPr>
              <w:pStyle w:val="TableParagraph"/>
              <w:ind w:left="164" w:right="117" w:hanging="2"/>
              <w:jc w:val="center"/>
              <w:rPr>
                <w:bCs/>
              </w:rPr>
            </w:pPr>
            <w:r w:rsidRPr="00F3055B">
              <w:rPr>
                <w:bCs/>
              </w:rPr>
              <w:t>3.6.</w:t>
            </w:r>
          </w:p>
        </w:tc>
        <w:tc>
          <w:tcPr>
            <w:tcW w:w="2979" w:type="dxa"/>
          </w:tcPr>
          <w:p w14:paraId="12DBCA0E" w14:textId="77777777" w:rsidR="00FE586D" w:rsidRPr="00F3055B" w:rsidRDefault="00136E55" w:rsidP="00FE586D">
            <w:pPr>
              <w:rPr>
                <w:color w:val="000000"/>
                <w:lang w:eastAsia="lt-LT"/>
              </w:rPr>
            </w:pPr>
            <w:r w:rsidRPr="00F3055B">
              <w:rPr>
                <w:color w:val="000000"/>
                <w:lang w:eastAsia="lt-LT"/>
              </w:rPr>
              <w:t>Darbo iš akumuliatoriaus trukmė</w:t>
            </w:r>
          </w:p>
          <w:p w14:paraId="058E06C7" w14:textId="2083B5B0" w:rsidR="00136E55" w:rsidRPr="00F3055B" w:rsidRDefault="007942EC" w:rsidP="00FE586D">
            <w:pPr>
              <w:rPr>
                <w:color w:val="000000"/>
                <w:lang w:eastAsia="lt-LT"/>
              </w:rPr>
            </w:pPr>
            <w:r w:rsidRPr="00F3055B">
              <w:rPr>
                <w:color w:val="000000"/>
                <w:lang w:eastAsia="lt-LT"/>
              </w:rPr>
              <w:t>≥ 11 val.</w:t>
            </w:r>
          </w:p>
        </w:tc>
        <w:tc>
          <w:tcPr>
            <w:tcW w:w="2833" w:type="dxa"/>
          </w:tcPr>
          <w:p w14:paraId="34A6C6C4" w14:textId="13831F33" w:rsidR="00FE586D" w:rsidRPr="00F3055B" w:rsidRDefault="008E44FD" w:rsidP="00FE586D">
            <w:pPr>
              <w:rPr>
                <w:i/>
                <w:iCs/>
                <w:color w:val="000000"/>
                <w:lang w:eastAsia="lt-LT"/>
              </w:rPr>
            </w:pPr>
            <w:r w:rsidRPr="00F3055B">
              <w:rPr>
                <w:i/>
                <w:iCs/>
                <w:color w:val="000000"/>
                <w:lang w:eastAsia="lt-LT"/>
              </w:rPr>
              <w:t>≥ 8 val. 25 ml/val. greičiu</w:t>
            </w:r>
          </w:p>
        </w:tc>
        <w:tc>
          <w:tcPr>
            <w:tcW w:w="2835" w:type="dxa"/>
          </w:tcPr>
          <w:p w14:paraId="7D240D73" w14:textId="51457371" w:rsidR="00FE586D" w:rsidRPr="00F3055B" w:rsidRDefault="00661BEA" w:rsidP="00FE586D">
            <w:pPr>
              <w:tabs>
                <w:tab w:val="left" w:pos="473"/>
              </w:tabs>
              <w:ind w:left="47" w:right="138"/>
              <w:rPr>
                <w:bCs/>
              </w:rPr>
            </w:pPr>
            <w:r w:rsidRPr="00661BEA">
              <w:rPr>
                <w:bCs/>
              </w:rPr>
              <w:t>Perkančioji organizacija nesutinka keisti reikalavimo</w:t>
            </w:r>
            <w:r w:rsidR="00465D16">
              <w:rPr>
                <w:bCs/>
              </w:rPr>
              <w:t xml:space="preserve">. </w:t>
            </w:r>
            <w:r w:rsidR="00183014" w:rsidRPr="00183014">
              <w:rPr>
                <w:bCs/>
              </w:rPr>
              <w:t>11 valandų darbo baterija užtikrina ilgą infuzijos veiklą, nutrūkus elektros tiekimui.</w:t>
            </w:r>
          </w:p>
        </w:tc>
      </w:tr>
      <w:tr w:rsidR="00D72BE1" w14:paraId="702848E7" w14:textId="77777777" w:rsidTr="00095A76">
        <w:trPr>
          <w:trHeight w:val="841"/>
        </w:trPr>
        <w:tc>
          <w:tcPr>
            <w:tcW w:w="1293" w:type="dxa"/>
            <w:tcBorders>
              <w:top w:val="nil"/>
              <w:left w:val="single" w:sz="4" w:space="0" w:color="auto"/>
              <w:bottom w:val="single" w:sz="4" w:space="0" w:color="auto"/>
              <w:right w:val="single" w:sz="4" w:space="0" w:color="auto"/>
            </w:tcBorders>
          </w:tcPr>
          <w:p w14:paraId="3BCB5CD8" w14:textId="7D7CF611" w:rsidR="00D72BE1" w:rsidRPr="00F3055B" w:rsidRDefault="00D72BE1" w:rsidP="00D72BE1">
            <w:pPr>
              <w:pStyle w:val="TableParagraph"/>
              <w:ind w:left="164" w:right="117" w:hanging="2"/>
              <w:jc w:val="center"/>
              <w:rPr>
                <w:bCs/>
              </w:rPr>
            </w:pPr>
            <w:r w:rsidRPr="00F3055B">
              <w:rPr>
                <w:color w:val="000000"/>
                <w:lang w:eastAsia="lt-LT"/>
              </w:rPr>
              <w:lastRenderedPageBreak/>
              <w:t>3.7</w:t>
            </w:r>
          </w:p>
        </w:tc>
        <w:tc>
          <w:tcPr>
            <w:tcW w:w="2979" w:type="dxa"/>
            <w:tcBorders>
              <w:top w:val="nil"/>
              <w:left w:val="nil"/>
              <w:bottom w:val="single" w:sz="4" w:space="0" w:color="auto"/>
              <w:right w:val="single" w:sz="4" w:space="0" w:color="auto"/>
            </w:tcBorders>
          </w:tcPr>
          <w:p w14:paraId="7DD022F7" w14:textId="77777777" w:rsidR="00D72BE1" w:rsidRPr="00F3055B" w:rsidRDefault="00D72BE1" w:rsidP="00D72BE1">
            <w:pPr>
              <w:rPr>
                <w:color w:val="000000"/>
                <w:lang w:eastAsia="lt-LT"/>
              </w:rPr>
            </w:pPr>
            <w:r w:rsidRPr="00F3055B">
              <w:rPr>
                <w:color w:val="000000"/>
                <w:lang w:eastAsia="lt-LT"/>
              </w:rPr>
              <w:t>Infuzijos greitis</w:t>
            </w:r>
          </w:p>
          <w:p w14:paraId="03B5AA15" w14:textId="6D2F813D" w:rsidR="00D72BE1" w:rsidRPr="00F3055B" w:rsidRDefault="00D72BE1" w:rsidP="00D72BE1">
            <w:pPr>
              <w:rPr>
                <w:color w:val="000000"/>
                <w:lang w:eastAsia="lt-LT"/>
              </w:rPr>
            </w:pPr>
            <w:r w:rsidRPr="00F3055B">
              <w:rPr>
                <w:color w:val="000000"/>
                <w:lang w:eastAsia="lt-LT"/>
              </w:rPr>
              <w:t>≤ 0,1 - ≥ 1800 ml/val</w:t>
            </w:r>
          </w:p>
        </w:tc>
        <w:tc>
          <w:tcPr>
            <w:tcW w:w="2833" w:type="dxa"/>
            <w:tcBorders>
              <w:top w:val="nil"/>
              <w:left w:val="nil"/>
              <w:bottom w:val="single" w:sz="4" w:space="0" w:color="auto"/>
              <w:right w:val="single" w:sz="4" w:space="0" w:color="auto"/>
            </w:tcBorders>
          </w:tcPr>
          <w:p w14:paraId="6B4A9269" w14:textId="3106A73E" w:rsidR="00D72BE1" w:rsidRPr="00F3055B" w:rsidRDefault="00D72BE1" w:rsidP="00D72BE1">
            <w:pPr>
              <w:rPr>
                <w:i/>
                <w:iCs/>
                <w:color w:val="000000"/>
                <w:lang w:eastAsia="lt-LT"/>
              </w:rPr>
            </w:pPr>
            <w:r w:rsidRPr="00F3055B">
              <w:rPr>
                <w:i/>
                <w:iCs/>
                <w:color w:val="000000"/>
                <w:lang w:eastAsia="lt-LT"/>
              </w:rPr>
              <w:t>0,1-1500 ml/val.</w:t>
            </w:r>
          </w:p>
        </w:tc>
        <w:tc>
          <w:tcPr>
            <w:tcW w:w="2835" w:type="dxa"/>
          </w:tcPr>
          <w:p w14:paraId="26DFBB7C" w14:textId="30DA2DD2" w:rsidR="00D72BE1" w:rsidRPr="00F3055B" w:rsidRDefault="000918BA" w:rsidP="00D72BE1">
            <w:pPr>
              <w:tabs>
                <w:tab w:val="left" w:pos="473"/>
              </w:tabs>
              <w:ind w:left="47" w:right="138"/>
              <w:rPr>
                <w:bCs/>
              </w:rPr>
            </w:pPr>
            <w:r w:rsidRPr="000918BA">
              <w:rPr>
                <w:bCs/>
              </w:rPr>
              <w:t>Perkančioji organizacija sutinka koreguoti reikalavimą į „Ne siauresnėse nei 0,1 ml/val. - 1</w:t>
            </w:r>
            <w:r w:rsidR="00DE4C37">
              <w:rPr>
                <w:bCs/>
              </w:rPr>
              <w:t>5</w:t>
            </w:r>
            <w:r w:rsidRPr="000918BA">
              <w:rPr>
                <w:bCs/>
              </w:rPr>
              <w:t>00 ml/val. ribose“</w:t>
            </w:r>
          </w:p>
        </w:tc>
      </w:tr>
      <w:tr w:rsidR="00D72BE1" w14:paraId="1EDE10CC" w14:textId="77777777" w:rsidTr="00095A76">
        <w:trPr>
          <w:trHeight w:val="841"/>
        </w:trPr>
        <w:tc>
          <w:tcPr>
            <w:tcW w:w="1293" w:type="dxa"/>
            <w:tcBorders>
              <w:top w:val="nil"/>
              <w:left w:val="single" w:sz="4" w:space="0" w:color="auto"/>
              <w:bottom w:val="single" w:sz="4" w:space="0" w:color="auto"/>
              <w:right w:val="single" w:sz="4" w:space="0" w:color="auto"/>
            </w:tcBorders>
          </w:tcPr>
          <w:p w14:paraId="54B97FE0" w14:textId="3DF8D76C" w:rsidR="00D72BE1" w:rsidRPr="00F3055B" w:rsidRDefault="00D72BE1" w:rsidP="00D72BE1">
            <w:pPr>
              <w:pStyle w:val="TableParagraph"/>
              <w:ind w:left="164" w:right="117" w:hanging="2"/>
              <w:jc w:val="center"/>
              <w:rPr>
                <w:bCs/>
              </w:rPr>
            </w:pPr>
            <w:r w:rsidRPr="00F3055B">
              <w:rPr>
                <w:color w:val="000000"/>
                <w:lang w:eastAsia="lt-LT"/>
              </w:rPr>
              <w:t>3.8</w:t>
            </w:r>
          </w:p>
        </w:tc>
        <w:tc>
          <w:tcPr>
            <w:tcW w:w="2979" w:type="dxa"/>
            <w:tcBorders>
              <w:top w:val="nil"/>
              <w:left w:val="nil"/>
              <w:bottom w:val="single" w:sz="4" w:space="0" w:color="auto"/>
              <w:right w:val="single" w:sz="4" w:space="0" w:color="auto"/>
            </w:tcBorders>
          </w:tcPr>
          <w:p w14:paraId="10CB5D15" w14:textId="77777777" w:rsidR="00D72BE1" w:rsidRPr="00F3055B" w:rsidRDefault="00D72BE1" w:rsidP="00D72BE1">
            <w:pPr>
              <w:rPr>
                <w:color w:val="000000"/>
                <w:lang w:eastAsia="lt-LT"/>
              </w:rPr>
            </w:pPr>
            <w:r w:rsidRPr="00F3055B">
              <w:rPr>
                <w:color w:val="000000"/>
                <w:lang w:eastAsia="lt-LT"/>
              </w:rPr>
              <w:t>Vaistų biblioteka</w:t>
            </w:r>
          </w:p>
          <w:p w14:paraId="54BF79C1" w14:textId="77777777" w:rsidR="00D72BE1" w:rsidRPr="00F3055B" w:rsidRDefault="00D72BE1" w:rsidP="00D72BE1">
            <w:pPr>
              <w:rPr>
                <w:color w:val="000000"/>
                <w:lang w:eastAsia="lt-LT"/>
              </w:rPr>
            </w:pPr>
            <w:r w:rsidRPr="00F3055B">
              <w:rPr>
                <w:color w:val="000000"/>
                <w:lang w:eastAsia="lt-LT"/>
              </w:rPr>
              <w:t>1. ≥ 300 vaistų sąrašas</w:t>
            </w:r>
          </w:p>
          <w:p w14:paraId="50AED45A" w14:textId="77777777" w:rsidR="00D72BE1" w:rsidRPr="00F3055B" w:rsidRDefault="00D72BE1" w:rsidP="00D72BE1">
            <w:pPr>
              <w:rPr>
                <w:color w:val="000000"/>
                <w:lang w:eastAsia="lt-LT"/>
              </w:rPr>
            </w:pPr>
            <w:r w:rsidRPr="00F3055B">
              <w:rPr>
                <w:color w:val="000000"/>
                <w:lang w:eastAsia="lt-LT"/>
              </w:rPr>
              <w:t>2. ≥ 30 vaistų kategorijų</w:t>
            </w:r>
          </w:p>
          <w:p w14:paraId="5E156878" w14:textId="77777777" w:rsidR="00D72BE1" w:rsidRPr="00F3055B" w:rsidRDefault="00D72BE1" w:rsidP="00D72BE1">
            <w:pPr>
              <w:rPr>
                <w:color w:val="000000"/>
                <w:lang w:eastAsia="lt-LT"/>
              </w:rPr>
            </w:pPr>
            <w:r w:rsidRPr="00F3055B">
              <w:rPr>
                <w:color w:val="000000"/>
                <w:lang w:eastAsia="lt-LT"/>
              </w:rPr>
              <w:t>3. Spalvinis vaistų  žymėjimas</w:t>
            </w:r>
          </w:p>
          <w:p w14:paraId="18B9090C" w14:textId="7655B362" w:rsidR="00D72BE1" w:rsidRPr="00F3055B" w:rsidRDefault="00D72BE1" w:rsidP="00D72BE1">
            <w:pPr>
              <w:rPr>
                <w:color w:val="000000"/>
                <w:lang w:eastAsia="lt-LT"/>
              </w:rPr>
            </w:pPr>
            <w:r w:rsidRPr="00F3055B">
              <w:rPr>
                <w:color w:val="000000"/>
                <w:lang w:eastAsia="lt-LT"/>
              </w:rPr>
              <w:t>4. Saugaus dozavimo programinė įranga (DERS)</w:t>
            </w:r>
          </w:p>
          <w:p w14:paraId="6B6B84B2" w14:textId="02F68DEA" w:rsidR="00D72BE1" w:rsidRPr="00F3055B" w:rsidRDefault="00D72BE1" w:rsidP="00D72BE1">
            <w:pPr>
              <w:rPr>
                <w:color w:val="000000"/>
                <w:lang w:eastAsia="lt-LT"/>
              </w:rPr>
            </w:pPr>
          </w:p>
        </w:tc>
        <w:tc>
          <w:tcPr>
            <w:tcW w:w="2833" w:type="dxa"/>
            <w:tcBorders>
              <w:top w:val="nil"/>
              <w:left w:val="nil"/>
              <w:bottom w:val="single" w:sz="4" w:space="0" w:color="auto"/>
              <w:right w:val="single" w:sz="4" w:space="0" w:color="auto"/>
            </w:tcBorders>
          </w:tcPr>
          <w:p w14:paraId="674AB43D" w14:textId="77777777" w:rsidR="00D72BE1" w:rsidRPr="00F3055B" w:rsidRDefault="00D72BE1" w:rsidP="00D72BE1">
            <w:pPr>
              <w:rPr>
                <w:i/>
                <w:iCs/>
                <w:color w:val="000000"/>
                <w:lang w:eastAsia="lt-LT"/>
              </w:rPr>
            </w:pPr>
            <w:r w:rsidRPr="00F3055B">
              <w:rPr>
                <w:i/>
                <w:iCs/>
                <w:color w:val="000000"/>
                <w:lang w:eastAsia="lt-LT"/>
              </w:rPr>
              <w:t>1. Iki 3800 vaistų pavadinimų</w:t>
            </w:r>
          </w:p>
          <w:p w14:paraId="37F16346" w14:textId="77777777" w:rsidR="00D72BE1" w:rsidRPr="00F3055B" w:rsidRDefault="00D72BE1" w:rsidP="00D72BE1">
            <w:pPr>
              <w:rPr>
                <w:i/>
                <w:iCs/>
                <w:color w:val="000000"/>
                <w:lang w:eastAsia="lt-LT"/>
              </w:rPr>
            </w:pPr>
            <w:r w:rsidRPr="00F3055B">
              <w:rPr>
                <w:i/>
                <w:iCs/>
                <w:color w:val="000000"/>
                <w:lang w:eastAsia="lt-LT"/>
              </w:rPr>
              <w:t>2. 19 kategorijų</w:t>
            </w:r>
          </w:p>
          <w:p w14:paraId="16CE9614" w14:textId="427A4979" w:rsidR="00D72BE1" w:rsidRPr="00F3055B" w:rsidRDefault="00D72BE1" w:rsidP="00D72BE1">
            <w:pPr>
              <w:rPr>
                <w:i/>
                <w:iCs/>
                <w:color w:val="000000"/>
                <w:lang w:eastAsia="lt-LT"/>
              </w:rPr>
            </w:pPr>
            <w:r w:rsidRPr="00F3055B">
              <w:rPr>
                <w:i/>
                <w:iCs/>
                <w:color w:val="000000"/>
                <w:lang w:eastAsia="lt-LT"/>
              </w:rPr>
              <w:t>3. Saugaus dozavimo programinė įranga</w:t>
            </w:r>
          </w:p>
        </w:tc>
        <w:tc>
          <w:tcPr>
            <w:tcW w:w="2835" w:type="dxa"/>
          </w:tcPr>
          <w:p w14:paraId="0E604905" w14:textId="5A6B4200" w:rsidR="00D72BE1" w:rsidRPr="00F3055B" w:rsidRDefault="00A17B94" w:rsidP="00D72BE1">
            <w:pPr>
              <w:tabs>
                <w:tab w:val="left" w:pos="473"/>
              </w:tabs>
              <w:ind w:left="47" w:right="138"/>
              <w:rPr>
                <w:bCs/>
              </w:rPr>
            </w:pPr>
            <w:r w:rsidRPr="00A17B94">
              <w:rPr>
                <w:bCs/>
              </w:rPr>
              <w:t xml:space="preserve">Perkančioji organizacija nesutinka koreguoti </w:t>
            </w:r>
            <w:r>
              <w:rPr>
                <w:bCs/>
              </w:rPr>
              <w:t>3</w:t>
            </w:r>
            <w:r w:rsidRPr="00A17B94">
              <w:rPr>
                <w:bCs/>
              </w:rPr>
              <w:t xml:space="preserve">.8.1 punkto reikalavimo. Tiekėjas gali siūlyti aukštesnių parametrų vaistų sąrašo biblioteką. Sutinka koreguoti </w:t>
            </w:r>
            <w:r w:rsidR="00FF5EDB">
              <w:rPr>
                <w:bCs/>
              </w:rPr>
              <w:t>3</w:t>
            </w:r>
            <w:r w:rsidRPr="00A17B94">
              <w:rPr>
                <w:bCs/>
              </w:rPr>
              <w:t xml:space="preserve">.8.2 punkto reikalavimą į „2. ≥ 19 vaistų kategorijų.“ Nesutinka naikinti </w:t>
            </w:r>
            <w:r w:rsidR="00FF5EDB">
              <w:rPr>
                <w:bCs/>
              </w:rPr>
              <w:t>3</w:t>
            </w:r>
            <w:r w:rsidRPr="00A17B94">
              <w:rPr>
                <w:bCs/>
              </w:rPr>
              <w:t>.8.3 punkto reikalavimo. Spalvinis vaistų žymėjimas leidžia personalui greičiau įvertinti, kokie tirpalai yra lašinami.</w:t>
            </w:r>
          </w:p>
        </w:tc>
      </w:tr>
      <w:tr w:rsidR="00D72BE1" w14:paraId="1F718899" w14:textId="77777777" w:rsidTr="00095A76">
        <w:trPr>
          <w:trHeight w:val="841"/>
        </w:trPr>
        <w:tc>
          <w:tcPr>
            <w:tcW w:w="1293" w:type="dxa"/>
            <w:tcBorders>
              <w:top w:val="nil"/>
              <w:left w:val="single" w:sz="4" w:space="0" w:color="auto"/>
              <w:bottom w:val="single" w:sz="4" w:space="0" w:color="auto"/>
              <w:right w:val="single" w:sz="4" w:space="0" w:color="auto"/>
            </w:tcBorders>
          </w:tcPr>
          <w:p w14:paraId="58670AE9" w14:textId="0E6D1DC8" w:rsidR="00D72BE1" w:rsidRPr="00F3055B" w:rsidRDefault="00D72BE1" w:rsidP="00D72BE1">
            <w:pPr>
              <w:pStyle w:val="TableParagraph"/>
              <w:ind w:left="164" w:right="117" w:hanging="2"/>
              <w:jc w:val="center"/>
              <w:rPr>
                <w:bCs/>
              </w:rPr>
            </w:pPr>
            <w:r w:rsidRPr="00F3055B">
              <w:rPr>
                <w:color w:val="000000"/>
                <w:lang w:eastAsia="lt-LT"/>
              </w:rPr>
              <w:t>3.9</w:t>
            </w:r>
          </w:p>
        </w:tc>
        <w:tc>
          <w:tcPr>
            <w:tcW w:w="2979" w:type="dxa"/>
            <w:tcBorders>
              <w:top w:val="nil"/>
              <w:left w:val="nil"/>
              <w:bottom w:val="single" w:sz="4" w:space="0" w:color="auto"/>
              <w:right w:val="single" w:sz="4" w:space="0" w:color="auto"/>
            </w:tcBorders>
          </w:tcPr>
          <w:p w14:paraId="041A6B22" w14:textId="4FE213B5" w:rsidR="00D72BE1" w:rsidRPr="00F3055B" w:rsidRDefault="00D72BE1" w:rsidP="00D72BE1">
            <w:pPr>
              <w:rPr>
                <w:color w:val="000000"/>
                <w:lang w:eastAsia="lt-LT"/>
              </w:rPr>
            </w:pPr>
            <w:r w:rsidRPr="00F3055B">
              <w:rPr>
                <w:color w:val="000000"/>
                <w:lang w:eastAsia="lt-LT"/>
              </w:rPr>
              <w:t>Infuzijos tikslumas ≤ ±3%</w:t>
            </w:r>
          </w:p>
        </w:tc>
        <w:tc>
          <w:tcPr>
            <w:tcW w:w="2833" w:type="dxa"/>
            <w:tcBorders>
              <w:top w:val="nil"/>
              <w:left w:val="nil"/>
              <w:bottom w:val="single" w:sz="4" w:space="0" w:color="auto"/>
              <w:right w:val="single" w:sz="4" w:space="0" w:color="auto"/>
            </w:tcBorders>
          </w:tcPr>
          <w:p w14:paraId="048CACB4" w14:textId="68618703" w:rsidR="00D72BE1" w:rsidRPr="00F3055B" w:rsidRDefault="00D72BE1" w:rsidP="00D72BE1">
            <w:pPr>
              <w:rPr>
                <w:i/>
                <w:iCs/>
                <w:color w:val="000000"/>
                <w:lang w:eastAsia="lt-LT"/>
              </w:rPr>
            </w:pPr>
            <w:r w:rsidRPr="00F3055B">
              <w:rPr>
                <w:i/>
                <w:iCs/>
                <w:color w:val="000000"/>
                <w:lang w:val="en-US" w:eastAsia="lt-LT"/>
              </w:rPr>
              <w:t xml:space="preserve">±5% </w:t>
            </w:r>
          </w:p>
        </w:tc>
        <w:tc>
          <w:tcPr>
            <w:tcW w:w="2835" w:type="dxa"/>
          </w:tcPr>
          <w:p w14:paraId="23CA3575" w14:textId="13DC64ED" w:rsidR="00D72BE1" w:rsidRPr="00F3055B" w:rsidRDefault="00DB1FE5" w:rsidP="00D72BE1">
            <w:pPr>
              <w:tabs>
                <w:tab w:val="left" w:pos="473"/>
              </w:tabs>
              <w:ind w:left="47" w:right="138"/>
              <w:rPr>
                <w:bCs/>
              </w:rPr>
            </w:pPr>
            <w:r w:rsidRPr="00DB1FE5">
              <w:rPr>
                <w:bCs/>
              </w:rPr>
              <w:t>Perkančioji organizacija sutinka koreguoti reikalavimą į „≤ ±</w:t>
            </w:r>
            <w:r>
              <w:rPr>
                <w:bCs/>
              </w:rPr>
              <w:t>5</w:t>
            </w:r>
            <w:r w:rsidRPr="00DB1FE5">
              <w:rPr>
                <w:bCs/>
              </w:rPr>
              <w:t>%“</w:t>
            </w:r>
          </w:p>
        </w:tc>
      </w:tr>
      <w:tr w:rsidR="00D72BE1" w14:paraId="65AD4879" w14:textId="77777777" w:rsidTr="00F3055B">
        <w:trPr>
          <w:trHeight w:val="841"/>
        </w:trPr>
        <w:tc>
          <w:tcPr>
            <w:tcW w:w="1293" w:type="dxa"/>
            <w:tcBorders>
              <w:top w:val="nil"/>
              <w:left w:val="single" w:sz="4" w:space="0" w:color="auto"/>
              <w:bottom w:val="single" w:sz="4" w:space="0" w:color="auto"/>
              <w:right w:val="single" w:sz="4" w:space="0" w:color="auto"/>
            </w:tcBorders>
          </w:tcPr>
          <w:p w14:paraId="073A3AC6" w14:textId="0B1C4971" w:rsidR="00D72BE1" w:rsidRPr="00F3055B" w:rsidRDefault="00D72BE1" w:rsidP="00D72BE1">
            <w:pPr>
              <w:pStyle w:val="TableParagraph"/>
              <w:ind w:left="164" w:right="117" w:hanging="2"/>
              <w:jc w:val="center"/>
              <w:rPr>
                <w:bCs/>
              </w:rPr>
            </w:pPr>
            <w:r w:rsidRPr="00F3055B">
              <w:rPr>
                <w:color w:val="000000"/>
                <w:lang w:eastAsia="lt-LT"/>
              </w:rPr>
              <w:t>3.10</w:t>
            </w:r>
          </w:p>
        </w:tc>
        <w:tc>
          <w:tcPr>
            <w:tcW w:w="2979" w:type="dxa"/>
            <w:tcBorders>
              <w:top w:val="nil"/>
              <w:left w:val="nil"/>
              <w:bottom w:val="single" w:sz="4" w:space="0" w:color="auto"/>
              <w:right w:val="single" w:sz="4" w:space="0" w:color="auto"/>
            </w:tcBorders>
          </w:tcPr>
          <w:p w14:paraId="247ACBAF" w14:textId="77777777" w:rsidR="00D72BE1" w:rsidRPr="00F3055B" w:rsidRDefault="00D72BE1" w:rsidP="00D72BE1">
            <w:pPr>
              <w:rPr>
                <w:color w:val="000000"/>
                <w:lang w:eastAsia="lt-LT"/>
              </w:rPr>
            </w:pPr>
            <w:r w:rsidRPr="00F3055B">
              <w:rPr>
                <w:color w:val="000000"/>
                <w:lang w:eastAsia="lt-LT"/>
              </w:rPr>
              <w:t>Okliuzjos aptikimas</w:t>
            </w:r>
          </w:p>
          <w:p w14:paraId="5FED67BD" w14:textId="15E4CAA0" w:rsidR="00D72BE1" w:rsidRPr="00F3055B" w:rsidRDefault="00D72BE1" w:rsidP="00D72BE1">
            <w:pPr>
              <w:rPr>
                <w:color w:val="000000"/>
                <w:lang w:eastAsia="lt-LT"/>
              </w:rPr>
            </w:pPr>
            <w:r w:rsidRPr="00F3055B">
              <w:rPr>
                <w:color w:val="000000"/>
                <w:lang w:eastAsia="lt-LT"/>
              </w:rPr>
              <w:t>1. Ne siauresnis nei 75 - 825 mmHg</w:t>
            </w:r>
            <w:r w:rsidRPr="00F3055B">
              <w:rPr>
                <w:color w:val="000000"/>
                <w:lang w:eastAsia="lt-LT"/>
              </w:rPr>
              <w:br/>
              <w:t>2. ≥ 9 jautrumo nustatymo lygiai</w:t>
            </w:r>
          </w:p>
        </w:tc>
        <w:tc>
          <w:tcPr>
            <w:tcW w:w="2833" w:type="dxa"/>
            <w:tcBorders>
              <w:top w:val="nil"/>
              <w:left w:val="nil"/>
              <w:bottom w:val="single" w:sz="4" w:space="0" w:color="auto"/>
              <w:right w:val="single" w:sz="4" w:space="0" w:color="auto"/>
            </w:tcBorders>
          </w:tcPr>
          <w:p w14:paraId="31B1A523" w14:textId="0085790D" w:rsidR="00D72BE1" w:rsidRPr="00F3055B" w:rsidRDefault="00D72BE1" w:rsidP="00D72BE1">
            <w:pPr>
              <w:rPr>
                <w:i/>
                <w:iCs/>
                <w:color w:val="000000"/>
                <w:lang w:eastAsia="lt-LT"/>
              </w:rPr>
            </w:pPr>
            <w:r w:rsidRPr="00F3055B">
              <w:rPr>
                <w:i/>
                <w:iCs/>
                <w:color w:val="000000"/>
                <w:lang w:eastAsia="lt-LT"/>
              </w:rPr>
              <w:t>50-750 mmHg</w:t>
            </w:r>
          </w:p>
        </w:tc>
        <w:tc>
          <w:tcPr>
            <w:tcW w:w="2835" w:type="dxa"/>
            <w:tcBorders>
              <w:bottom w:val="single" w:sz="4" w:space="0" w:color="auto"/>
            </w:tcBorders>
          </w:tcPr>
          <w:p w14:paraId="071903A3" w14:textId="1D4D89DD" w:rsidR="00D72BE1" w:rsidRPr="00F3055B" w:rsidRDefault="00BE1148" w:rsidP="00D72BE1">
            <w:pPr>
              <w:tabs>
                <w:tab w:val="left" w:pos="473"/>
              </w:tabs>
              <w:ind w:left="47" w:right="138"/>
              <w:rPr>
                <w:bCs/>
              </w:rPr>
            </w:pPr>
            <w:r w:rsidRPr="00BE1148">
              <w:rPr>
                <w:bCs/>
              </w:rPr>
              <w:t xml:space="preserve">Perkančioji organizacija nesutinka keisti </w:t>
            </w:r>
            <w:r>
              <w:rPr>
                <w:bCs/>
              </w:rPr>
              <w:t>3</w:t>
            </w:r>
            <w:r w:rsidRPr="00BE1148">
              <w:rPr>
                <w:bCs/>
              </w:rPr>
              <w:t xml:space="preserve">.10.1 reikalavimo nes pakeitimas mažintų konkurenciją. Nesutinka keisti </w:t>
            </w:r>
            <w:r>
              <w:rPr>
                <w:bCs/>
              </w:rPr>
              <w:t>3</w:t>
            </w:r>
            <w:r w:rsidRPr="00BE1148">
              <w:rPr>
                <w:bCs/>
              </w:rPr>
              <w:t>.10.2. reikalavimo, nes jautrumo lygių nustatymas yra svarbus, jog pompa nealermuotų, esant mažam nustatymui, tačiau nesant realiai okliuzijai.</w:t>
            </w:r>
          </w:p>
        </w:tc>
      </w:tr>
      <w:tr w:rsidR="00D72BE1" w14:paraId="5AC9679E" w14:textId="77777777" w:rsidTr="00F3055B">
        <w:trPr>
          <w:trHeight w:val="841"/>
        </w:trPr>
        <w:tc>
          <w:tcPr>
            <w:tcW w:w="1293" w:type="dxa"/>
            <w:tcBorders>
              <w:top w:val="single" w:sz="4" w:space="0" w:color="auto"/>
              <w:left w:val="single" w:sz="4" w:space="0" w:color="auto"/>
              <w:bottom w:val="single" w:sz="4" w:space="0" w:color="auto"/>
              <w:right w:val="single" w:sz="4" w:space="0" w:color="auto"/>
            </w:tcBorders>
          </w:tcPr>
          <w:p w14:paraId="201C98FB" w14:textId="573A27FA" w:rsidR="00D72BE1" w:rsidRPr="00F3055B" w:rsidRDefault="00D72BE1" w:rsidP="00D72BE1">
            <w:pPr>
              <w:pStyle w:val="TableParagraph"/>
              <w:ind w:left="164" w:right="117" w:hanging="2"/>
              <w:jc w:val="center"/>
              <w:rPr>
                <w:bCs/>
              </w:rPr>
            </w:pPr>
            <w:r w:rsidRPr="00F3055B">
              <w:rPr>
                <w:color w:val="000000"/>
                <w:lang w:eastAsia="lt-LT"/>
              </w:rPr>
              <w:t>3.11</w:t>
            </w:r>
          </w:p>
        </w:tc>
        <w:tc>
          <w:tcPr>
            <w:tcW w:w="2979" w:type="dxa"/>
            <w:tcBorders>
              <w:top w:val="single" w:sz="4" w:space="0" w:color="auto"/>
              <w:left w:val="nil"/>
              <w:bottom w:val="single" w:sz="4" w:space="0" w:color="auto"/>
              <w:right w:val="single" w:sz="4" w:space="0" w:color="auto"/>
            </w:tcBorders>
          </w:tcPr>
          <w:p w14:paraId="43517735" w14:textId="77777777" w:rsidR="00D72BE1" w:rsidRPr="00F3055B" w:rsidRDefault="00D72BE1" w:rsidP="00D72BE1">
            <w:r w:rsidRPr="00F3055B">
              <w:t>Galimybė naudoti universalias skirtingų gamintojų lašelines sistemas, skirtas infuzinėms tūrinėms pompoms su peristaltin. pompavimo mechanizmais</w:t>
            </w:r>
          </w:p>
          <w:p w14:paraId="4FB72238" w14:textId="77777777" w:rsidR="00D72BE1" w:rsidRPr="00F3055B" w:rsidRDefault="00D72BE1" w:rsidP="00D72BE1"/>
          <w:p w14:paraId="04258BE3" w14:textId="3FA89E07" w:rsidR="00D72BE1" w:rsidRPr="00F3055B" w:rsidRDefault="00D72BE1" w:rsidP="00D72BE1">
            <w:pPr>
              <w:rPr>
                <w:color w:val="000000"/>
                <w:lang w:eastAsia="lt-LT"/>
              </w:rPr>
            </w:pPr>
            <w:r w:rsidRPr="00F3055B">
              <w:t>Turi būti galimybė naudoti universalias skirtingų gamintojų lašelines sistemas, skirtas infuzinėms tūrinėms pompoms su peristaltiniais pompavimo mechanizmais.</w:t>
            </w:r>
          </w:p>
        </w:tc>
        <w:tc>
          <w:tcPr>
            <w:tcW w:w="2833" w:type="dxa"/>
            <w:tcBorders>
              <w:top w:val="single" w:sz="4" w:space="0" w:color="auto"/>
              <w:left w:val="nil"/>
              <w:bottom w:val="single" w:sz="4" w:space="0" w:color="auto"/>
              <w:right w:val="single" w:sz="4" w:space="0" w:color="auto"/>
            </w:tcBorders>
          </w:tcPr>
          <w:p w14:paraId="2F742782" w14:textId="2FC2798A" w:rsidR="00D72BE1" w:rsidRPr="00F3055B" w:rsidRDefault="004B3980" w:rsidP="00D72BE1">
            <w:pPr>
              <w:rPr>
                <w:i/>
                <w:iCs/>
                <w:color w:val="000000"/>
                <w:lang w:eastAsia="lt-LT"/>
              </w:rPr>
            </w:pPr>
            <w:r w:rsidRPr="00F3055B">
              <w:rPr>
                <w:bCs/>
                <w:i/>
                <w:iCs/>
              </w:rPr>
              <w:t>Išbraukti šį reikalavimą</w:t>
            </w:r>
          </w:p>
        </w:tc>
        <w:tc>
          <w:tcPr>
            <w:tcW w:w="2835" w:type="dxa"/>
            <w:tcBorders>
              <w:top w:val="single" w:sz="4" w:space="0" w:color="auto"/>
              <w:bottom w:val="single" w:sz="4" w:space="0" w:color="auto"/>
              <w:right w:val="single" w:sz="4" w:space="0" w:color="auto"/>
            </w:tcBorders>
          </w:tcPr>
          <w:p w14:paraId="161C67DE" w14:textId="5741052D" w:rsidR="00D72BE1" w:rsidRPr="00F3055B" w:rsidRDefault="003722C0" w:rsidP="00D72BE1">
            <w:pPr>
              <w:tabs>
                <w:tab w:val="left" w:pos="473"/>
              </w:tabs>
              <w:ind w:left="47" w:right="138"/>
              <w:rPr>
                <w:bCs/>
              </w:rPr>
            </w:pPr>
            <w:r w:rsidRPr="003722C0">
              <w:rPr>
                <w:bCs/>
              </w:rPr>
              <w:t xml:space="preserve">Perkančioji organizacija sutinka </w:t>
            </w:r>
            <w:r>
              <w:rPr>
                <w:bCs/>
              </w:rPr>
              <w:t>naikinti šį</w:t>
            </w:r>
            <w:r w:rsidRPr="003722C0">
              <w:rPr>
                <w:bCs/>
              </w:rPr>
              <w:t xml:space="preserve"> reikalavimą</w:t>
            </w:r>
            <w:r w:rsidR="00EF6F07">
              <w:rPr>
                <w:bCs/>
              </w:rPr>
              <w:t>.</w:t>
            </w:r>
          </w:p>
        </w:tc>
      </w:tr>
      <w:tr w:rsidR="00D72BE1" w14:paraId="2015A8B0" w14:textId="77777777" w:rsidTr="00F3055B">
        <w:trPr>
          <w:trHeight w:val="841"/>
        </w:trPr>
        <w:tc>
          <w:tcPr>
            <w:tcW w:w="1293" w:type="dxa"/>
            <w:tcBorders>
              <w:top w:val="single" w:sz="4" w:space="0" w:color="auto"/>
              <w:left w:val="single" w:sz="4" w:space="0" w:color="auto"/>
              <w:bottom w:val="single" w:sz="4" w:space="0" w:color="auto"/>
              <w:right w:val="single" w:sz="4" w:space="0" w:color="auto"/>
            </w:tcBorders>
          </w:tcPr>
          <w:p w14:paraId="368C9CAC" w14:textId="6D1C76F0" w:rsidR="00D72BE1" w:rsidRPr="00F3055B" w:rsidRDefault="00D72BE1" w:rsidP="00D72BE1">
            <w:pPr>
              <w:pStyle w:val="TableParagraph"/>
              <w:ind w:left="164" w:right="117" w:hanging="2"/>
              <w:jc w:val="center"/>
              <w:rPr>
                <w:bCs/>
              </w:rPr>
            </w:pPr>
            <w:r w:rsidRPr="00F3055B">
              <w:rPr>
                <w:color w:val="000000"/>
                <w:lang w:eastAsia="lt-LT"/>
              </w:rPr>
              <w:t>3.12</w:t>
            </w:r>
          </w:p>
        </w:tc>
        <w:tc>
          <w:tcPr>
            <w:tcW w:w="2979" w:type="dxa"/>
            <w:tcBorders>
              <w:top w:val="single" w:sz="4" w:space="0" w:color="auto"/>
              <w:left w:val="single" w:sz="4" w:space="0" w:color="auto"/>
              <w:bottom w:val="single" w:sz="4" w:space="0" w:color="auto"/>
              <w:right w:val="single" w:sz="4" w:space="0" w:color="auto"/>
            </w:tcBorders>
          </w:tcPr>
          <w:p w14:paraId="680C8A90" w14:textId="77777777" w:rsidR="00D72BE1" w:rsidRPr="00F3055B" w:rsidRDefault="00D72BE1" w:rsidP="00D72BE1">
            <w:pPr>
              <w:rPr>
                <w:bCs/>
              </w:rPr>
            </w:pPr>
            <w:r w:rsidRPr="00F3055B">
              <w:rPr>
                <w:bCs/>
              </w:rPr>
              <w:t xml:space="preserve">Infuzijos tūrio nustatymo ribos </w:t>
            </w:r>
          </w:p>
          <w:p w14:paraId="3520D5BC" w14:textId="77777777" w:rsidR="00D72BE1" w:rsidRPr="00F3055B" w:rsidRDefault="00D72BE1" w:rsidP="00D72BE1">
            <w:r w:rsidRPr="00F3055B">
              <w:t>(ne siauresnės už nurodytas)</w:t>
            </w:r>
          </w:p>
          <w:p w14:paraId="7049EB59" w14:textId="77777777" w:rsidR="00D72BE1" w:rsidRPr="00F3055B" w:rsidRDefault="00D72BE1" w:rsidP="00D72BE1"/>
          <w:p w14:paraId="4B634342" w14:textId="5ED6A8CC" w:rsidR="00D72BE1" w:rsidRPr="00F3055B" w:rsidRDefault="00D72BE1" w:rsidP="00D72BE1">
            <w:pPr>
              <w:rPr>
                <w:color w:val="000000"/>
                <w:lang w:eastAsia="lt-LT"/>
              </w:rPr>
            </w:pPr>
            <w:r w:rsidRPr="00F3055B">
              <w:rPr>
                <w:bCs/>
              </w:rPr>
              <w:t>Nuo 0,01 ml iki 9999,9 ml.</w:t>
            </w:r>
          </w:p>
        </w:tc>
        <w:tc>
          <w:tcPr>
            <w:tcW w:w="2833" w:type="dxa"/>
            <w:tcBorders>
              <w:top w:val="single" w:sz="4" w:space="0" w:color="auto"/>
              <w:left w:val="single" w:sz="4" w:space="0" w:color="auto"/>
              <w:bottom w:val="single" w:sz="4" w:space="0" w:color="auto"/>
              <w:right w:val="single" w:sz="4" w:space="0" w:color="auto"/>
            </w:tcBorders>
          </w:tcPr>
          <w:p w14:paraId="3A180D79" w14:textId="1B819DF9" w:rsidR="00D72BE1" w:rsidRPr="00F3055B" w:rsidRDefault="00D72BE1" w:rsidP="00D72BE1">
            <w:pPr>
              <w:rPr>
                <w:i/>
                <w:iCs/>
                <w:color w:val="000000"/>
                <w:lang w:eastAsia="lt-LT"/>
              </w:rPr>
            </w:pPr>
            <w:r w:rsidRPr="00F3055B">
              <w:rPr>
                <w:bCs/>
                <w:i/>
                <w:iCs/>
              </w:rPr>
              <w:t>0,1 – 9999 ml.</w:t>
            </w:r>
          </w:p>
        </w:tc>
        <w:tc>
          <w:tcPr>
            <w:tcW w:w="2835" w:type="dxa"/>
            <w:tcBorders>
              <w:top w:val="single" w:sz="4" w:space="0" w:color="auto"/>
              <w:left w:val="single" w:sz="4" w:space="0" w:color="auto"/>
            </w:tcBorders>
          </w:tcPr>
          <w:p w14:paraId="47C9B445" w14:textId="23B9E534" w:rsidR="00D72BE1" w:rsidRPr="00F3055B" w:rsidRDefault="00050891" w:rsidP="00D72BE1">
            <w:pPr>
              <w:tabs>
                <w:tab w:val="left" w:pos="473"/>
              </w:tabs>
              <w:ind w:left="47" w:right="138"/>
              <w:rPr>
                <w:bCs/>
              </w:rPr>
            </w:pPr>
            <w:r w:rsidRPr="00050891">
              <w:rPr>
                <w:bCs/>
              </w:rPr>
              <w:t xml:space="preserve">Perkančioji organizacija sutinka koreguoti reikalavimą į </w:t>
            </w:r>
            <w:r w:rsidR="00C715C0" w:rsidRPr="00C715C0">
              <w:rPr>
                <w:bCs/>
              </w:rPr>
              <w:t>Nuo 0,1 ml iki 9999 ml.</w:t>
            </w:r>
            <w:r w:rsidRPr="00050891">
              <w:rPr>
                <w:bCs/>
              </w:rPr>
              <w:t>“</w:t>
            </w:r>
          </w:p>
        </w:tc>
      </w:tr>
      <w:tr w:rsidR="00D72BE1" w14:paraId="1BDFBCA1" w14:textId="77777777" w:rsidTr="009055D9">
        <w:trPr>
          <w:trHeight w:val="841"/>
        </w:trPr>
        <w:tc>
          <w:tcPr>
            <w:tcW w:w="1293" w:type="dxa"/>
            <w:tcBorders>
              <w:top w:val="single" w:sz="4" w:space="0" w:color="auto"/>
            </w:tcBorders>
          </w:tcPr>
          <w:p w14:paraId="3B018442" w14:textId="00EFD45F" w:rsidR="00D72BE1" w:rsidRPr="00F3055B" w:rsidRDefault="00434E78" w:rsidP="00D72BE1">
            <w:pPr>
              <w:pStyle w:val="TableParagraph"/>
              <w:ind w:left="164" w:right="117" w:hanging="2"/>
              <w:jc w:val="center"/>
              <w:rPr>
                <w:bCs/>
              </w:rPr>
            </w:pPr>
            <w:r w:rsidRPr="00F3055B">
              <w:rPr>
                <w:bCs/>
              </w:rPr>
              <w:t>3.14.</w:t>
            </w:r>
          </w:p>
        </w:tc>
        <w:tc>
          <w:tcPr>
            <w:tcW w:w="2979" w:type="dxa"/>
            <w:tcBorders>
              <w:top w:val="single" w:sz="4" w:space="0" w:color="auto"/>
            </w:tcBorders>
          </w:tcPr>
          <w:p w14:paraId="1351461A" w14:textId="77777777" w:rsidR="00D72BE1" w:rsidRPr="00F3055B" w:rsidRDefault="003009A5" w:rsidP="00D72BE1">
            <w:pPr>
              <w:rPr>
                <w:bCs/>
                <w:color w:val="000000"/>
                <w:lang w:eastAsia="lt-LT"/>
              </w:rPr>
            </w:pPr>
            <w:r w:rsidRPr="00F3055B">
              <w:rPr>
                <w:color w:val="000000"/>
                <w:lang w:eastAsia="lt-LT"/>
              </w:rPr>
              <w:t>Infuzinės tūrinės pompos</w:t>
            </w:r>
            <w:r w:rsidRPr="00F3055B">
              <w:rPr>
                <w:bCs/>
                <w:color w:val="000000"/>
                <w:lang w:eastAsia="lt-LT"/>
              </w:rPr>
              <w:t xml:space="preserve"> jungtys</w:t>
            </w:r>
          </w:p>
          <w:p w14:paraId="78223960" w14:textId="77777777" w:rsidR="002257A1" w:rsidRPr="00F3055B" w:rsidRDefault="002257A1" w:rsidP="002257A1">
            <w:pPr>
              <w:rPr>
                <w:bCs/>
              </w:rPr>
            </w:pPr>
            <w:r w:rsidRPr="00F3055B">
              <w:rPr>
                <w:bCs/>
              </w:rPr>
              <w:t xml:space="preserve">Būtina. </w:t>
            </w:r>
            <w:r w:rsidRPr="00F3055B">
              <w:t>Infuzinės tūrinės pompos</w:t>
            </w:r>
            <w:r w:rsidRPr="00F3055B">
              <w:rPr>
                <w:bCs/>
              </w:rPr>
              <w:t xml:space="preserve"> jungtys: </w:t>
            </w:r>
          </w:p>
          <w:p w14:paraId="54000FD6" w14:textId="77777777" w:rsidR="002257A1" w:rsidRPr="00F3055B" w:rsidRDefault="002257A1" w:rsidP="002257A1">
            <w:pPr>
              <w:widowControl/>
              <w:numPr>
                <w:ilvl w:val="0"/>
                <w:numId w:val="4"/>
              </w:numPr>
              <w:tabs>
                <w:tab w:val="left" w:pos="313"/>
              </w:tabs>
              <w:autoSpaceDE/>
              <w:autoSpaceDN/>
              <w:ind w:left="30"/>
              <w:contextualSpacing/>
              <w:rPr>
                <w:bCs/>
                <w:lang w:eastAsia="lt-LT"/>
              </w:rPr>
            </w:pPr>
            <w:r w:rsidRPr="00F3055B">
              <w:rPr>
                <w:bCs/>
                <w:lang w:eastAsia="lt-LT"/>
              </w:rPr>
              <w:t>Pompos elektriniam maitinimui;</w:t>
            </w:r>
          </w:p>
          <w:p w14:paraId="216C573E" w14:textId="25D9CF20" w:rsidR="002257A1" w:rsidRPr="00F3055B" w:rsidRDefault="002257A1" w:rsidP="002257A1">
            <w:pPr>
              <w:widowControl/>
              <w:numPr>
                <w:ilvl w:val="0"/>
                <w:numId w:val="4"/>
              </w:numPr>
              <w:tabs>
                <w:tab w:val="left" w:pos="313"/>
              </w:tabs>
              <w:autoSpaceDE/>
              <w:autoSpaceDN/>
              <w:ind w:left="30"/>
              <w:contextualSpacing/>
              <w:rPr>
                <w:bCs/>
                <w:lang w:eastAsia="lt-LT"/>
              </w:rPr>
            </w:pPr>
            <w:r w:rsidRPr="00F3055B">
              <w:rPr>
                <w:bCs/>
                <w:lang w:eastAsia="lt-LT"/>
              </w:rPr>
              <w:t>Jungtis į centralizuotą stotį</w:t>
            </w:r>
          </w:p>
          <w:p w14:paraId="443BA00F" w14:textId="545B9879" w:rsidR="003009A5" w:rsidRPr="00F3055B" w:rsidRDefault="002257A1" w:rsidP="002257A1">
            <w:pPr>
              <w:rPr>
                <w:color w:val="000000"/>
                <w:lang w:eastAsia="lt-LT"/>
              </w:rPr>
            </w:pPr>
            <w:r w:rsidRPr="00F3055B">
              <w:rPr>
                <w:bCs/>
                <w:lang w:eastAsia="lt-LT"/>
              </w:rPr>
              <w:t>USB jungtis</w:t>
            </w:r>
          </w:p>
        </w:tc>
        <w:tc>
          <w:tcPr>
            <w:tcW w:w="2833" w:type="dxa"/>
            <w:tcBorders>
              <w:top w:val="single" w:sz="4" w:space="0" w:color="auto"/>
            </w:tcBorders>
          </w:tcPr>
          <w:p w14:paraId="1462A11A" w14:textId="77777777" w:rsidR="009055D9" w:rsidRPr="00F3055B" w:rsidRDefault="009055D9" w:rsidP="009055D9">
            <w:pPr>
              <w:rPr>
                <w:i/>
                <w:iCs/>
                <w:color w:val="000000"/>
                <w:lang w:eastAsia="lt-LT"/>
              </w:rPr>
            </w:pPr>
            <w:r w:rsidRPr="00F3055B">
              <w:rPr>
                <w:i/>
                <w:iCs/>
                <w:color w:val="000000"/>
                <w:lang w:eastAsia="lt-LT"/>
              </w:rPr>
              <w:t xml:space="preserve">Infuzinės tūrinės pompos jungtys: </w:t>
            </w:r>
          </w:p>
          <w:p w14:paraId="26CB1B18" w14:textId="77777777" w:rsidR="009055D9" w:rsidRPr="00F3055B" w:rsidRDefault="009055D9" w:rsidP="009055D9">
            <w:pPr>
              <w:rPr>
                <w:i/>
                <w:iCs/>
                <w:color w:val="000000"/>
                <w:lang w:eastAsia="lt-LT"/>
              </w:rPr>
            </w:pPr>
            <w:r w:rsidRPr="00F3055B">
              <w:rPr>
                <w:i/>
                <w:iCs/>
                <w:color w:val="000000"/>
                <w:lang w:eastAsia="lt-LT"/>
              </w:rPr>
              <w:t>1. Pompos elektriniam maitinimui;</w:t>
            </w:r>
          </w:p>
          <w:p w14:paraId="3E782F40" w14:textId="58DB277B" w:rsidR="00D72BE1" w:rsidRPr="00F3055B" w:rsidRDefault="009055D9" w:rsidP="009055D9">
            <w:pPr>
              <w:rPr>
                <w:i/>
                <w:iCs/>
                <w:color w:val="000000"/>
                <w:lang w:eastAsia="lt-LT"/>
              </w:rPr>
            </w:pPr>
            <w:r w:rsidRPr="00F3055B">
              <w:rPr>
                <w:i/>
                <w:iCs/>
                <w:color w:val="000000"/>
                <w:lang w:eastAsia="lt-LT"/>
              </w:rPr>
              <w:t>2. Jungtis į centalizuotą stotį</w:t>
            </w:r>
          </w:p>
        </w:tc>
        <w:tc>
          <w:tcPr>
            <w:tcW w:w="2835" w:type="dxa"/>
          </w:tcPr>
          <w:p w14:paraId="23B96EE3" w14:textId="6611E312" w:rsidR="00D72BE1" w:rsidRPr="00F3055B" w:rsidRDefault="00EF6F07" w:rsidP="00D72BE1">
            <w:pPr>
              <w:tabs>
                <w:tab w:val="left" w:pos="473"/>
              </w:tabs>
              <w:ind w:left="47" w:right="138"/>
              <w:rPr>
                <w:bCs/>
              </w:rPr>
            </w:pPr>
            <w:r w:rsidRPr="00EF6F07">
              <w:rPr>
                <w:bCs/>
              </w:rPr>
              <w:t>Perkančioji organizacija sutinka naikinti šį reikalavimą</w:t>
            </w:r>
            <w:r>
              <w:rPr>
                <w:bCs/>
              </w:rPr>
              <w:t>.</w:t>
            </w:r>
          </w:p>
        </w:tc>
      </w:tr>
      <w:tr w:rsidR="00434E78" w14:paraId="5830F007" w14:textId="77777777" w:rsidTr="00826980">
        <w:trPr>
          <w:trHeight w:val="841"/>
        </w:trPr>
        <w:tc>
          <w:tcPr>
            <w:tcW w:w="1293" w:type="dxa"/>
          </w:tcPr>
          <w:p w14:paraId="0D7A162C" w14:textId="449330BC" w:rsidR="00434E78" w:rsidRPr="00F3055B" w:rsidRDefault="00AD54B4" w:rsidP="00D72BE1">
            <w:pPr>
              <w:pStyle w:val="TableParagraph"/>
              <w:ind w:left="164" w:right="117" w:hanging="2"/>
              <w:jc w:val="center"/>
              <w:rPr>
                <w:bCs/>
              </w:rPr>
            </w:pPr>
            <w:r w:rsidRPr="00F3055B">
              <w:rPr>
                <w:bCs/>
              </w:rPr>
              <w:t>3.15.</w:t>
            </w:r>
          </w:p>
        </w:tc>
        <w:tc>
          <w:tcPr>
            <w:tcW w:w="2979" w:type="dxa"/>
          </w:tcPr>
          <w:p w14:paraId="18C894DB" w14:textId="77777777" w:rsidR="00434E78" w:rsidRPr="00F3055B" w:rsidRDefault="00AD54B4" w:rsidP="00D72BE1">
            <w:pPr>
              <w:rPr>
                <w:color w:val="000000"/>
                <w:lang w:eastAsia="lt-LT"/>
              </w:rPr>
            </w:pPr>
            <w:r w:rsidRPr="00F3055B">
              <w:rPr>
                <w:color w:val="000000"/>
                <w:lang w:eastAsia="lt-LT"/>
              </w:rPr>
              <w:t>Klasifikacija</w:t>
            </w:r>
          </w:p>
          <w:p w14:paraId="3773DDA2" w14:textId="77777777" w:rsidR="00E045B3" w:rsidRPr="00F3055B" w:rsidRDefault="00E045B3" w:rsidP="00D72BE1">
            <w:pPr>
              <w:rPr>
                <w:color w:val="000000"/>
                <w:lang w:eastAsia="lt-LT"/>
              </w:rPr>
            </w:pPr>
          </w:p>
          <w:p w14:paraId="1FB1456B" w14:textId="730A7168" w:rsidR="00E045B3" w:rsidRPr="00F3055B" w:rsidRDefault="00E045B3" w:rsidP="00D72BE1">
            <w:pPr>
              <w:rPr>
                <w:color w:val="000000"/>
                <w:lang w:eastAsia="lt-LT"/>
              </w:rPr>
            </w:pPr>
            <w:r w:rsidRPr="00F3055B">
              <w:rPr>
                <w:color w:val="000000"/>
                <w:lang w:eastAsia="lt-LT"/>
              </w:rPr>
              <w:t>1. I Apsaugos klasė pagal IEC/EN60601-1 (arba lygiavertė)</w:t>
            </w:r>
            <w:r w:rsidRPr="00F3055B">
              <w:rPr>
                <w:color w:val="000000"/>
                <w:lang w:eastAsia="lt-LT"/>
              </w:rPr>
              <w:br/>
              <w:t>2. Apsauga nuo kietų objektų ir skysčių patekimo į prietaiso vidų IP33 klasės arba lygiavertė)</w:t>
            </w:r>
          </w:p>
        </w:tc>
        <w:tc>
          <w:tcPr>
            <w:tcW w:w="2833" w:type="dxa"/>
          </w:tcPr>
          <w:p w14:paraId="05678D8F" w14:textId="77777777" w:rsidR="00BD7CF2" w:rsidRPr="00BD7CF2" w:rsidRDefault="00BD7CF2" w:rsidP="00BD7CF2">
            <w:pPr>
              <w:rPr>
                <w:i/>
                <w:iCs/>
                <w:color w:val="000000"/>
                <w:lang w:eastAsia="lt-LT"/>
              </w:rPr>
            </w:pPr>
            <w:r w:rsidRPr="00BD7CF2">
              <w:rPr>
                <w:i/>
                <w:iCs/>
                <w:color w:val="000000"/>
                <w:lang w:eastAsia="lt-LT"/>
              </w:rPr>
              <w:t xml:space="preserve">1. I Apsaugos klasė pagal IEC/EN60601-1 </w:t>
            </w:r>
          </w:p>
          <w:p w14:paraId="6EC0CC85" w14:textId="70AE56D3" w:rsidR="00434E78" w:rsidRPr="00F3055B" w:rsidRDefault="00BD7CF2" w:rsidP="00BD7CF2">
            <w:pPr>
              <w:rPr>
                <w:i/>
                <w:iCs/>
                <w:color w:val="000000"/>
                <w:lang w:eastAsia="lt-LT"/>
              </w:rPr>
            </w:pPr>
            <w:r w:rsidRPr="00F3055B">
              <w:rPr>
                <w:i/>
                <w:iCs/>
                <w:color w:val="000000"/>
                <w:lang w:eastAsia="lt-LT"/>
              </w:rPr>
              <w:t>2. Apsauga nuo kietų objektų ir skysčių patekimo į prietaiso vidų IP22 klasės</w:t>
            </w:r>
          </w:p>
        </w:tc>
        <w:tc>
          <w:tcPr>
            <w:tcW w:w="2835" w:type="dxa"/>
          </w:tcPr>
          <w:p w14:paraId="7573026C" w14:textId="190EAE6C" w:rsidR="00434E78" w:rsidRPr="00F3055B" w:rsidRDefault="002A3C58" w:rsidP="00D72BE1">
            <w:pPr>
              <w:tabs>
                <w:tab w:val="left" w:pos="473"/>
              </w:tabs>
              <w:ind w:left="47" w:right="138"/>
              <w:rPr>
                <w:bCs/>
              </w:rPr>
            </w:pPr>
            <w:r w:rsidRPr="002A3C58">
              <w:rPr>
                <w:bCs/>
              </w:rPr>
              <w:t xml:space="preserve">Perkančioji organizacija nesutinka keisti </w:t>
            </w:r>
            <w:r>
              <w:rPr>
                <w:bCs/>
              </w:rPr>
              <w:t>3</w:t>
            </w:r>
            <w:r w:rsidRPr="002A3C58">
              <w:rPr>
                <w:bCs/>
              </w:rPr>
              <w:t>.1</w:t>
            </w:r>
            <w:r>
              <w:rPr>
                <w:bCs/>
              </w:rPr>
              <w:t>5</w:t>
            </w:r>
            <w:r w:rsidRPr="002A3C58">
              <w:rPr>
                <w:bCs/>
              </w:rPr>
              <w:t>.2 reikalavimo, nes IP22 klasė nėra pakankama apsauga, dėl dažno įrangos valymo ir dezinfekcijos.</w:t>
            </w:r>
          </w:p>
        </w:tc>
      </w:tr>
      <w:tr w:rsidR="00D72BE1" w14:paraId="5CA18001" w14:textId="77777777" w:rsidTr="001F54A2">
        <w:trPr>
          <w:trHeight w:val="249"/>
        </w:trPr>
        <w:tc>
          <w:tcPr>
            <w:tcW w:w="9940" w:type="dxa"/>
            <w:gridSpan w:val="4"/>
            <w:tcBorders>
              <w:top w:val="single" w:sz="8" w:space="0" w:color="000000"/>
            </w:tcBorders>
          </w:tcPr>
          <w:p w14:paraId="694A2605" w14:textId="77777777" w:rsidR="00D72BE1" w:rsidRDefault="00D72BE1" w:rsidP="00D72BE1">
            <w:pPr>
              <w:pStyle w:val="TableParagraph"/>
              <w:spacing w:line="229" w:lineRule="exact"/>
              <w:ind w:left="1623" w:right="1646"/>
              <w:jc w:val="center"/>
              <w:rPr>
                <w:b/>
              </w:rPr>
            </w:pPr>
            <w:r>
              <w:rPr>
                <w:b/>
              </w:rPr>
              <w:t>APIBENDRINIMAI, IŠVADOS IR SIŪLYMAI</w:t>
            </w:r>
          </w:p>
        </w:tc>
      </w:tr>
      <w:tr w:rsidR="00D72BE1" w14:paraId="3DA953C8" w14:textId="77777777" w:rsidTr="001F54A2">
        <w:trPr>
          <w:trHeight w:val="757"/>
        </w:trPr>
        <w:tc>
          <w:tcPr>
            <w:tcW w:w="9940" w:type="dxa"/>
            <w:gridSpan w:val="4"/>
          </w:tcPr>
          <w:p w14:paraId="57D2663F" w14:textId="2AE56E13" w:rsidR="00D72BE1" w:rsidRDefault="00D72BE1" w:rsidP="00D72BE1">
            <w:pPr>
              <w:pStyle w:val="TableParagraph"/>
              <w:ind w:left="362" w:right="394" w:firstLine="4"/>
              <w:jc w:val="center"/>
            </w:pPr>
            <w:r w:rsidRPr="00412982">
              <w:rPr>
                <w:highlight w:val="yellow"/>
              </w:rPr>
              <w:lastRenderedPageBreak/>
              <w:t xml:space="preserve">Rinkos dalyvių konsultacijoje sudalyvavo </w:t>
            </w:r>
            <w:r w:rsidR="00F3055B">
              <w:rPr>
                <w:highlight w:val="yellow"/>
              </w:rPr>
              <w:t>2</w:t>
            </w:r>
            <w:r w:rsidRPr="00412982">
              <w:rPr>
                <w:highlight w:val="yellow"/>
              </w:rPr>
              <w:t xml:space="preserve"> dalyvi</w:t>
            </w:r>
            <w:r w:rsidR="00F3055B">
              <w:rPr>
                <w:highlight w:val="yellow"/>
              </w:rPr>
              <w:t>ai</w:t>
            </w:r>
            <w:r w:rsidRPr="00412982">
              <w:rPr>
                <w:highlight w:val="yellow"/>
              </w:rPr>
              <w:t>, kuri</w:t>
            </w:r>
            <w:r w:rsidR="00F3055B">
              <w:rPr>
                <w:highlight w:val="yellow"/>
              </w:rPr>
              <w:t>e</w:t>
            </w:r>
            <w:r w:rsidRPr="00412982">
              <w:rPr>
                <w:highlight w:val="yellow"/>
              </w:rPr>
              <w:t xml:space="preserve"> turėjo pastabų ir siūlymų techninės specifikacijos projektui, kuriuos perkančioji organizacija išnagrinėjo bei įvertino. Vykdydama pirkimą perkančioji organizacija atsižvelgs į kai kuriuos gautus siūlymus ir rekomendacijas</w:t>
            </w:r>
            <w:r w:rsidRPr="00470128">
              <w:t>.</w:t>
            </w:r>
          </w:p>
        </w:tc>
      </w:tr>
    </w:tbl>
    <w:p w14:paraId="23FFF1C8" w14:textId="77777777" w:rsidR="00BB782A" w:rsidRDefault="00BB782A"/>
    <w:sectPr w:rsidR="00BB782A">
      <w:pgSz w:w="11910" w:h="16840"/>
      <w:pgMar w:top="680" w:right="80" w:bottom="280" w:left="116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741"/>
    <w:multiLevelType w:val="hybridMultilevel"/>
    <w:tmpl w:val="AB90624C"/>
    <w:lvl w:ilvl="0" w:tplc="04270001">
      <w:start w:val="1"/>
      <w:numFmt w:val="bullet"/>
      <w:lvlText w:val=""/>
      <w:lvlJc w:val="left"/>
      <w:pPr>
        <w:ind w:left="861" w:hanging="360"/>
      </w:pPr>
      <w:rPr>
        <w:rFonts w:ascii="Symbol" w:hAnsi="Symbol" w:hint="default"/>
      </w:rPr>
    </w:lvl>
    <w:lvl w:ilvl="1" w:tplc="04270003" w:tentative="1">
      <w:start w:val="1"/>
      <w:numFmt w:val="bullet"/>
      <w:lvlText w:val="o"/>
      <w:lvlJc w:val="left"/>
      <w:pPr>
        <w:ind w:left="1581" w:hanging="360"/>
      </w:pPr>
      <w:rPr>
        <w:rFonts w:ascii="Courier New" w:hAnsi="Courier New" w:cs="Courier New" w:hint="default"/>
      </w:rPr>
    </w:lvl>
    <w:lvl w:ilvl="2" w:tplc="04270005" w:tentative="1">
      <w:start w:val="1"/>
      <w:numFmt w:val="bullet"/>
      <w:lvlText w:val=""/>
      <w:lvlJc w:val="left"/>
      <w:pPr>
        <w:ind w:left="2301" w:hanging="360"/>
      </w:pPr>
      <w:rPr>
        <w:rFonts w:ascii="Wingdings" w:hAnsi="Wingdings" w:hint="default"/>
      </w:rPr>
    </w:lvl>
    <w:lvl w:ilvl="3" w:tplc="04270001" w:tentative="1">
      <w:start w:val="1"/>
      <w:numFmt w:val="bullet"/>
      <w:lvlText w:val=""/>
      <w:lvlJc w:val="left"/>
      <w:pPr>
        <w:ind w:left="3021" w:hanging="360"/>
      </w:pPr>
      <w:rPr>
        <w:rFonts w:ascii="Symbol" w:hAnsi="Symbol" w:hint="default"/>
      </w:rPr>
    </w:lvl>
    <w:lvl w:ilvl="4" w:tplc="04270003" w:tentative="1">
      <w:start w:val="1"/>
      <w:numFmt w:val="bullet"/>
      <w:lvlText w:val="o"/>
      <w:lvlJc w:val="left"/>
      <w:pPr>
        <w:ind w:left="3741" w:hanging="360"/>
      </w:pPr>
      <w:rPr>
        <w:rFonts w:ascii="Courier New" w:hAnsi="Courier New" w:cs="Courier New" w:hint="default"/>
      </w:rPr>
    </w:lvl>
    <w:lvl w:ilvl="5" w:tplc="04270005" w:tentative="1">
      <w:start w:val="1"/>
      <w:numFmt w:val="bullet"/>
      <w:lvlText w:val=""/>
      <w:lvlJc w:val="left"/>
      <w:pPr>
        <w:ind w:left="4461" w:hanging="360"/>
      </w:pPr>
      <w:rPr>
        <w:rFonts w:ascii="Wingdings" w:hAnsi="Wingdings" w:hint="default"/>
      </w:rPr>
    </w:lvl>
    <w:lvl w:ilvl="6" w:tplc="04270001" w:tentative="1">
      <w:start w:val="1"/>
      <w:numFmt w:val="bullet"/>
      <w:lvlText w:val=""/>
      <w:lvlJc w:val="left"/>
      <w:pPr>
        <w:ind w:left="5181" w:hanging="360"/>
      </w:pPr>
      <w:rPr>
        <w:rFonts w:ascii="Symbol" w:hAnsi="Symbol" w:hint="default"/>
      </w:rPr>
    </w:lvl>
    <w:lvl w:ilvl="7" w:tplc="04270003" w:tentative="1">
      <w:start w:val="1"/>
      <w:numFmt w:val="bullet"/>
      <w:lvlText w:val="o"/>
      <w:lvlJc w:val="left"/>
      <w:pPr>
        <w:ind w:left="5901" w:hanging="360"/>
      </w:pPr>
      <w:rPr>
        <w:rFonts w:ascii="Courier New" w:hAnsi="Courier New" w:cs="Courier New" w:hint="default"/>
      </w:rPr>
    </w:lvl>
    <w:lvl w:ilvl="8" w:tplc="04270005" w:tentative="1">
      <w:start w:val="1"/>
      <w:numFmt w:val="bullet"/>
      <w:lvlText w:val=""/>
      <w:lvlJc w:val="left"/>
      <w:pPr>
        <w:ind w:left="6621" w:hanging="360"/>
      </w:pPr>
      <w:rPr>
        <w:rFonts w:ascii="Wingdings" w:hAnsi="Wingdings" w:hint="default"/>
      </w:rPr>
    </w:lvl>
  </w:abstractNum>
  <w:abstractNum w:abstractNumId="1" w15:restartNumberingAfterBreak="0">
    <w:nsid w:val="54A87B2F"/>
    <w:multiLevelType w:val="hybridMultilevel"/>
    <w:tmpl w:val="FA80B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F5D4070"/>
    <w:multiLevelType w:val="hybridMultilevel"/>
    <w:tmpl w:val="055C1E1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3" w15:restartNumberingAfterBreak="0">
    <w:nsid w:val="71CC606D"/>
    <w:multiLevelType w:val="hybridMultilevel"/>
    <w:tmpl w:val="F5E86EDA"/>
    <w:lvl w:ilvl="0" w:tplc="70921E42">
      <w:start w:val="1"/>
      <w:numFmt w:val="decimal"/>
      <w:lvlText w:val="%1."/>
      <w:lvlJc w:val="left"/>
      <w:pPr>
        <w:ind w:left="397" w:hanging="360"/>
      </w:pPr>
    </w:lvl>
    <w:lvl w:ilvl="1" w:tplc="04270019">
      <w:start w:val="1"/>
      <w:numFmt w:val="lowerLetter"/>
      <w:lvlText w:val="%2."/>
      <w:lvlJc w:val="left"/>
      <w:pPr>
        <w:ind w:left="1117" w:hanging="360"/>
      </w:pPr>
    </w:lvl>
    <w:lvl w:ilvl="2" w:tplc="0427001B">
      <w:start w:val="1"/>
      <w:numFmt w:val="lowerRoman"/>
      <w:lvlText w:val="%3."/>
      <w:lvlJc w:val="right"/>
      <w:pPr>
        <w:ind w:left="1837" w:hanging="180"/>
      </w:pPr>
    </w:lvl>
    <w:lvl w:ilvl="3" w:tplc="0427000F">
      <w:start w:val="1"/>
      <w:numFmt w:val="decimal"/>
      <w:lvlText w:val="%4."/>
      <w:lvlJc w:val="left"/>
      <w:pPr>
        <w:ind w:left="2557" w:hanging="360"/>
      </w:pPr>
    </w:lvl>
    <w:lvl w:ilvl="4" w:tplc="04270019">
      <w:start w:val="1"/>
      <w:numFmt w:val="lowerLetter"/>
      <w:lvlText w:val="%5."/>
      <w:lvlJc w:val="left"/>
      <w:pPr>
        <w:ind w:left="3277" w:hanging="360"/>
      </w:pPr>
    </w:lvl>
    <w:lvl w:ilvl="5" w:tplc="0427001B">
      <w:start w:val="1"/>
      <w:numFmt w:val="lowerRoman"/>
      <w:lvlText w:val="%6."/>
      <w:lvlJc w:val="right"/>
      <w:pPr>
        <w:ind w:left="3997" w:hanging="180"/>
      </w:pPr>
    </w:lvl>
    <w:lvl w:ilvl="6" w:tplc="0427000F">
      <w:start w:val="1"/>
      <w:numFmt w:val="decimal"/>
      <w:lvlText w:val="%7."/>
      <w:lvlJc w:val="left"/>
      <w:pPr>
        <w:ind w:left="4717" w:hanging="360"/>
      </w:pPr>
    </w:lvl>
    <w:lvl w:ilvl="7" w:tplc="04270019">
      <w:start w:val="1"/>
      <w:numFmt w:val="lowerLetter"/>
      <w:lvlText w:val="%8."/>
      <w:lvlJc w:val="left"/>
      <w:pPr>
        <w:ind w:left="5437" w:hanging="360"/>
      </w:pPr>
    </w:lvl>
    <w:lvl w:ilvl="8" w:tplc="0427001B">
      <w:start w:val="1"/>
      <w:numFmt w:val="lowerRoman"/>
      <w:lvlText w:val="%9."/>
      <w:lvlJc w:val="right"/>
      <w:pPr>
        <w:ind w:left="6157" w:hanging="180"/>
      </w:pPr>
    </w:lvl>
  </w:abstractNum>
  <w:num w:numId="1" w16cid:durableId="1770348764">
    <w:abstractNumId w:val="0"/>
  </w:num>
  <w:num w:numId="2" w16cid:durableId="920480014">
    <w:abstractNumId w:val="2"/>
  </w:num>
  <w:num w:numId="3" w16cid:durableId="938873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4196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45"/>
    <w:rsid w:val="000144D2"/>
    <w:rsid w:val="000147B2"/>
    <w:rsid w:val="0001602D"/>
    <w:rsid w:val="00022061"/>
    <w:rsid w:val="00023C94"/>
    <w:rsid w:val="00023CBF"/>
    <w:rsid w:val="00033768"/>
    <w:rsid w:val="00037911"/>
    <w:rsid w:val="0004016C"/>
    <w:rsid w:val="00050891"/>
    <w:rsid w:val="000512F8"/>
    <w:rsid w:val="00052061"/>
    <w:rsid w:val="00055308"/>
    <w:rsid w:val="00064B14"/>
    <w:rsid w:val="00090DEF"/>
    <w:rsid w:val="000918BA"/>
    <w:rsid w:val="00094DAF"/>
    <w:rsid w:val="000E1B66"/>
    <w:rsid w:val="000E376D"/>
    <w:rsid w:val="000E5431"/>
    <w:rsid w:val="000E6038"/>
    <w:rsid w:val="000E6C98"/>
    <w:rsid w:val="000F71BC"/>
    <w:rsid w:val="0010244C"/>
    <w:rsid w:val="001105E2"/>
    <w:rsid w:val="00110BD2"/>
    <w:rsid w:val="00126B7B"/>
    <w:rsid w:val="001274BF"/>
    <w:rsid w:val="00133222"/>
    <w:rsid w:val="00136E55"/>
    <w:rsid w:val="0015576B"/>
    <w:rsid w:val="001562E3"/>
    <w:rsid w:val="00161134"/>
    <w:rsid w:val="001724CB"/>
    <w:rsid w:val="00183014"/>
    <w:rsid w:val="00186545"/>
    <w:rsid w:val="00191BD7"/>
    <w:rsid w:val="001A5C92"/>
    <w:rsid w:val="001B40F2"/>
    <w:rsid w:val="001B6936"/>
    <w:rsid w:val="001C61CB"/>
    <w:rsid w:val="001C65DD"/>
    <w:rsid w:val="001E49C3"/>
    <w:rsid w:val="001E6029"/>
    <w:rsid w:val="001F54A2"/>
    <w:rsid w:val="00201B9F"/>
    <w:rsid w:val="002257A1"/>
    <w:rsid w:val="002258CC"/>
    <w:rsid w:val="00260B71"/>
    <w:rsid w:val="00274254"/>
    <w:rsid w:val="00276502"/>
    <w:rsid w:val="0028393F"/>
    <w:rsid w:val="00290CEE"/>
    <w:rsid w:val="002A0091"/>
    <w:rsid w:val="002A3C58"/>
    <w:rsid w:val="002A4206"/>
    <w:rsid w:val="002B0EAA"/>
    <w:rsid w:val="002C000E"/>
    <w:rsid w:val="002C4647"/>
    <w:rsid w:val="002E242A"/>
    <w:rsid w:val="003009A5"/>
    <w:rsid w:val="00305572"/>
    <w:rsid w:val="00310AE5"/>
    <w:rsid w:val="00315197"/>
    <w:rsid w:val="003366D9"/>
    <w:rsid w:val="00346DBC"/>
    <w:rsid w:val="003479A7"/>
    <w:rsid w:val="00347AA3"/>
    <w:rsid w:val="0036402E"/>
    <w:rsid w:val="00371070"/>
    <w:rsid w:val="003722C0"/>
    <w:rsid w:val="00375741"/>
    <w:rsid w:val="00383C45"/>
    <w:rsid w:val="003925E5"/>
    <w:rsid w:val="00395323"/>
    <w:rsid w:val="003A399C"/>
    <w:rsid w:val="003A4716"/>
    <w:rsid w:val="003C23EA"/>
    <w:rsid w:val="003C7524"/>
    <w:rsid w:val="003E3D5E"/>
    <w:rsid w:val="003E52F5"/>
    <w:rsid w:val="003F321F"/>
    <w:rsid w:val="00401D76"/>
    <w:rsid w:val="00405004"/>
    <w:rsid w:val="00410DDE"/>
    <w:rsid w:val="00412982"/>
    <w:rsid w:val="004262C0"/>
    <w:rsid w:val="00430006"/>
    <w:rsid w:val="004302EC"/>
    <w:rsid w:val="004305E4"/>
    <w:rsid w:val="004313C0"/>
    <w:rsid w:val="00434E78"/>
    <w:rsid w:val="00443BE2"/>
    <w:rsid w:val="0045504F"/>
    <w:rsid w:val="00465D16"/>
    <w:rsid w:val="00470128"/>
    <w:rsid w:val="004771FD"/>
    <w:rsid w:val="004914C8"/>
    <w:rsid w:val="004B1992"/>
    <w:rsid w:val="004B20A2"/>
    <w:rsid w:val="004B3980"/>
    <w:rsid w:val="004C0531"/>
    <w:rsid w:val="004D022E"/>
    <w:rsid w:val="004E06AD"/>
    <w:rsid w:val="004E735F"/>
    <w:rsid w:val="004F464D"/>
    <w:rsid w:val="005011DC"/>
    <w:rsid w:val="00520F57"/>
    <w:rsid w:val="00521020"/>
    <w:rsid w:val="00530994"/>
    <w:rsid w:val="00535FAE"/>
    <w:rsid w:val="00555073"/>
    <w:rsid w:val="005570AB"/>
    <w:rsid w:val="00564A73"/>
    <w:rsid w:val="00577B98"/>
    <w:rsid w:val="00581D0B"/>
    <w:rsid w:val="00585BD7"/>
    <w:rsid w:val="005923C6"/>
    <w:rsid w:val="005B640F"/>
    <w:rsid w:val="005C3C46"/>
    <w:rsid w:val="005C470C"/>
    <w:rsid w:val="005C5FE8"/>
    <w:rsid w:val="005D09D4"/>
    <w:rsid w:val="005D25DE"/>
    <w:rsid w:val="005E6455"/>
    <w:rsid w:val="005F21F6"/>
    <w:rsid w:val="005F3397"/>
    <w:rsid w:val="0060383C"/>
    <w:rsid w:val="00605366"/>
    <w:rsid w:val="00607673"/>
    <w:rsid w:val="006155C9"/>
    <w:rsid w:val="00640FD5"/>
    <w:rsid w:val="00644DA9"/>
    <w:rsid w:val="00651FBD"/>
    <w:rsid w:val="00661BEA"/>
    <w:rsid w:val="006641D9"/>
    <w:rsid w:val="00696B14"/>
    <w:rsid w:val="006A1587"/>
    <w:rsid w:val="006B034A"/>
    <w:rsid w:val="006B0DB8"/>
    <w:rsid w:val="006B156D"/>
    <w:rsid w:val="006B59D5"/>
    <w:rsid w:val="006C691F"/>
    <w:rsid w:val="006F6D7C"/>
    <w:rsid w:val="00702C8E"/>
    <w:rsid w:val="00704C49"/>
    <w:rsid w:val="0071237C"/>
    <w:rsid w:val="00723C6B"/>
    <w:rsid w:val="00727816"/>
    <w:rsid w:val="0073503C"/>
    <w:rsid w:val="00756519"/>
    <w:rsid w:val="00756E32"/>
    <w:rsid w:val="007642A4"/>
    <w:rsid w:val="00765E41"/>
    <w:rsid w:val="0076612C"/>
    <w:rsid w:val="00770A99"/>
    <w:rsid w:val="00773A86"/>
    <w:rsid w:val="00780008"/>
    <w:rsid w:val="00786342"/>
    <w:rsid w:val="007906BD"/>
    <w:rsid w:val="007942EC"/>
    <w:rsid w:val="007A36CE"/>
    <w:rsid w:val="007B0467"/>
    <w:rsid w:val="007B68FD"/>
    <w:rsid w:val="007B7160"/>
    <w:rsid w:val="007C213E"/>
    <w:rsid w:val="007C4DA1"/>
    <w:rsid w:val="007C4F21"/>
    <w:rsid w:val="007F3FB8"/>
    <w:rsid w:val="00814F1D"/>
    <w:rsid w:val="00826980"/>
    <w:rsid w:val="008329B1"/>
    <w:rsid w:val="00844F7F"/>
    <w:rsid w:val="00846288"/>
    <w:rsid w:val="00846A5E"/>
    <w:rsid w:val="0085060F"/>
    <w:rsid w:val="00857B59"/>
    <w:rsid w:val="00871543"/>
    <w:rsid w:val="0087488D"/>
    <w:rsid w:val="008754BB"/>
    <w:rsid w:val="008822B7"/>
    <w:rsid w:val="008862CE"/>
    <w:rsid w:val="00887FBE"/>
    <w:rsid w:val="00891B9D"/>
    <w:rsid w:val="00894C84"/>
    <w:rsid w:val="00895FEB"/>
    <w:rsid w:val="008A1EEB"/>
    <w:rsid w:val="008C2C44"/>
    <w:rsid w:val="008D097F"/>
    <w:rsid w:val="008E44FD"/>
    <w:rsid w:val="008E4B72"/>
    <w:rsid w:val="009055D9"/>
    <w:rsid w:val="00905D42"/>
    <w:rsid w:val="009359C9"/>
    <w:rsid w:val="00963CCA"/>
    <w:rsid w:val="00980D8B"/>
    <w:rsid w:val="0098422A"/>
    <w:rsid w:val="00994CBA"/>
    <w:rsid w:val="00996521"/>
    <w:rsid w:val="009A3BDD"/>
    <w:rsid w:val="009B75AA"/>
    <w:rsid w:val="009C1EAA"/>
    <w:rsid w:val="009C343D"/>
    <w:rsid w:val="009C49FF"/>
    <w:rsid w:val="009C75A9"/>
    <w:rsid w:val="009D0870"/>
    <w:rsid w:val="009D4CBB"/>
    <w:rsid w:val="009E68AD"/>
    <w:rsid w:val="009E7474"/>
    <w:rsid w:val="009F3181"/>
    <w:rsid w:val="00A05583"/>
    <w:rsid w:val="00A07DEC"/>
    <w:rsid w:val="00A10B03"/>
    <w:rsid w:val="00A11DE1"/>
    <w:rsid w:val="00A145FE"/>
    <w:rsid w:val="00A1528E"/>
    <w:rsid w:val="00A15FBA"/>
    <w:rsid w:val="00A17B94"/>
    <w:rsid w:val="00A22C3F"/>
    <w:rsid w:val="00A33F36"/>
    <w:rsid w:val="00A4626F"/>
    <w:rsid w:val="00A50898"/>
    <w:rsid w:val="00A51D04"/>
    <w:rsid w:val="00A71E7F"/>
    <w:rsid w:val="00A729D4"/>
    <w:rsid w:val="00AA29FC"/>
    <w:rsid w:val="00AA7328"/>
    <w:rsid w:val="00AC42EF"/>
    <w:rsid w:val="00AD54B4"/>
    <w:rsid w:val="00AF77B9"/>
    <w:rsid w:val="00B011A0"/>
    <w:rsid w:val="00B35BAF"/>
    <w:rsid w:val="00B367FA"/>
    <w:rsid w:val="00B44476"/>
    <w:rsid w:val="00B51588"/>
    <w:rsid w:val="00B51D1B"/>
    <w:rsid w:val="00B524AA"/>
    <w:rsid w:val="00B61B48"/>
    <w:rsid w:val="00B64D27"/>
    <w:rsid w:val="00B7091F"/>
    <w:rsid w:val="00B7348B"/>
    <w:rsid w:val="00B84ED4"/>
    <w:rsid w:val="00B95D16"/>
    <w:rsid w:val="00B97D77"/>
    <w:rsid w:val="00BA072C"/>
    <w:rsid w:val="00BB782A"/>
    <w:rsid w:val="00BC708F"/>
    <w:rsid w:val="00BD7CF2"/>
    <w:rsid w:val="00BE1148"/>
    <w:rsid w:val="00BE4DE1"/>
    <w:rsid w:val="00C417D3"/>
    <w:rsid w:val="00C44420"/>
    <w:rsid w:val="00C62395"/>
    <w:rsid w:val="00C63D84"/>
    <w:rsid w:val="00C715C0"/>
    <w:rsid w:val="00CA1914"/>
    <w:rsid w:val="00CD2CF2"/>
    <w:rsid w:val="00CE4D8A"/>
    <w:rsid w:val="00D02CA7"/>
    <w:rsid w:val="00D03DA6"/>
    <w:rsid w:val="00D0487F"/>
    <w:rsid w:val="00D13CFD"/>
    <w:rsid w:val="00D14051"/>
    <w:rsid w:val="00D31DF5"/>
    <w:rsid w:val="00D408E4"/>
    <w:rsid w:val="00D50898"/>
    <w:rsid w:val="00D5108C"/>
    <w:rsid w:val="00D533F4"/>
    <w:rsid w:val="00D53966"/>
    <w:rsid w:val="00D72BE1"/>
    <w:rsid w:val="00D73471"/>
    <w:rsid w:val="00D76BBF"/>
    <w:rsid w:val="00D77139"/>
    <w:rsid w:val="00D81737"/>
    <w:rsid w:val="00D82644"/>
    <w:rsid w:val="00D9740E"/>
    <w:rsid w:val="00DA2FAB"/>
    <w:rsid w:val="00DA40D1"/>
    <w:rsid w:val="00DB1FE5"/>
    <w:rsid w:val="00DB593F"/>
    <w:rsid w:val="00DC51F0"/>
    <w:rsid w:val="00DD2DF0"/>
    <w:rsid w:val="00DD2E63"/>
    <w:rsid w:val="00DD50D4"/>
    <w:rsid w:val="00DD7D4C"/>
    <w:rsid w:val="00DD7DD9"/>
    <w:rsid w:val="00DE4C37"/>
    <w:rsid w:val="00DF26F3"/>
    <w:rsid w:val="00E01F82"/>
    <w:rsid w:val="00E02638"/>
    <w:rsid w:val="00E045B3"/>
    <w:rsid w:val="00E139C9"/>
    <w:rsid w:val="00E1482D"/>
    <w:rsid w:val="00E2222A"/>
    <w:rsid w:val="00E24885"/>
    <w:rsid w:val="00E26740"/>
    <w:rsid w:val="00E32764"/>
    <w:rsid w:val="00E373F7"/>
    <w:rsid w:val="00E611AC"/>
    <w:rsid w:val="00E755E7"/>
    <w:rsid w:val="00E765BB"/>
    <w:rsid w:val="00E776B6"/>
    <w:rsid w:val="00E830D6"/>
    <w:rsid w:val="00E9185E"/>
    <w:rsid w:val="00E97890"/>
    <w:rsid w:val="00EA4C9B"/>
    <w:rsid w:val="00EB3945"/>
    <w:rsid w:val="00EF6F07"/>
    <w:rsid w:val="00F058AE"/>
    <w:rsid w:val="00F1711E"/>
    <w:rsid w:val="00F3055B"/>
    <w:rsid w:val="00F35C8B"/>
    <w:rsid w:val="00F456C0"/>
    <w:rsid w:val="00F50E7D"/>
    <w:rsid w:val="00F520C7"/>
    <w:rsid w:val="00F6572A"/>
    <w:rsid w:val="00F81C41"/>
    <w:rsid w:val="00F976A9"/>
    <w:rsid w:val="00FA0A64"/>
    <w:rsid w:val="00FA14A4"/>
    <w:rsid w:val="00FB581A"/>
    <w:rsid w:val="00FE586D"/>
    <w:rsid w:val="00FE5F3D"/>
    <w:rsid w:val="00FF3DA4"/>
    <w:rsid w:val="00FF5E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9D9"/>
  <w15:docId w15:val="{D5739A8A-8A34-40EF-AD43-BA26480D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
    </w:pPr>
    <w:rPr>
      <w:b/>
      <w:bCs/>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paragraph" w:customStyle="1" w:styleId="DiagramaDiagrama8">
    <w:name w:val="Diagrama Diagrama8"/>
    <w:basedOn w:val="prastasis"/>
    <w:semiHidden/>
    <w:rsid w:val="00F456C0"/>
    <w:pPr>
      <w:widowControl/>
      <w:autoSpaceDE/>
      <w:autoSpaceDN/>
      <w:spacing w:after="160" w:line="240" w:lineRule="exact"/>
    </w:pPr>
    <w:rPr>
      <w:rFonts w:ascii="Verdana" w:hAnsi="Verdana" w:cs="Verdana"/>
      <w:sz w:val="20"/>
      <w:szCs w:val="24"/>
      <w:lang w:eastAsia="lt-LT"/>
    </w:rPr>
  </w:style>
  <w:style w:type="paragraph" w:customStyle="1" w:styleId="Body2">
    <w:name w:val="Body 2"/>
    <w:rsid w:val="009C343D"/>
    <w:pPr>
      <w:widowControl/>
      <w:pBdr>
        <w:top w:val="nil"/>
        <w:left w:val="nil"/>
        <w:bottom w:val="nil"/>
        <w:right w:val="nil"/>
        <w:between w:val="nil"/>
        <w:bar w:val="nil"/>
      </w:pBdr>
      <w:suppressAutoHyphens/>
      <w:autoSpaceDE/>
      <w:autoSpaceDN/>
      <w:spacing w:after="40"/>
      <w:jc w:val="both"/>
    </w:pPr>
    <w:rPr>
      <w:rFonts w:ascii="Times New Roman" w:eastAsia="Arial Unicode MS" w:hAnsi="Times New Roman" w:cs="Arial Unicode MS"/>
      <w:color w:val="000000"/>
      <w:bdr w:val="nil"/>
      <w:lang w:eastAsia="lt-LT"/>
    </w:rPr>
  </w:style>
  <w:style w:type="character" w:styleId="Hipersaitas">
    <w:name w:val="Hyperlink"/>
    <w:basedOn w:val="Numatytasispastraiposriftas"/>
    <w:uiPriority w:val="99"/>
    <w:unhideWhenUsed/>
    <w:rsid w:val="008C2C44"/>
    <w:rPr>
      <w:color w:val="0000FF" w:themeColor="hyperlink"/>
      <w:u w:val="single"/>
    </w:rPr>
  </w:style>
  <w:style w:type="character" w:styleId="Neapdorotaspaminjimas">
    <w:name w:val="Unresolved Mention"/>
    <w:basedOn w:val="Numatytasispastraiposriftas"/>
    <w:uiPriority w:val="99"/>
    <w:semiHidden/>
    <w:unhideWhenUsed/>
    <w:rsid w:val="008C2C44"/>
    <w:rPr>
      <w:color w:val="605E5C"/>
      <w:shd w:val="clear" w:color="auto" w:fill="E1DFDD"/>
    </w:rPr>
  </w:style>
  <w:style w:type="paragraph" w:styleId="Puslapioinaostekstas">
    <w:name w:val="footnote text"/>
    <w:basedOn w:val="prastasis"/>
    <w:link w:val="PuslapioinaostekstasDiagrama"/>
    <w:uiPriority w:val="12"/>
    <w:unhideWhenUsed/>
    <w:rsid w:val="00FA0A64"/>
    <w:pPr>
      <w:widowControl/>
      <w:autoSpaceDE/>
      <w:autoSpaceDN/>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FA0A64"/>
    <w:rPr>
      <w:rFonts w:ascii="Calibri" w:hAnsi="Calibri"/>
      <w:i/>
      <w:iCs/>
      <w:color w:val="404040" w:themeColor="text1" w:themeTint="BF"/>
      <w:sz w:val="14"/>
      <w:szCs w:val="20"/>
      <w:lang w:eastAsia="ja-JP"/>
    </w:rPr>
  </w:style>
  <w:style w:type="numbering" w:customStyle="1" w:styleId="NoList1">
    <w:name w:val="No List1"/>
    <w:next w:val="Sraonra"/>
    <w:uiPriority w:val="99"/>
    <w:semiHidden/>
    <w:unhideWhenUsed/>
    <w:rsid w:val="00521020"/>
  </w:style>
  <w:style w:type="paragraph" w:styleId="Komentarotekstas">
    <w:name w:val="annotation text"/>
    <w:basedOn w:val="prastasis"/>
    <w:link w:val="KomentarotekstasDiagrama"/>
    <w:uiPriority w:val="99"/>
    <w:semiHidden/>
    <w:unhideWhenUsed/>
    <w:rsid w:val="003E52F5"/>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KomentarotekstasDiagrama">
    <w:name w:val="Komentaro tekstas Diagrama"/>
    <w:basedOn w:val="Numatytasispastraiposriftas"/>
    <w:link w:val="Komentarotekstas"/>
    <w:uiPriority w:val="99"/>
    <w:semiHidden/>
    <w:rsid w:val="003E52F5"/>
    <w:rPr>
      <w:kern w:val="2"/>
      <w:sz w:val="20"/>
      <w:szCs w:val="20"/>
      <w:lang w:val="lt-LT"/>
      <w14:ligatures w14:val="standardContextual"/>
    </w:rPr>
  </w:style>
  <w:style w:type="character" w:styleId="Komentaronuoroda">
    <w:name w:val="annotation reference"/>
    <w:basedOn w:val="Numatytasispastraiposriftas"/>
    <w:uiPriority w:val="99"/>
    <w:semiHidden/>
    <w:unhideWhenUsed/>
    <w:rsid w:val="003E52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8432">
      <w:bodyDiv w:val="1"/>
      <w:marLeft w:val="0"/>
      <w:marRight w:val="0"/>
      <w:marTop w:val="0"/>
      <w:marBottom w:val="0"/>
      <w:divBdr>
        <w:top w:val="none" w:sz="0" w:space="0" w:color="auto"/>
        <w:left w:val="none" w:sz="0" w:space="0" w:color="auto"/>
        <w:bottom w:val="none" w:sz="0" w:space="0" w:color="auto"/>
        <w:right w:val="none" w:sz="0" w:space="0" w:color="auto"/>
      </w:divBdr>
    </w:div>
    <w:div w:id="114368508">
      <w:bodyDiv w:val="1"/>
      <w:marLeft w:val="0"/>
      <w:marRight w:val="0"/>
      <w:marTop w:val="0"/>
      <w:marBottom w:val="0"/>
      <w:divBdr>
        <w:top w:val="none" w:sz="0" w:space="0" w:color="auto"/>
        <w:left w:val="none" w:sz="0" w:space="0" w:color="auto"/>
        <w:bottom w:val="none" w:sz="0" w:space="0" w:color="auto"/>
        <w:right w:val="none" w:sz="0" w:space="0" w:color="auto"/>
      </w:divBdr>
    </w:div>
    <w:div w:id="118888913">
      <w:bodyDiv w:val="1"/>
      <w:marLeft w:val="0"/>
      <w:marRight w:val="0"/>
      <w:marTop w:val="0"/>
      <w:marBottom w:val="0"/>
      <w:divBdr>
        <w:top w:val="none" w:sz="0" w:space="0" w:color="auto"/>
        <w:left w:val="none" w:sz="0" w:space="0" w:color="auto"/>
        <w:bottom w:val="none" w:sz="0" w:space="0" w:color="auto"/>
        <w:right w:val="none" w:sz="0" w:space="0" w:color="auto"/>
      </w:divBdr>
    </w:div>
    <w:div w:id="184759654">
      <w:bodyDiv w:val="1"/>
      <w:marLeft w:val="0"/>
      <w:marRight w:val="0"/>
      <w:marTop w:val="0"/>
      <w:marBottom w:val="0"/>
      <w:divBdr>
        <w:top w:val="none" w:sz="0" w:space="0" w:color="auto"/>
        <w:left w:val="none" w:sz="0" w:space="0" w:color="auto"/>
        <w:bottom w:val="none" w:sz="0" w:space="0" w:color="auto"/>
        <w:right w:val="none" w:sz="0" w:space="0" w:color="auto"/>
      </w:divBdr>
    </w:div>
    <w:div w:id="193737717">
      <w:bodyDiv w:val="1"/>
      <w:marLeft w:val="0"/>
      <w:marRight w:val="0"/>
      <w:marTop w:val="0"/>
      <w:marBottom w:val="0"/>
      <w:divBdr>
        <w:top w:val="none" w:sz="0" w:space="0" w:color="auto"/>
        <w:left w:val="none" w:sz="0" w:space="0" w:color="auto"/>
        <w:bottom w:val="none" w:sz="0" w:space="0" w:color="auto"/>
        <w:right w:val="none" w:sz="0" w:space="0" w:color="auto"/>
      </w:divBdr>
    </w:div>
    <w:div w:id="308828304">
      <w:bodyDiv w:val="1"/>
      <w:marLeft w:val="0"/>
      <w:marRight w:val="0"/>
      <w:marTop w:val="0"/>
      <w:marBottom w:val="0"/>
      <w:divBdr>
        <w:top w:val="none" w:sz="0" w:space="0" w:color="auto"/>
        <w:left w:val="none" w:sz="0" w:space="0" w:color="auto"/>
        <w:bottom w:val="none" w:sz="0" w:space="0" w:color="auto"/>
        <w:right w:val="none" w:sz="0" w:space="0" w:color="auto"/>
      </w:divBdr>
    </w:div>
    <w:div w:id="363212203">
      <w:bodyDiv w:val="1"/>
      <w:marLeft w:val="0"/>
      <w:marRight w:val="0"/>
      <w:marTop w:val="0"/>
      <w:marBottom w:val="0"/>
      <w:divBdr>
        <w:top w:val="none" w:sz="0" w:space="0" w:color="auto"/>
        <w:left w:val="none" w:sz="0" w:space="0" w:color="auto"/>
        <w:bottom w:val="none" w:sz="0" w:space="0" w:color="auto"/>
        <w:right w:val="none" w:sz="0" w:space="0" w:color="auto"/>
      </w:divBdr>
    </w:div>
    <w:div w:id="374546120">
      <w:bodyDiv w:val="1"/>
      <w:marLeft w:val="0"/>
      <w:marRight w:val="0"/>
      <w:marTop w:val="0"/>
      <w:marBottom w:val="0"/>
      <w:divBdr>
        <w:top w:val="none" w:sz="0" w:space="0" w:color="auto"/>
        <w:left w:val="none" w:sz="0" w:space="0" w:color="auto"/>
        <w:bottom w:val="none" w:sz="0" w:space="0" w:color="auto"/>
        <w:right w:val="none" w:sz="0" w:space="0" w:color="auto"/>
      </w:divBdr>
    </w:div>
    <w:div w:id="483475757">
      <w:bodyDiv w:val="1"/>
      <w:marLeft w:val="0"/>
      <w:marRight w:val="0"/>
      <w:marTop w:val="0"/>
      <w:marBottom w:val="0"/>
      <w:divBdr>
        <w:top w:val="none" w:sz="0" w:space="0" w:color="auto"/>
        <w:left w:val="none" w:sz="0" w:space="0" w:color="auto"/>
        <w:bottom w:val="none" w:sz="0" w:space="0" w:color="auto"/>
        <w:right w:val="none" w:sz="0" w:space="0" w:color="auto"/>
      </w:divBdr>
    </w:div>
    <w:div w:id="502008787">
      <w:bodyDiv w:val="1"/>
      <w:marLeft w:val="0"/>
      <w:marRight w:val="0"/>
      <w:marTop w:val="0"/>
      <w:marBottom w:val="0"/>
      <w:divBdr>
        <w:top w:val="none" w:sz="0" w:space="0" w:color="auto"/>
        <w:left w:val="none" w:sz="0" w:space="0" w:color="auto"/>
        <w:bottom w:val="none" w:sz="0" w:space="0" w:color="auto"/>
        <w:right w:val="none" w:sz="0" w:space="0" w:color="auto"/>
      </w:divBdr>
    </w:div>
    <w:div w:id="637957852">
      <w:bodyDiv w:val="1"/>
      <w:marLeft w:val="0"/>
      <w:marRight w:val="0"/>
      <w:marTop w:val="0"/>
      <w:marBottom w:val="0"/>
      <w:divBdr>
        <w:top w:val="none" w:sz="0" w:space="0" w:color="auto"/>
        <w:left w:val="none" w:sz="0" w:space="0" w:color="auto"/>
        <w:bottom w:val="none" w:sz="0" w:space="0" w:color="auto"/>
        <w:right w:val="none" w:sz="0" w:space="0" w:color="auto"/>
      </w:divBdr>
    </w:div>
    <w:div w:id="692731146">
      <w:bodyDiv w:val="1"/>
      <w:marLeft w:val="0"/>
      <w:marRight w:val="0"/>
      <w:marTop w:val="0"/>
      <w:marBottom w:val="0"/>
      <w:divBdr>
        <w:top w:val="none" w:sz="0" w:space="0" w:color="auto"/>
        <w:left w:val="none" w:sz="0" w:space="0" w:color="auto"/>
        <w:bottom w:val="none" w:sz="0" w:space="0" w:color="auto"/>
        <w:right w:val="none" w:sz="0" w:space="0" w:color="auto"/>
      </w:divBdr>
    </w:div>
    <w:div w:id="726418713">
      <w:bodyDiv w:val="1"/>
      <w:marLeft w:val="0"/>
      <w:marRight w:val="0"/>
      <w:marTop w:val="0"/>
      <w:marBottom w:val="0"/>
      <w:divBdr>
        <w:top w:val="none" w:sz="0" w:space="0" w:color="auto"/>
        <w:left w:val="none" w:sz="0" w:space="0" w:color="auto"/>
        <w:bottom w:val="none" w:sz="0" w:space="0" w:color="auto"/>
        <w:right w:val="none" w:sz="0" w:space="0" w:color="auto"/>
      </w:divBdr>
    </w:div>
    <w:div w:id="796409576">
      <w:bodyDiv w:val="1"/>
      <w:marLeft w:val="0"/>
      <w:marRight w:val="0"/>
      <w:marTop w:val="0"/>
      <w:marBottom w:val="0"/>
      <w:divBdr>
        <w:top w:val="none" w:sz="0" w:space="0" w:color="auto"/>
        <w:left w:val="none" w:sz="0" w:space="0" w:color="auto"/>
        <w:bottom w:val="none" w:sz="0" w:space="0" w:color="auto"/>
        <w:right w:val="none" w:sz="0" w:space="0" w:color="auto"/>
      </w:divBdr>
    </w:div>
    <w:div w:id="914511769">
      <w:bodyDiv w:val="1"/>
      <w:marLeft w:val="0"/>
      <w:marRight w:val="0"/>
      <w:marTop w:val="0"/>
      <w:marBottom w:val="0"/>
      <w:divBdr>
        <w:top w:val="none" w:sz="0" w:space="0" w:color="auto"/>
        <w:left w:val="none" w:sz="0" w:space="0" w:color="auto"/>
        <w:bottom w:val="none" w:sz="0" w:space="0" w:color="auto"/>
        <w:right w:val="none" w:sz="0" w:space="0" w:color="auto"/>
      </w:divBdr>
    </w:div>
    <w:div w:id="932712144">
      <w:bodyDiv w:val="1"/>
      <w:marLeft w:val="0"/>
      <w:marRight w:val="0"/>
      <w:marTop w:val="0"/>
      <w:marBottom w:val="0"/>
      <w:divBdr>
        <w:top w:val="none" w:sz="0" w:space="0" w:color="auto"/>
        <w:left w:val="none" w:sz="0" w:space="0" w:color="auto"/>
        <w:bottom w:val="none" w:sz="0" w:space="0" w:color="auto"/>
        <w:right w:val="none" w:sz="0" w:space="0" w:color="auto"/>
      </w:divBdr>
    </w:div>
    <w:div w:id="942420059">
      <w:bodyDiv w:val="1"/>
      <w:marLeft w:val="0"/>
      <w:marRight w:val="0"/>
      <w:marTop w:val="0"/>
      <w:marBottom w:val="0"/>
      <w:divBdr>
        <w:top w:val="none" w:sz="0" w:space="0" w:color="auto"/>
        <w:left w:val="none" w:sz="0" w:space="0" w:color="auto"/>
        <w:bottom w:val="none" w:sz="0" w:space="0" w:color="auto"/>
        <w:right w:val="none" w:sz="0" w:space="0" w:color="auto"/>
      </w:divBdr>
    </w:div>
    <w:div w:id="991372795">
      <w:bodyDiv w:val="1"/>
      <w:marLeft w:val="0"/>
      <w:marRight w:val="0"/>
      <w:marTop w:val="0"/>
      <w:marBottom w:val="0"/>
      <w:divBdr>
        <w:top w:val="none" w:sz="0" w:space="0" w:color="auto"/>
        <w:left w:val="none" w:sz="0" w:space="0" w:color="auto"/>
        <w:bottom w:val="none" w:sz="0" w:space="0" w:color="auto"/>
        <w:right w:val="none" w:sz="0" w:space="0" w:color="auto"/>
      </w:divBdr>
    </w:div>
    <w:div w:id="995182695">
      <w:bodyDiv w:val="1"/>
      <w:marLeft w:val="0"/>
      <w:marRight w:val="0"/>
      <w:marTop w:val="0"/>
      <w:marBottom w:val="0"/>
      <w:divBdr>
        <w:top w:val="none" w:sz="0" w:space="0" w:color="auto"/>
        <w:left w:val="none" w:sz="0" w:space="0" w:color="auto"/>
        <w:bottom w:val="none" w:sz="0" w:space="0" w:color="auto"/>
        <w:right w:val="none" w:sz="0" w:space="0" w:color="auto"/>
      </w:divBdr>
    </w:div>
    <w:div w:id="1169558564">
      <w:bodyDiv w:val="1"/>
      <w:marLeft w:val="0"/>
      <w:marRight w:val="0"/>
      <w:marTop w:val="0"/>
      <w:marBottom w:val="0"/>
      <w:divBdr>
        <w:top w:val="none" w:sz="0" w:space="0" w:color="auto"/>
        <w:left w:val="none" w:sz="0" w:space="0" w:color="auto"/>
        <w:bottom w:val="none" w:sz="0" w:space="0" w:color="auto"/>
        <w:right w:val="none" w:sz="0" w:space="0" w:color="auto"/>
      </w:divBdr>
    </w:div>
    <w:div w:id="1230992676">
      <w:bodyDiv w:val="1"/>
      <w:marLeft w:val="0"/>
      <w:marRight w:val="0"/>
      <w:marTop w:val="0"/>
      <w:marBottom w:val="0"/>
      <w:divBdr>
        <w:top w:val="none" w:sz="0" w:space="0" w:color="auto"/>
        <w:left w:val="none" w:sz="0" w:space="0" w:color="auto"/>
        <w:bottom w:val="none" w:sz="0" w:space="0" w:color="auto"/>
        <w:right w:val="none" w:sz="0" w:space="0" w:color="auto"/>
      </w:divBdr>
      <w:divsChild>
        <w:div w:id="1351492582">
          <w:marLeft w:val="0"/>
          <w:marRight w:val="0"/>
          <w:marTop w:val="0"/>
          <w:marBottom w:val="0"/>
          <w:divBdr>
            <w:top w:val="none" w:sz="0" w:space="0" w:color="auto"/>
            <w:left w:val="none" w:sz="0" w:space="0" w:color="auto"/>
            <w:bottom w:val="none" w:sz="0" w:space="0" w:color="auto"/>
            <w:right w:val="none" w:sz="0" w:space="0" w:color="auto"/>
          </w:divBdr>
        </w:div>
        <w:div w:id="1032876145">
          <w:marLeft w:val="0"/>
          <w:marRight w:val="0"/>
          <w:marTop w:val="0"/>
          <w:marBottom w:val="0"/>
          <w:divBdr>
            <w:top w:val="none" w:sz="0" w:space="0" w:color="auto"/>
            <w:left w:val="none" w:sz="0" w:space="0" w:color="auto"/>
            <w:bottom w:val="none" w:sz="0" w:space="0" w:color="auto"/>
            <w:right w:val="none" w:sz="0" w:space="0" w:color="auto"/>
          </w:divBdr>
        </w:div>
      </w:divsChild>
    </w:div>
    <w:div w:id="1405297105">
      <w:bodyDiv w:val="1"/>
      <w:marLeft w:val="0"/>
      <w:marRight w:val="0"/>
      <w:marTop w:val="0"/>
      <w:marBottom w:val="0"/>
      <w:divBdr>
        <w:top w:val="none" w:sz="0" w:space="0" w:color="auto"/>
        <w:left w:val="none" w:sz="0" w:space="0" w:color="auto"/>
        <w:bottom w:val="none" w:sz="0" w:space="0" w:color="auto"/>
        <w:right w:val="none" w:sz="0" w:space="0" w:color="auto"/>
      </w:divBdr>
    </w:div>
    <w:div w:id="1422991610">
      <w:bodyDiv w:val="1"/>
      <w:marLeft w:val="0"/>
      <w:marRight w:val="0"/>
      <w:marTop w:val="0"/>
      <w:marBottom w:val="0"/>
      <w:divBdr>
        <w:top w:val="none" w:sz="0" w:space="0" w:color="auto"/>
        <w:left w:val="none" w:sz="0" w:space="0" w:color="auto"/>
        <w:bottom w:val="none" w:sz="0" w:space="0" w:color="auto"/>
        <w:right w:val="none" w:sz="0" w:space="0" w:color="auto"/>
      </w:divBdr>
    </w:div>
    <w:div w:id="1445493282">
      <w:bodyDiv w:val="1"/>
      <w:marLeft w:val="0"/>
      <w:marRight w:val="0"/>
      <w:marTop w:val="0"/>
      <w:marBottom w:val="0"/>
      <w:divBdr>
        <w:top w:val="none" w:sz="0" w:space="0" w:color="auto"/>
        <w:left w:val="none" w:sz="0" w:space="0" w:color="auto"/>
        <w:bottom w:val="none" w:sz="0" w:space="0" w:color="auto"/>
        <w:right w:val="none" w:sz="0" w:space="0" w:color="auto"/>
      </w:divBdr>
    </w:div>
    <w:div w:id="1457290955">
      <w:bodyDiv w:val="1"/>
      <w:marLeft w:val="0"/>
      <w:marRight w:val="0"/>
      <w:marTop w:val="0"/>
      <w:marBottom w:val="0"/>
      <w:divBdr>
        <w:top w:val="none" w:sz="0" w:space="0" w:color="auto"/>
        <w:left w:val="none" w:sz="0" w:space="0" w:color="auto"/>
        <w:bottom w:val="none" w:sz="0" w:space="0" w:color="auto"/>
        <w:right w:val="none" w:sz="0" w:space="0" w:color="auto"/>
      </w:divBdr>
    </w:div>
    <w:div w:id="1482650999">
      <w:bodyDiv w:val="1"/>
      <w:marLeft w:val="0"/>
      <w:marRight w:val="0"/>
      <w:marTop w:val="0"/>
      <w:marBottom w:val="0"/>
      <w:divBdr>
        <w:top w:val="none" w:sz="0" w:space="0" w:color="auto"/>
        <w:left w:val="none" w:sz="0" w:space="0" w:color="auto"/>
        <w:bottom w:val="none" w:sz="0" w:space="0" w:color="auto"/>
        <w:right w:val="none" w:sz="0" w:space="0" w:color="auto"/>
      </w:divBdr>
    </w:div>
    <w:div w:id="1487474852">
      <w:bodyDiv w:val="1"/>
      <w:marLeft w:val="0"/>
      <w:marRight w:val="0"/>
      <w:marTop w:val="0"/>
      <w:marBottom w:val="0"/>
      <w:divBdr>
        <w:top w:val="none" w:sz="0" w:space="0" w:color="auto"/>
        <w:left w:val="none" w:sz="0" w:space="0" w:color="auto"/>
        <w:bottom w:val="none" w:sz="0" w:space="0" w:color="auto"/>
        <w:right w:val="none" w:sz="0" w:space="0" w:color="auto"/>
      </w:divBdr>
    </w:div>
    <w:div w:id="1554074996">
      <w:bodyDiv w:val="1"/>
      <w:marLeft w:val="0"/>
      <w:marRight w:val="0"/>
      <w:marTop w:val="0"/>
      <w:marBottom w:val="0"/>
      <w:divBdr>
        <w:top w:val="none" w:sz="0" w:space="0" w:color="auto"/>
        <w:left w:val="none" w:sz="0" w:space="0" w:color="auto"/>
        <w:bottom w:val="none" w:sz="0" w:space="0" w:color="auto"/>
        <w:right w:val="none" w:sz="0" w:space="0" w:color="auto"/>
      </w:divBdr>
    </w:div>
    <w:div w:id="1608345523">
      <w:bodyDiv w:val="1"/>
      <w:marLeft w:val="0"/>
      <w:marRight w:val="0"/>
      <w:marTop w:val="0"/>
      <w:marBottom w:val="0"/>
      <w:divBdr>
        <w:top w:val="none" w:sz="0" w:space="0" w:color="auto"/>
        <w:left w:val="none" w:sz="0" w:space="0" w:color="auto"/>
        <w:bottom w:val="none" w:sz="0" w:space="0" w:color="auto"/>
        <w:right w:val="none" w:sz="0" w:space="0" w:color="auto"/>
      </w:divBdr>
    </w:div>
    <w:div w:id="1682471996">
      <w:bodyDiv w:val="1"/>
      <w:marLeft w:val="0"/>
      <w:marRight w:val="0"/>
      <w:marTop w:val="0"/>
      <w:marBottom w:val="0"/>
      <w:divBdr>
        <w:top w:val="none" w:sz="0" w:space="0" w:color="auto"/>
        <w:left w:val="none" w:sz="0" w:space="0" w:color="auto"/>
        <w:bottom w:val="none" w:sz="0" w:space="0" w:color="auto"/>
        <w:right w:val="none" w:sz="0" w:space="0" w:color="auto"/>
      </w:divBdr>
    </w:div>
    <w:div w:id="1742485829">
      <w:bodyDiv w:val="1"/>
      <w:marLeft w:val="0"/>
      <w:marRight w:val="0"/>
      <w:marTop w:val="0"/>
      <w:marBottom w:val="0"/>
      <w:divBdr>
        <w:top w:val="none" w:sz="0" w:space="0" w:color="auto"/>
        <w:left w:val="none" w:sz="0" w:space="0" w:color="auto"/>
        <w:bottom w:val="none" w:sz="0" w:space="0" w:color="auto"/>
        <w:right w:val="none" w:sz="0" w:space="0" w:color="auto"/>
      </w:divBdr>
    </w:div>
    <w:div w:id="1831017624">
      <w:bodyDiv w:val="1"/>
      <w:marLeft w:val="0"/>
      <w:marRight w:val="0"/>
      <w:marTop w:val="0"/>
      <w:marBottom w:val="0"/>
      <w:divBdr>
        <w:top w:val="none" w:sz="0" w:space="0" w:color="auto"/>
        <w:left w:val="none" w:sz="0" w:space="0" w:color="auto"/>
        <w:bottom w:val="none" w:sz="0" w:space="0" w:color="auto"/>
        <w:right w:val="none" w:sz="0" w:space="0" w:color="auto"/>
      </w:divBdr>
    </w:div>
    <w:div w:id="2003317326">
      <w:bodyDiv w:val="1"/>
      <w:marLeft w:val="0"/>
      <w:marRight w:val="0"/>
      <w:marTop w:val="0"/>
      <w:marBottom w:val="0"/>
      <w:divBdr>
        <w:top w:val="none" w:sz="0" w:space="0" w:color="auto"/>
        <w:left w:val="none" w:sz="0" w:space="0" w:color="auto"/>
        <w:bottom w:val="none" w:sz="0" w:space="0" w:color="auto"/>
        <w:right w:val="none" w:sz="0" w:space="0" w:color="auto"/>
      </w:divBdr>
    </w:div>
    <w:div w:id="2067995231">
      <w:bodyDiv w:val="1"/>
      <w:marLeft w:val="0"/>
      <w:marRight w:val="0"/>
      <w:marTop w:val="0"/>
      <w:marBottom w:val="0"/>
      <w:divBdr>
        <w:top w:val="none" w:sz="0" w:space="0" w:color="auto"/>
        <w:left w:val="none" w:sz="0" w:space="0" w:color="auto"/>
        <w:bottom w:val="none" w:sz="0" w:space="0" w:color="auto"/>
        <w:right w:val="none" w:sz="0" w:space="0" w:color="auto"/>
      </w:divBdr>
      <w:divsChild>
        <w:div w:id="848371648">
          <w:marLeft w:val="0"/>
          <w:marRight w:val="0"/>
          <w:marTop w:val="0"/>
          <w:marBottom w:val="0"/>
          <w:divBdr>
            <w:top w:val="none" w:sz="0" w:space="0" w:color="auto"/>
            <w:left w:val="none" w:sz="0" w:space="0" w:color="auto"/>
            <w:bottom w:val="none" w:sz="0" w:space="0" w:color="auto"/>
            <w:right w:val="none" w:sz="0" w:space="0" w:color="auto"/>
          </w:divBdr>
        </w:div>
        <w:div w:id="652219130">
          <w:marLeft w:val="0"/>
          <w:marRight w:val="0"/>
          <w:marTop w:val="0"/>
          <w:marBottom w:val="0"/>
          <w:divBdr>
            <w:top w:val="none" w:sz="0" w:space="0" w:color="auto"/>
            <w:left w:val="none" w:sz="0" w:space="0" w:color="auto"/>
            <w:bottom w:val="none" w:sz="0" w:space="0" w:color="auto"/>
            <w:right w:val="none" w:sz="0" w:space="0" w:color="auto"/>
          </w:divBdr>
        </w:div>
      </w:divsChild>
    </w:div>
    <w:div w:id="2131774167">
      <w:bodyDiv w:val="1"/>
      <w:marLeft w:val="0"/>
      <w:marRight w:val="0"/>
      <w:marTop w:val="0"/>
      <w:marBottom w:val="0"/>
      <w:divBdr>
        <w:top w:val="none" w:sz="0" w:space="0" w:color="auto"/>
        <w:left w:val="none" w:sz="0" w:space="0" w:color="auto"/>
        <w:bottom w:val="none" w:sz="0" w:space="0" w:color="auto"/>
        <w:right w:val="none" w:sz="0" w:space="0" w:color="auto"/>
      </w:divBdr>
    </w:div>
    <w:div w:id="2143305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403512/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6882</Words>
  <Characters>3923</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Balčiūnienė</dc:creator>
  <cp:lastModifiedBy>Ingrida G.</cp:lastModifiedBy>
  <cp:revision>2</cp:revision>
  <cp:lastPrinted>2025-02-13T11:16:00Z</cp:lastPrinted>
  <dcterms:created xsi:type="dcterms:W3CDTF">2025-02-23T06:59:00Z</dcterms:created>
  <dcterms:modified xsi:type="dcterms:W3CDTF">2025-02-23T06:59:00Z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Microsoft® Word 2010</vt:lpwstr>
  </property>
  <property fmtid="{D5CDD505-2E9C-101B-9397-08002B2CF9AE}" pid="4" name="LastSaved">
    <vt:filetime>2022-04-13T00:00:00Z</vt:filetime>
  </property>
</Properties>
</file>