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74523"/>
    <w:rsid w:val="00170D29"/>
    <w:rsid w:val="00182B6C"/>
    <w:rsid w:val="001B44CC"/>
    <w:rsid w:val="001D37E4"/>
    <w:rsid w:val="002B4F13"/>
    <w:rsid w:val="00303753"/>
    <w:rsid w:val="0031625B"/>
    <w:rsid w:val="00410E59"/>
    <w:rsid w:val="004C1F94"/>
    <w:rsid w:val="00697200"/>
    <w:rsid w:val="00720B3F"/>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87EBB25-4BB1-4532-B76E-D7BCFDD00CF1}"/>
</file>

<file path=customXml/itemProps2.xml><?xml version="1.0" encoding="utf-8"?>
<ds:datastoreItem xmlns:ds="http://schemas.openxmlformats.org/officeDocument/2006/customXml" ds:itemID="{F2D484C7-3F07-409B-B45D-F31700A0BDC5}"/>
</file>

<file path=customXml/itemProps3.xml><?xml version="1.0" encoding="utf-8"?>
<ds:datastoreItem xmlns:ds="http://schemas.openxmlformats.org/officeDocument/2006/customXml" ds:itemID="{98C113F3-F907-475C-8C53-4C18310D5C2C}"/>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Erika Simaitė</cp:lastModifiedBy>
  <cp:revision>2</cp:revision>
  <dcterms:created xsi:type="dcterms:W3CDTF">2025-02-04T14:30:00Z</dcterms:created>
  <dcterms:modified xsi:type="dcterms:W3CDTF">2025-02-04T14:30:00Z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8" name="DmsPermissionsUsers">
    <vt:lpwstr>768;#Erika Simaitė;#1134;#Milda Stravinskė;#1099;#Jonė Šarkuvienė;#619;#Ugnė Chmeliauskaitė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