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9DDE4" w14:textId="77777777" w:rsidR="005F0DEC" w:rsidRPr="005F0DEC" w:rsidRDefault="005F0DEC" w:rsidP="00113CA3">
      <w:pPr>
        <w:jc w:val="center"/>
        <w:rPr>
          <w:rFonts w:cs="Tahoma"/>
          <w:b/>
        </w:rPr>
      </w:pPr>
      <w:bookmarkStart w:id="0" w:name="_Toc508701510"/>
      <w:r w:rsidRPr="005F0DEC">
        <w:rPr>
          <w:rFonts w:cs="Tahoma"/>
          <w:b/>
        </w:rPr>
        <w:t>TECHNINĖ SPECIFIKACIJA</w:t>
      </w:r>
      <w:bookmarkEnd w:id="0"/>
    </w:p>
    <w:p w14:paraId="6B6187B3" w14:textId="77777777" w:rsidR="005F0DEC" w:rsidRPr="005F0DEC" w:rsidRDefault="005F0DEC" w:rsidP="00113CA3">
      <w:pPr>
        <w:jc w:val="center"/>
        <w:rPr>
          <w:rFonts w:cs="Tahoma"/>
          <w:b/>
          <w:bCs/>
        </w:rPr>
      </w:pPr>
    </w:p>
    <w:p w14:paraId="66ADE230" w14:textId="12ADCB1D" w:rsidR="005F0DEC" w:rsidRDefault="00256BD1" w:rsidP="00113CA3">
      <w:pPr>
        <w:jc w:val="center"/>
        <w:rPr>
          <w:rFonts w:cs="Tahoma"/>
          <w:b/>
          <w:bCs/>
        </w:rPr>
      </w:pPr>
      <w:r>
        <w:rPr>
          <w:rFonts w:cs="Tahoma"/>
          <w:b/>
          <w:bCs/>
        </w:rPr>
        <w:t>DIDELIO NAŠUMO</w:t>
      </w:r>
      <w:r w:rsidR="00626BB6">
        <w:rPr>
          <w:rFonts w:cs="Tahoma"/>
          <w:b/>
          <w:bCs/>
        </w:rPr>
        <w:t xml:space="preserve"> </w:t>
      </w:r>
      <w:r>
        <w:rPr>
          <w:rFonts w:cs="Tahoma"/>
          <w:b/>
          <w:bCs/>
        </w:rPr>
        <w:t>IR TALPOS</w:t>
      </w:r>
      <w:r w:rsidR="00626BB6">
        <w:rPr>
          <w:rFonts w:cs="Tahoma"/>
          <w:b/>
          <w:bCs/>
        </w:rPr>
        <w:t xml:space="preserve"> </w:t>
      </w:r>
      <w:r w:rsidR="00C8761E">
        <w:rPr>
          <w:rFonts w:cs="Tahoma"/>
          <w:b/>
          <w:bCs/>
        </w:rPr>
        <w:t>DISKIN</w:t>
      </w:r>
      <w:r w:rsidR="00626BB6">
        <w:rPr>
          <w:rFonts w:cs="Tahoma"/>
          <w:b/>
          <w:bCs/>
        </w:rPr>
        <w:t>Ė</w:t>
      </w:r>
      <w:r w:rsidR="00C8761E">
        <w:rPr>
          <w:rFonts w:cs="Tahoma"/>
          <w:b/>
          <w:bCs/>
        </w:rPr>
        <w:t xml:space="preserve"> ATMINTI</w:t>
      </w:r>
      <w:r w:rsidR="00626BB6">
        <w:rPr>
          <w:rFonts w:cs="Tahoma"/>
          <w:b/>
          <w:bCs/>
        </w:rPr>
        <w:t>S</w:t>
      </w:r>
    </w:p>
    <w:p w14:paraId="72E42153" w14:textId="3759188D" w:rsidR="00626BB6" w:rsidRDefault="00626BB6" w:rsidP="00113CA3">
      <w:pPr>
        <w:jc w:val="center"/>
        <w:rPr>
          <w:rFonts w:cs="Tahoma"/>
          <w:b/>
          <w:bCs/>
        </w:rPr>
      </w:pPr>
      <w:r>
        <w:rPr>
          <w:rFonts w:cs="Tahoma"/>
          <w:b/>
          <w:bCs/>
        </w:rPr>
        <w:t>DUOMENŲ SAUGYKLŲ IŠPLĖTIMUI</w:t>
      </w:r>
    </w:p>
    <w:p w14:paraId="423F999A" w14:textId="77777777" w:rsidR="00300C2A" w:rsidRDefault="00300C2A" w:rsidP="00113CA3">
      <w:pPr>
        <w:pStyle w:val="ListParagraph"/>
        <w:tabs>
          <w:tab w:val="left" w:pos="709"/>
        </w:tabs>
        <w:ind w:left="349"/>
        <w:jc w:val="both"/>
        <w:rPr>
          <w:rFonts w:cs="Tahoma"/>
          <w:b/>
        </w:rPr>
      </w:pPr>
    </w:p>
    <w:p w14:paraId="3A2E6439" w14:textId="77777777" w:rsidR="00300C2A" w:rsidRPr="00300C2A" w:rsidRDefault="00300C2A" w:rsidP="00113CA3">
      <w:pPr>
        <w:pStyle w:val="ListParagraph"/>
        <w:tabs>
          <w:tab w:val="left" w:pos="709"/>
        </w:tabs>
        <w:ind w:left="349"/>
        <w:jc w:val="both"/>
        <w:rPr>
          <w:rFonts w:cs="Tahoma"/>
          <w:b/>
        </w:rPr>
      </w:pPr>
    </w:p>
    <w:p w14:paraId="4B7875CF" w14:textId="7B3DC8B7" w:rsidR="00256BD1" w:rsidRPr="00256BD1" w:rsidRDefault="00256BD1" w:rsidP="00113CA3">
      <w:pPr>
        <w:pStyle w:val="ListParagraph"/>
        <w:numPr>
          <w:ilvl w:val="0"/>
          <w:numId w:val="1"/>
        </w:numPr>
        <w:tabs>
          <w:tab w:val="left" w:pos="709"/>
        </w:tabs>
        <w:ind w:left="142" w:firstLine="207"/>
        <w:jc w:val="both"/>
        <w:rPr>
          <w:rFonts w:cs="Tahoma"/>
          <w:b/>
        </w:rPr>
      </w:pPr>
      <w:r w:rsidRPr="008F2E6A">
        <w:t>Valstybės įmonė Registrų centras (toliau – Pirkėjas) siekia įsigyti</w:t>
      </w:r>
      <w:r w:rsidR="00DF4966">
        <w:t xml:space="preserve"> </w:t>
      </w:r>
      <w:r w:rsidR="000B6913">
        <w:rPr>
          <w:b/>
          <w:bCs/>
        </w:rPr>
        <w:t>6</w:t>
      </w:r>
      <w:r w:rsidR="00DF4966" w:rsidRPr="00DF4966">
        <w:rPr>
          <w:b/>
          <w:bCs/>
        </w:rPr>
        <w:t xml:space="preserve"> vnt.</w:t>
      </w:r>
      <w:r w:rsidR="00DF4966">
        <w:t xml:space="preserve"> </w:t>
      </w:r>
      <w:r w:rsidRPr="00DF4966">
        <w:t>papildomos didelio našumo ir talpos diskinės atminties (toliau</w:t>
      </w:r>
      <w:r w:rsidR="00DF4966" w:rsidRPr="00DF4966">
        <w:t xml:space="preserve"> –</w:t>
      </w:r>
      <w:r w:rsidRPr="00DF4966">
        <w:t xml:space="preserve"> FCM</w:t>
      </w:r>
      <w:r w:rsidR="00DF4966">
        <w:t xml:space="preserve"> moduliai</w:t>
      </w:r>
      <w:r w:rsidR="00300C2A">
        <w:t xml:space="preserve"> arba Įranga</w:t>
      </w:r>
      <w:r w:rsidRPr="00DF4966">
        <w:t xml:space="preserve">) </w:t>
      </w:r>
      <w:r w:rsidRPr="00DF4966">
        <w:rPr>
          <w:rFonts w:cs="Tahoma"/>
        </w:rPr>
        <w:t>turimoms</w:t>
      </w:r>
      <w:r w:rsidR="00300C2A">
        <w:rPr>
          <w:rFonts w:cs="Tahoma"/>
        </w:rPr>
        <w:br/>
      </w:r>
      <w:r w:rsidRPr="00DF4966">
        <w:rPr>
          <w:rFonts w:eastAsia="Aptos" w:cs="Times New Roman"/>
        </w:rPr>
        <w:t xml:space="preserve">IBM </w:t>
      </w:r>
      <w:proofErr w:type="spellStart"/>
      <w:r w:rsidRPr="00DF4966">
        <w:rPr>
          <w:rFonts w:eastAsia="Aptos" w:cs="Times New Roman"/>
        </w:rPr>
        <w:t>FLashSystem</w:t>
      </w:r>
      <w:proofErr w:type="spellEnd"/>
      <w:r w:rsidRPr="00DF4966">
        <w:rPr>
          <w:rFonts w:eastAsia="Aptos" w:cs="Times New Roman"/>
        </w:rPr>
        <w:t xml:space="preserve"> 9500 </w:t>
      </w:r>
      <w:r w:rsidR="00DF4966" w:rsidRPr="00DF4966">
        <w:rPr>
          <w:rFonts w:eastAsia="Aptos" w:cs="Times New Roman"/>
        </w:rPr>
        <w:t>duomenų</w:t>
      </w:r>
      <w:r w:rsidRPr="00DF4966">
        <w:rPr>
          <w:rFonts w:eastAsia="Aptos" w:cs="Times New Roman"/>
        </w:rPr>
        <w:t xml:space="preserve"> saugykloms</w:t>
      </w:r>
      <w:r w:rsidR="00DF4966">
        <w:rPr>
          <w:rFonts w:eastAsia="Aptos" w:cs="Times New Roman"/>
        </w:rPr>
        <w:t xml:space="preserve"> (toliau – duomenų saugyklos)</w:t>
      </w:r>
      <w:r w:rsidRPr="005F0DEC">
        <w:rPr>
          <w:rFonts w:cs="Tahoma"/>
        </w:rPr>
        <w:t>.</w:t>
      </w:r>
      <w:r>
        <w:rPr>
          <w:rFonts w:cs="Tahoma"/>
        </w:rPr>
        <w:t xml:space="preserve"> Plečiamų </w:t>
      </w:r>
      <w:r w:rsidR="00DF4966">
        <w:rPr>
          <w:rFonts w:cs="Tahoma"/>
        </w:rPr>
        <w:t xml:space="preserve">duomenų </w:t>
      </w:r>
      <w:r>
        <w:rPr>
          <w:rFonts w:cs="Tahoma"/>
        </w:rPr>
        <w:t xml:space="preserve">saugyklų serijiniai numeriai </w:t>
      </w:r>
      <w:r w:rsidR="00300C2A">
        <w:rPr>
          <w:rFonts w:cs="Tahoma"/>
        </w:rPr>
        <w:t>–</w:t>
      </w:r>
      <w:r>
        <w:rPr>
          <w:rFonts w:cs="Tahoma"/>
        </w:rPr>
        <w:t xml:space="preserve"> </w:t>
      </w:r>
      <w:r w:rsidRPr="00C8761E">
        <w:rPr>
          <w:rFonts w:cs="Tahoma"/>
        </w:rPr>
        <w:t>78E4L3W</w:t>
      </w:r>
      <w:r>
        <w:rPr>
          <w:rFonts w:cs="Tahoma"/>
        </w:rPr>
        <w:t xml:space="preserve"> ir </w:t>
      </w:r>
      <w:r w:rsidRPr="00C8761E">
        <w:rPr>
          <w:rFonts w:cs="Tahoma"/>
        </w:rPr>
        <w:t>78E4L4A</w:t>
      </w:r>
      <w:r>
        <w:rPr>
          <w:rFonts w:cs="Tahoma"/>
        </w:rPr>
        <w:t>.</w:t>
      </w:r>
    </w:p>
    <w:p w14:paraId="6EA22F12" w14:textId="62F3E44B" w:rsidR="005F0DEC" w:rsidRPr="00DF4966" w:rsidRDefault="00DF4966" w:rsidP="00113CA3">
      <w:pPr>
        <w:pStyle w:val="ListParagraph"/>
        <w:numPr>
          <w:ilvl w:val="0"/>
          <w:numId w:val="1"/>
        </w:numPr>
        <w:tabs>
          <w:tab w:val="left" w:pos="709"/>
        </w:tabs>
        <w:ind w:left="142" w:firstLine="207"/>
        <w:jc w:val="both"/>
      </w:pPr>
      <w:r>
        <w:t>Duomenų saugyklos</w:t>
      </w:r>
      <w:r w:rsidR="007A5360" w:rsidRPr="00DF4966">
        <w:t xml:space="preserve"> turi būti plečiam</w:t>
      </w:r>
      <w:r>
        <w:t>os</w:t>
      </w:r>
      <w:r w:rsidR="007A5360" w:rsidRPr="00DF4966">
        <w:t xml:space="preserve"> </w:t>
      </w:r>
      <w:r w:rsidR="007A5360">
        <w:t xml:space="preserve">38.4TB talpos </w:t>
      </w:r>
      <w:proofErr w:type="spellStart"/>
      <w:r w:rsidR="007A5360">
        <w:t>FlashCore</w:t>
      </w:r>
      <w:proofErr w:type="spellEnd"/>
      <w:r w:rsidR="007A5360">
        <w:t xml:space="preserve"> Module 4 moduliais.</w:t>
      </w:r>
    </w:p>
    <w:p w14:paraId="7E7171AC" w14:textId="10CBF21D" w:rsidR="007A5360" w:rsidRPr="00DF4966" w:rsidRDefault="007A5360" w:rsidP="00113CA3">
      <w:pPr>
        <w:pStyle w:val="ListParagraph"/>
        <w:numPr>
          <w:ilvl w:val="0"/>
          <w:numId w:val="1"/>
        </w:numPr>
        <w:tabs>
          <w:tab w:val="left" w:pos="709"/>
        </w:tabs>
        <w:ind w:left="142" w:firstLine="207"/>
        <w:jc w:val="both"/>
      </w:pPr>
      <w:r>
        <w:t xml:space="preserve">Viso siekiama įsigyti 8 vnt. FCM (po </w:t>
      </w:r>
      <w:r w:rsidR="000B6913">
        <w:t>3</w:t>
      </w:r>
      <w:r>
        <w:t xml:space="preserve"> vnt. kiekvienai </w:t>
      </w:r>
      <w:r w:rsidR="00DF4966">
        <w:t xml:space="preserve">duomenų </w:t>
      </w:r>
      <w:r>
        <w:t>saugyklai).</w:t>
      </w:r>
    </w:p>
    <w:p w14:paraId="5EF4AC90" w14:textId="180125E6" w:rsidR="005F0DEC" w:rsidRPr="00DF4966" w:rsidRDefault="007A5360" w:rsidP="00113CA3">
      <w:pPr>
        <w:pStyle w:val="ListParagraph"/>
        <w:numPr>
          <w:ilvl w:val="0"/>
          <w:numId w:val="1"/>
        </w:numPr>
        <w:tabs>
          <w:tab w:val="left" w:pos="709"/>
        </w:tabs>
        <w:ind w:left="142" w:firstLine="207"/>
        <w:jc w:val="both"/>
      </w:pPr>
      <w:r w:rsidRPr="00DF4966">
        <w:t xml:space="preserve">FCM modulius </w:t>
      </w:r>
      <w:r w:rsidR="005F0DEC" w:rsidRPr="00DF4966">
        <w:t xml:space="preserve"> tiekėjas turi pristatyti ne vėliau, kaip per 60 (šešiasdešimt) kalendorinių dienų nuo pirkimo-pardavimo sutarties įsigaliojimo dienos. Šiame punkte nustatytas terminas gali būti pratęstas ne ilgesniam nei 30 (trisdešimties) dienų laikotarpiui, esant šioms aplinkybėms: dėl bet kokio vėlavimo, kliūčių ar trukdymų, sukeltų arba priskiriamų tretiesiems asmenims. Šiuo atveju tiekėjas perkančiajai organizacijai teikia prašymą raštu, nurodydamas aplinkybes ir terminą, kuriame prašoma pratęsti prekių pristatymo ir pilno paruošimo naudojimui trukmę. Perkančioji organizacija įvertina tiekėjo prašymą, priima sprendimą ir apie tai informuoja tiekėją raštu.</w:t>
      </w:r>
    </w:p>
    <w:p w14:paraId="6B8D0739" w14:textId="0218D447" w:rsidR="005F0DEC" w:rsidRPr="00DF4966" w:rsidRDefault="005F0DEC" w:rsidP="00113CA3">
      <w:pPr>
        <w:pStyle w:val="ListParagraph"/>
        <w:numPr>
          <w:ilvl w:val="0"/>
          <w:numId w:val="1"/>
        </w:numPr>
        <w:tabs>
          <w:tab w:val="left" w:pos="709"/>
        </w:tabs>
        <w:ind w:left="142" w:firstLine="207"/>
        <w:jc w:val="both"/>
      </w:pPr>
      <w:r w:rsidRPr="00DF4966">
        <w:t xml:space="preserve">Pristatymo vieta – </w:t>
      </w:r>
      <w:r w:rsidR="00DF4966" w:rsidRPr="000C4CC3">
        <w:rPr>
          <w:rFonts w:eastAsia="Tahoma" w:cs="Tahoma"/>
        </w:rPr>
        <w:t>Valstybės įmonės Registrų centro patalpos Vilniaus mieste Vilniuje,</w:t>
      </w:r>
      <w:r w:rsidR="00DF4966">
        <w:rPr>
          <w:rFonts w:eastAsia="Tahoma" w:cs="Tahoma"/>
        </w:rPr>
        <w:br/>
      </w:r>
      <w:r w:rsidR="00DF4966" w:rsidRPr="000C4CC3">
        <w:rPr>
          <w:rFonts w:eastAsia="Tahoma" w:cs="Tahoma"/>
        </w:rPr>
        <w:t>Studentų g.</w:t>
      </w:r>
      <w:r w:rsidR="0093349E">
        <w:rPr>
          <w:rFonts w:eastAsia="Tahoma" w:cs="Tahoma"/>
        </w:rPr>
        <w:t xml:space="preserve"> 39.</w:t>
      </w:r>
      <w:r w:rsidR="00DF4966" w:rsidRPr="000C4CC3">
        <w:rPr>
          <w:rFonts w:eastAsia="Tahoma" w:cs="Tahoma"/>
        </w:rPr>
        <w:t xml:space="preserve"> Pristatymo vieta gali būti keičiama Vilniaus miesto ribose.</w:t>
      </w:r>
    </w:p>
    <w:p w14:paraId="58B094C7" w14:textId="5D69505F" w:rsidR="005F0DEC" w:rsidRPr="00DF4966" w:rsidRDefault="005F0DEC" w:rsidP="00113CA3">
      <w:pPr>
        <w:pStyle w:val="ListParagraph"/>
        <w:numPr>
          <w:ilvl w:val="0"/>
          <w:numId w:val="1"/>
        </w:numPr>
        <w:tabs>
          <w:tab w:val="left" w:pos="709"/>
        </w:tabs>
        <w:ind w:left="142" w:firstLine="207"/>
        <w:jc w:val="both"/>
      </w:pPr>
      <w:r w:rsidRPr="00DF4966">
        <w:t>Tiekėjas per 14</w:t>
      </w:r>
      <w:r w:rsidRPr="00DF4966" w:rsidDel="00E061DF">
        <w:t xml:space="preserve"> </w:t>
      </w:r>
      <w:r w:rsidRPr="00DF4966">
        <w:t xml:space="preserve">kalendorinių dienų nuo prekių pristatymo įsipareigoja parengti </w:t>
      </w:r>
      <w:r w:rsidR="007A5360" w:rsidRPr="00DF4966">
        <w:t>FCM modulius</w:t>
      </w:r>
      <w:r w:rsidRPr="00DF4966">
        <w:t xml:space="preserve"> naudojimui: sumontuoti </w:t>
      </w:r>
      <w:r w:rsidR="00DF4966">
        <w:t>duomenų</w:t>
      </w:r>
      <w:r w:rsidR="00612588" w:rsidRPr="00DF4966">
        <w:t xml:space="preserve"> saugyklose </w:t>
      </w:r>
      <w:r w:rsidRPr="00DF4966">
        <w:t xml:space="preserve">kaip to reikalauja įrangos gamintojas. Atnaujinti </w:t>
      </w:r>
      <w:r w:rsidR="00612588" w:rsidRPr="00DF4966">
        <w:t>modulių</w:t>
      </w:r>
      <w:r w:rsidRPr="00DF4966">
        <w:t xml:space="preserve"> programinę įrangą (angl. </w:t>
      </w:r>
      <w:proofErr w:type="spellStart"/>
      <w:r w:rsidRPr="00DF4966">
        <w:t>firmware</w:t>
      </w:r>
      <w:proofErr w:type="spellEnd"/>
      <w:r w:rsidRPr="00DF4966">
        <w:t xml:space="preserve">), </w:t>
      </w:r>
      <w:r w:rsidR="00612588" w:rsidRPr="00DF4966">
        <w:t>išplėsti</w:t>
      </w:r>
      <w:r w:rsidR="00300C2A">
        <w:t xml:space="preserve"> duomenų</w:t>
      </w:r>
      <w:r w:rsidR="00612588" w:rsidRPr="00DF4966">
        <w:t xml:space="preserve"> saugyklų talpą įdiegtais moduliais. </w:t>
      </w:r>
      <w:r w:rsidRPr="00DF4966">
        <w:t xml:space="preserve">Įdiegti </w:t>
      </w:r>
      <w:r w:rsidR="00612588" w:rsidRPr="00DF4966">
        <w:t>FCM moduliai</w:t>
      </w:r>
      <w:r w:rsidRPr="00DF4966">
        <w:t xml:space="preserve"> turi veikti be klaidų bei įspėjimų apie nekorektišką veikimą ar galimus gedimus. </w:t>
      </w:r>
    </w:p>
    <w:p w14:paraId="0948687E" w14:textId="77777777" w:rsidR="005F0DEC" w:rsidRPr="00DF4966" w:rsidRDefault="005F0DEC" w:rsidP="00113CA3">
      <w:pPr>
        <w:pStyle w:val="ListParagraph"/>
        <w:numPr>
          <w:ilvl w:val="0"/>
          <w:numId w:val="1"/>
        </w:numPr>
        <w:tabs>
          <w:tab w:val="left" w:pos="709"/>
        </w:tabs>
        <w:ind w:left="142" w:firstLine="207"/>
        <w:jc w:val="both"/>
      </w:pPr>
      <w:r w:rsidRPr="00DF4966">
        <w:t>Tiekėjas turi užtikrinti, kad Įranga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39DD6737" w14:textId="77777777" w:rsidR="005F0DEC" w:rsidRPr="00DF4966" w:rsidRDefault="005F0DEC" w:rsidP="00113CA3">
      <w:pPr>
        <w:pStyle w:val="ListParagraph"/>
        <w:numPr>
          <w:ilvl w:val="0"/>
          <w:numId w:val="1"/>
        </w:numPr>
        <w:tabs>
          <w:tab w:val="left" w:pos="709"/>
        </w:tabs>
        <w:ind w:left="142" w:firstLine="207"/>
        <w:jc w:val="both"/>
      </w:pPr>
      <w:r w:rsidRPr="00DF4966">
        <w:t xml:space="preserve">Tiekėjas turi būti siūlomos įrangos gamintojas arba siūlomos įrangos gamintojo atstovas, įgaliotas pateikti (parduoti), įdiegti ir aptarnauti siūlomą įrangą arba turi būti sudaręs sutartį su tokiu atstovu, turinčiu išvardintas teises. </w:t>
      </w:r>
    </w:p>
    <w:p w14:paraId="4FD00795" w14:textId="40FC5406" w:rsidR="005F0DEC" w:rsidRPr="00DF4966" w:rsidRDefault="005F0DEC" w:rsidP="00113CA3">
      <w:pPr>
        <w:pStyle w:val="ListParagraph"/>
        <w:numPr>
          <w:ilvl w:val="0"/>
          <w:numId w:val="1"/>
        </w:numPr>
        <w:tabs>
          <w:tab w:val="left" w:pos="709"/>
        </w:tabs>
        <w:ind w:left="142" w:firstLine="207"/>
        <w:jc w:val="both"/>
      </w:pPr>
      <w:r w:rsidRPr="00DF4966">
        <w:t>Tiekėjo siūlomos prekės ir su prekėmis susijusios paslaugos neturi kelti grėsmės nacionaliniam saugumui. Tiekėjas teikdamas ir pasirašydamas pasiūlymą patvirtina, kad jo siūlomos prekės ir su prekėmis susijusios paslaugos nekelia grėsmės nacionaliniam saugumui. Tiekėjas, tiekėjų grupės partneriai, ūkio subjektai, kurių pajėgumais remiamasi ir jų pasitelkiami subtiekėjai neturi turėti interesų, galinčių kelti grėsmę nacionaliniam saugumui. 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18DB5830" w14:textId="29AD7724" w:rsidR="005F0DEC" w:rsidRPr="0093349E" w:rsidRDefault="00612588" w:rsidP="00113CA3">
      <w:pPr>
        <w:pStyle w:val="ListParagraph"/>
        <w:numPr>
          <w:ilvl w:val="0"/>
          <w:numId w:val="1"/>
        </w:numPr>
        <w:tabs>
          <w:tab w:val="left" w:pos="709"/>
        </w:tabs>
        <w:ind w:left="142" w:firstLine="207"/>
        <w:jc w:val="both"/>
        <w:rPr>
          <w:rFonts w:cs="Tahoma"/>
          <w:b/>
        </w:rPr>
      </w:pPr>
      <w:r w:rsidRPr="00DF4966">
        <w:t xml:space="preserve">FCM moduliams turi būti suteikta tokios pat trukmės ir tokių pat įsipareigojimų garantinis aptarnavimas kaip ir </w:t>
      </w:r>
      <w:r w:rsidR="005F0DEC" w:rsidRPr="00DF4966">
        <w:t xml:space="preserve"> </w:t>
      </w:r>
      <w:r w:rsidRPr="00DF4966">
        <w:t>perkančiosios organizacijos turimo</w:t>
      </w:r>
      <w:r w:rsidR="00B71C94" w:rsidRPr="00DF4966">
        <w:t xml:space="preserve">ms </w:t>
      </w:r>
      <w:r w:rsidR="00300C2A">
        <w:t>duomenų</w:t>
      </w:r>
      <w:r w:rsidRPr="00DF4966">
        <w:t xml:space="preserve"> saugyklos</w:t>
      </w:r>
      <w:r w:rsidR="00300C2A">
        <w:t>.</w:t>
      </w:r>
    </w:p>
    <w:p w14:paraId="77D6460D" w14:textId="15F4593D" w:rsidR="0093349E" w:rsidRPr="0093349E" w:rsidRDefault="0093349E" w:rsidP="00113CA3">
      <w:pPr>
        <w:pStyle w:val="ListParagraph"/>
        <w:numPr>
          <w:ilvl w:val="0"/>
          <w:numId w:val="1"/>
        </w:numPr>
        <w:tabs>
          <w:tab w:val="left" w:pos="709"/>
        </w:tabs>
        <w:ind w:left="142" w:firstLine="207"/>
        <w:jc w:val="both"/>
      </w:pPr>
      <w:r w:rsidRPr="0093349E">
        <w:t>Tiekėjas kartu su pasiūlymu turi pateikti siūlomos įrangos gamintojo ar jo oficialaus atstovo pažymą, patvirtinančią, kad tiekėjo siūlom</w:t>
      </w:r>
      <w:r>
        <w:t>i FCM moduliai</w:t>
      </w:r>
      <w:r w:rsidRPr="0093349E">
        <w:t xml:space="preserve"> atitinka perkančiosios organizacijos nustatytus techninius reikalavimus.</w:t>
      </w:r>
    </w:p>
    <w:p w14:paraId="358E4686" w14:textId="77777777" w:rsidR="00300C2A" w:rsidRDefault="00300C2A" w:rsidP="00113CA3">
      <w:pPr>
        <w:tabs>
          <w:tab w:val="left" w:pos="709"/>
        </w:tabs>
        <w:jc w:val="both"/>
        <w:rPr>
          <w:rFonts w:cs="Tahoma"/>
          <w:b/>
        </w:rPr>
      </w:pPr>
    </w:p>
    <w:p w14:paraId="493D5CC1" w14:textId="5D7ED062" w:rsidR="00300C2A" w:rsidRPr="00300C2A" w:rsidRDefault="00300C2A" w:rsidP="00113CA3">
      <w:pPr>
        <w:tabs>
          <w:tab w:val="left" w:pos="709"/>
        </w:tabs>
        <w:jc w:val="both"/>
        <w:rPr>
          <w:rFonts w:cs="Tahoma"/>
          <w:bCs/>
        </w:rPr>
      </w:pPr>
      <w:r w:rsidRPr="00300C2A">
        <w:rPr>
          <w:rFonts w:cs="Tahoma"/>
          <w:bCs/>
        </w:rPr>
        <w:t>–––––––––––––––––––</w:t>
      </w:r>
    </w:p>
    <w:sectPr w:rsidR="00300C2A" w:rsidRPr="00300C2A"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D6A3" w14:textId="77777777" w:rsidR="00827E3B" w:rsidRDefault="00827E3B" w:rsidP="00DD3A79">
      <w:pPr>
        <w:spacing w:line="240" w:lineRule="auto"/>
      </w:pPr>
      <w:r>
        <w:separator/>
      </w:r>
    </w:p>
  </w:endnote>
  <w:endnote w:type="continuationSeparator" w:id="0">
    <w:p w14:paraId="166C11B1" w14:textId="77777777" w:rsidR="00827E3B" w:rsidRDefault="00827E3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8336" w14:textId="77777777" w:rsidR="00827E3B" w:rsidRDefault="00827E3B" w:rsidP="00DD3A79">
      <w:pPr>
        <w:spacing w:line="240" w:lineRule="auto"/>
      </w:pPr>
      <w:r>
        <w:separator/>
      </w:r>
    </w:p>
  </w:footnote>
  <w:footnote w:type="continuationSeparator" w:id="0">
    <w:p w14:paraId="425ADA29" w14:textId="77777777" w:rsidR="00827E3B" w:rsidRDefault="00827E3B"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E3191A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5EAE3006"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1908"/>
    <w:multiLevelType w:val="hybridMultilevel"/>
    <w:tmpl w:val="D8360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1F76B0"/>
    <w:multiLevelType w:val="hybridMultilevel"/>
    <w:tmpl w:val="884897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2C1F4C"/>
    <w:multiLevelType w:val="hybridMultilevel"/>
    <w:tmpl w:val="5F1AE3AA"/>
    <w:lvl w:ilvl="0" w:tplc="0409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B4626B"/>
    <w:multiLevelType w:val="hybridMultilevel"/>
    <w:tmpl w:val="1ADE39EC"/>
    <w:lvl w:ilvl="0" w:tplc="D474E7CE">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FC74C4D"/>
    <w:multiLevelType w:val="hybridMultilevel"/>
    <w:tmpl w:val="447006C6"/>
    <w:lvl w:ilvl="0" w:tplc="6532C27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4A0DD3"/>
    <w:multiLevelType w:val="hybridMultilevel"/>
    <w:tmpl w:val="1ADE39EC"/>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B3E4D31"/>
    <w:multiLevelType w:val="hybridMultilevel"/>
    <w:tmpl w:val="60BEC67E"/>
    <w:lvl w:ilvl="0" w:tplc="6532C27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5924887">
    <w:abstractNumId w:val="3"/>
  </w:num>
  <w:num w:numId="2" w16cid:durableId="338780365">
    <w:abstractNumId w:val="2"/>
  </w:num>
  <w:num w:numId="3" w16cid:durableId="1292246861">
    <w:abstractNumId w:val="0"/>
  </w:num>
  <w:num w:numId="4" w16cid:durableId="1766002531">
    <w:abstractNumId w:val="6"/>
  </w:num>
  <w:num w:numId="5" w16cid:durableId="629942222">
    <w:abstractNumId w:val="1"/>
  </w:num>
  <w:num w:numId="6" w16cid:durableId="1837181780">
    <w:abstractNumId w:val="4"/>
  </w:num>
  <w:num w:numId="7" w16cid:durableId="2065787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EC"/>
    <w:rsid w:val="00002757"/>
    <w:rsid w:val="000041CB"/>
    <w:rsid w:val="00015FAC"/>
    <w:rsid w:val="00020A0E"/>
    <w:rsid w:val="0007694D"/>
    <w:rsid w:val="00081896"/>
    <w:rsid w:val="000879DB"/>
    <w:rsid w:val="00095AD1"/>
    <w:rsid w:val="00097DE7"/>
    <w:rsid w:val="000A25C1"/>
    <w:rsid w:val="000B4965"/>
    <w:rsid w:val="000B6913"/>
    <w:rsid w:val="001032D5"/>
    <w:rsid w:val="00113CA3"/>
    <w:rsid w:val="001618EF"/>
    <w:rsid w:val="001658FE"/>
    <w:rsid w:val="00192471"/>
    <w:rsid w:val="001C5565"/>
    <w:rsid w:val="001C7D29"/>
    <w:rsid w:val="001D4318"/>
    <w:rsid w:val="001D780A"/>
    <w:rsid w:val="001E3559"/>
    <w:rsid w:val="00200272"/>
    <w:rsid w:val="00236BC0"/>
    <w:rsid w:val="00237A32"/>
    <w:rsid w:val="00253120"/>
    <w:rsid w:val="00256BD1"/>
    <w:rsid w:val="00265EFA"/>
    <w:rsid w:val="002936EB"/>
    <w:rsid w:val="002A7375"/>
    <w:rsid w:val="002D0F13"/>
    <w:rsid w:val="002D6A0B"/>
    <w:rsid w:val="002E602A"/>
    <w:rsid w:val="00300C2A"/>
    <w:rsid w:val="003136E3"/>
    <w:rsid w:val="00381BAE"/>
    <w:rsid w:val="00392A24"/>
    <w:rsid w:val="003B6CB3"/>
    <w:rsid w:val="003E48E6"/>
    <w:rsid w:val="003F0ACE"/>
    <w:rsid w:val="004022DE"/>
    <w:rsid w:val="00403DBC"/>
    <w:rsid w:val="0040781C"/>
    <w:rsid w:val="00427936"/>
    <w:rsid w:val="004474BD"/>
    <w:rsid w:val="004813B8"/>
    <w:rsid w:val="004A0198"/>
    <w:rsid w:val="004A7609"/>
    <w:rsid w:val="004C4BC9"/>
    <w:rsid w:val="004C6968"/>
    <w:rsid w:val="004C75EA"/>
    <w:rsid w:val="0050305E"/>
    <w:rsid w:val="00507AF9"/>
    <w:rsid w:val="005228A3"/>
    <w:rsid w:val="0053212A"/>
    <w:rsid w:val="00534ADB"/>
    <w:rsid w:val="0053793B"/>
    <w:rsid w:val="00576AD9"/>
    <w:rsid w:val="005853D9"/>
    <w:rsid w:val="00590826"/>
    <w:rsid w:val="005A4288"/>
    <w:rsid w:val="005E54BD"/>
    <w:rsid w:val="005F0DEC"/>
    <w:rsid w:val="005F1561"/>
    <w:rsid w:val="005F3C09"/>
    <w:rsid w:val="005F531A"/>
    <w:rsid w:val="00612588"/>
    <w:rsid w:val="006257AB"/>
    <w:rsid w:val="00626BB6"/>
    <w:rsid w:val="006553BA"/>
    <w:rsid w:val="0065767C"/>
    <w:rsid w:val="00672D56"/>
    <w:rsid w:val="006B24E1"/>
    <w:rsid w:val="006D7D8A"/>
    <w:rsid w:val="00713C91"/>
    <w:rsid w:val="007148D1"/>
    <w:rsid w:val="0073672D"/>
    <w:rsid w:val="007436C0"/>
    <w:rsid w:val="00743F65"/>
    <w:rsid w:val="00747EE6"/>
    <w:rsid w:val="00773352"/>
    <w:rsid w:val="00781788"/>
    <w:rsid w:val="007A4F23"/>
    <w:rsid w:val="007A5360"/>
    <w:rsid w:val="007D3515"/>
    <w:rsid w:val="007F3E4A"/>
    <w:rsid w:val="008025AC"/>
    <w:rsid w:val="00810299"/>
    <w:rsid w:val="00815483"/>
    <w:rsid w:val="0082313A"/>
    <w:rsid w:val="00824320"/>
    <w:rsid w:val="00825325"/>
    <w:rsid w:val="00827E3B"/>
    <w:rsid w:val="008435F7"/>
    <w:rsid w:val="008773A5"/>
    <w:rsid w:val="008930E9"/>
    <w:rsid w:val="00896EBF"/>
    <w:rsid w:val="008B2575"/>
    <w:rsid w:val="008B3CF8"/>
    <w:rsid w:val="008B7683"/>
    <w:rsid w:val="008C04C2"/>
    <w:rsid w:val="008C47B7"/>
    <w:rsid w:val="008C696F"/>
    <w:rsid w:val="008D6AF5"/>
    <w:rsid w:val="00901282"/>
    <w:rsid w:val="0093349E"/>
    <w:rsid w:val="00957402"/>
    <w:rsid w:val="0095750B"/>
    <w:rsid w:val="009576E8"/>
    <w:rsid w:val="0097008A"/>
    <w:rsid w:val="009C6042"/>
    <w:rsid w:val="009D18B4"/>
    <w:rsid w:val="009D6F82"/>
    <w:rsid w:val="009D7732"/>
    <w:rsid w:val="00A1313D"/>
    <w:rsid w:val="00A22E45"/>
    <w:rsid w:val="00A36AE4"/>
    <w:rsid w:val="00A40A4B"/>
    <w:rsid w:val="00A472EE"/>
    <w:rsid w:val="00A6793D"/>
    <w:rsid w:val="00A97D87"/>
    <w:rsid w:val="00AA0AE1"/>
    <w:rsid w:val="00AB16DE"/>
    <w:rsid w:val="00AB57A3"/>
    <w:rsid w:val="00AF686A"/>
    <w:rsid w:val="00B01600"/>
    <w:rsid w:val="00B24D45"/>
    <w:rsid w:val="00B30D8F"/>
    <w:rsid w:val="00B322C2"/>
    <w:rsid w:val="00B433D0"/>
    <w:rsid w:val="00B52978"/>
    <w:rsid w:val="00B71C94"/>
    <w:rsid w:val="00B76466"/>
    <w:rsid w:val="00B766FD"/>
    <w:rsid w:val="00B87B00"/>
    <w:rsid w:val="00B93700"/>
    <w:rsid w:val="00BE5B31"/>
    <w:rsid w:val="00BE5B7E"/>
    <w:rsid w:val="00BF188D"/>
    <w:rsid w:val="00BF23BC"/>
    <w:rsid w:val="00C10F3F"/>
    <w:rsid w:val="00C339E5"/>
    <w:rsid w:val="00C41A18"/>
    <w:rsid w:val="00C654A0"/>
    <w:rsid w:val="00C70D28"/>
    <w:rsid w:val="00C83A5E"/>
    <w:rsid w:val="00C85745"/>
    <w:rsid w:val="00C8761E"/>
    <w:rsid w:val="00C91CFA"/>
    <w:rsid w:val="00CF0706"/>
    <w:rsid w:val="00D02606"/>
    <w:rsid w:val="00D11928"/>
    <w:rsid w:val="00D40DDA"/>
    <w:rsid w:val="00D729F7"/>
    <w:rsid w:val="00D90867"/>
    <w:rsid w:val="00DA2081"/>
    <w:rsid w:val="00DC721D"/>
    <w:rsid w:val="00DD3A79"/>
    <w:rsid w:val="00DF4966"/>
    <w:rsid w:val="00E068B5"/>
    <w:rsid w:val="00E1535C"/>
    <w:rsid w:val="00E37ED9"/>
    <w:rsid w:val="00E51759"/>
    <w:rsid w:val="00E7084B"/>
    <w:rsid w:val="00E8652B"/>
    <w:rsid w:val="00E9760D"/>
    <w:rsid w:val="00EC2F72"/>
    <w:rsid w:val="00ED0C97"/>
    <w:rsid w:val="00ED7DDD"/>
    <w:rsid w:val="00EE6F3C"/>
    <w:rsid w:val="00F17039"/>
    <w:rsid w:val="00F350AC"/>
    <w:rsid w:val="00F37CAB"/>
    <w:rsid w:val="00F4151B"/>
    <w:rsid w:val="00F64EAC"/>
    <w:rsid w:val="00F767F4"/>
    <w:rsid w:val="00F864D2"/>
    <w:rsid w:val="00F9602B"/>
    <w:rsid w:val="00FF0441"/>
    <w:rsid w:val="00FF296A"/>
    <w:rsid w:val="00FF6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4E330"/>
  <w15:chartTrackingRefBased/>
  <w15:docId w15:val="{610F4F6D-C279-4FD7-8A1E-82D267B7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5F0D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F0D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F0DE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F0DE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F0DE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F0D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0D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0D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0D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5F0DE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F0DE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F0DEC"/>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F0DE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F0DE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F0D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0D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0D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0D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0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D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D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0D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0DEC"/>
    <w:rPr>
      <w:i/>
      <w:iCs/>
      <w:color w:val="404040" w:themeColor="text1" w:themeTint="BF"/>
    </w:rPr>
  </w:style>
  <w:style w:type="paragraph" w:styleId="ListParagraph">
    <w:name w:val="List Paragraph"/>
    <w:basedOn w:val="Normal"/>
    <w:uiPriority w:val="34"/>
    <w:qFormat/>
    <w:rsid w:val="005F0DEC"/>
    <w:pPr>
      <w:ind w:left="720"/>
      <w:contextualSpacing/>
    </w:pPr>
  </w:style>
  <w:style w:type="character" w:styleId="IntenseEmphasis">
    <w:name w:val="Intense Emphasis"/>
    <w:basedOn w:val="DefaultParagraphFont"/>
    <w:uiPriority w:val="21"/>
    <w:qFormat/>
    <w:rsid w:val="005F0DEC"/>
    <w:rPr>
      <w:i/>
      <w:iCs/>
      <w:color w:val="2E74B5" w:themeColor="accent1" w:themeShade="BF"/>
    </w:rPr>
  </w:style>
  <w:style w:type="paragraph" w:styleId="IntenseQuote">
    <w:name w:val="Intense Quote"/>
    <w:basedOn w:val="Normal"/>
    <w:next w:val="Normal"/>
    <w:link w:val="IntenseQuoteChar"/>
    <w:uiPriority w:val="30"/>
    <w:qFormat/>
    <w:rsid w:val="005F0D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F0DEC"/>
    <w:rPr>
      <w:i/>
      <w:iCs/>
      <w:color w:val="2E74B5" w:themeColor="accent1" w:themeShade="BF"/>
    </w:rPr>
  </w:style>
  <w:style w:type="character" w:styleId="IntenseReference">
    <w:name w:val="Intense Reference"/>
    <w:basedOn w:val="DefaultParagraphFont"/>
    <w:uiPriority w:val="32"/>
    <w:qFormat/>
    <w:rsid w:val="005F0DEC"/>
    <w:rPr>
      <w:b/>
      <w:bCs/>
      <w:smallCaps/>
      <w:color w:val="2E74B5" w:themeColor="accent1" w:themeShade="BF"/>
      <w:spacing w:val="5"/>
    </w:rPr>
  </w:style>
  <w:style w:type="table" w:styleId="GridTable2-Accent1">
    <w:name w:val="Grid Table 2 Accent 1"/>
    <w:basedOn w:val="TableNormal"/>
    <w:uiPriority w:val="47"/>
    <w:rsid w:val="005F0DEC"/>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ageNumber">
    <w:name w:val="page number"/>
    <w:basedOn w:val="DefaultParagraphFont"/>
    <w:rsid w:val="005F0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2346</Words>
  <Characters>1338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Būdvytis</dc:creator>
  <cp:keywords/>
  <dc:description/>
  <cp:lastModifiedBy>Giedrė Jasulaitytė-Ostapenko</cp:lastModifiedBy>
  <cp:revision>2</cp:revision>
  <dcterms:created xsi:type="dcterms:W3CDTF">2025-02-24T09:05:00Z</dcterms:created>
  <dcterms:modified xsi:type="dcterms:W3CDTF">2025-02-24T09:05:00Z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2025-02-11T08:02:49Z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289c7427-ce52-4cd7-bd36-a42c5df226fa</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