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AAA" w:rsidRPr="00827541" w:rsidRDefault="00024AAA" w:rsidP="00024AAA">
      <w:pPr>
        <w:spacing w:after="0" w:line="240" w:lineRule="auto"/>
        <w:ind w:firstLine="709"/>
        <w:jc w:val="both"/>
        <w:rPr>
          <w:rFonts w:eastAsia="SimSun" w:cs="Times New Roman"/>
          <w:b/>
          <w:sz w:val="22"/>
          <w:lang w:eastAsia="zh-CN"/>
        </w:rPr>
      </w:pPr>
      <w:r w:rsidRPr="00827541">
        <w:rPr>
          <w:rFonts w:eastAsia="SimSun" w:cs="Times New Roman"/>
          <w:b/>
          <w:sz w:val="22"/>
          <w:lang w:eastAsia="zh-CN"/>
        </w:rPr>
        <w:t>Informacija apie išnagrinėtą pretenziją</w:t>
      </w:r>
    </w:p>
    <w:p w:rsidR="00024AAA" w:rsidRPr="00827541" w:rsidRDefault="00024AAA" w:rsidP="00024AAA">
      <w:pPr>
        <w:spacing w:after="0" w:line="240" w:lineRule="auto"/>
        <w:ind w:firstLine="709"/>
        <w:jc w:val="both"/>
        <w:rPr>
          <w:rFonts w:eastAsia="SimSun" w:cs="Times New Roman"/>
          <w:sz w:val="22"/>
          <w:lang w:eastAsia="zh-CN"/>
        </w:rPr>
      </w:pPr>
    </w:p>
    <w:p w:rsidR="00024AAA" w:rsidRPr="00827541" w:rsidRDefault="00024AAA" w:rsidP="00024AAA">
      <w:pPr>
        <w:spacing w:after="0" w:line="240" w:lineRule="auto"/>
        <w:ind w:firstLine="709"/>
        <w:jc w:val="both"/>
        <w:rPr>
          <w:rFonts w:eastAsia="SimSun" w:cs="Times New Roman"/>
          <w:sz w:val="22"/>
          <w:lang w:eastAsia="zh-CN"/>
        </w:rPr>
      </w:pPr>
      <w:r w:rsidRPr="00827541">
        <w:rPr>
          <w:rFonts w:eastAsia="SimSun" w:cs="Times New Roman"/>
          <w:sz w:val="22"/>
          <w:lang w:eastAsia="zh-CN"/>
        </w:rPr>
        <w:t>Telšių rajono savivaldybės administracija, atliekanti centrinės perkančiosios organizacijos funkcijas (toliau – Telšių rajono CPO), vykdo supaprastintą atvirą pirkimą „</w:t>
      </w:r>
      <w:r w:rsidRPr="00827541">
        <w:rPr>
          <w:rFonts w:eastAsia="SimSun" w:cs="Times New Roman"/>
          <w:bCs/>
          <w:sz w:val="22"/>
          <w:lang w:eastAsia="zh-CN"/>
        </w:rPr>
        <w:t>Odontologinė įranga (projektas)</w:t>
      </w:r>
      <w:r w:rsidRPr="00827541">
        <w:rPr>
          <w:rFonts w:eastAsia="SimSun" w:cs="Times New Roman"/>
          <w:sz w:val="22"/>
          <w:lang w:eastAsia="zh-CN"/>
        </w:rPr>
        <w:t xml:space="preserve">“, Nr. 1234699 (toliau – Pirkimas) pavaldžiai perkančiajai organizacijai viešajai įstaigai Telšių rajono pirminės sveikatos priežiūros centras. Telšių rajono CPO 2024-02-19 gavo iš tiekėjo (toliau - Tiekėjas) pretenziją „Pretenzija pirkimo sąlygų“ (toliau – Pretenzija). </w:t>
      </w:r>
    </w:p>
    <w:p w:rsidR="00024AAA" w:rsidRPr="00827541" w:rsidRDefault="00024AAA" w:rsidP="00024AAA">
      <w:pPr>
        <w:spacing w:after="0" w:line="240" w:lineRule="auto"/>
        <w:ind w:firstLine="709"/>
        <w:jc w:val="both"/>
        <w:rPr>
          <w:rFonts w:eastAsia="SimSun" w:cs="Times New Roman"/>
          <w:sz w:val="22"/>
          <w:lang w:eastAsia="zh-CN"/>
        </w:rPr>
      </w:pPr>
      <w:r w:rsidRPr="00827541">
        <w:rPr>
          <w:rFonts w:eastAsia="SimSun" w:cs="Times New Roman"/>
          <w:sz w:val="22"/>
          <w:lang w:eastAsia="zh-CN"/>
        </w:rPr>
        <w:t xml:space="preserve">Tiekėjas prašo nutraukti Pirkimo procedūras, </w:t>
      </w:r>
      <w:r w:rsidRPr="00827541">
        <w:rPr>
          <w:rFonts w:eastAsia="SimSun" w:cs="Times New Roman"/>
          <w:bCs/>
          <w:sz w:val="22"/>
          <w:lang w:eastAsia="zh-CN"/>
        </w:rPr>
        <w:t>Pirkimą išskaidyti į atskiras dvi pirkimo dalis (</w:t>
      </w:r>
      <w:r w:rsidRPr="00827541">
        <w:rPr>
          <w:rFonts w:eastAsia="SimSun" w:cs="Times New Roman"/>
          <w:sz w:val="22"/>
          <w:lang w:eastAsia="zh-CN"/>
        </w:rPr>
        <w:t>Rentgenai – BVPŽ – 33111500 bei Odontologijos įranga – BVPŽ – 33192400) ir s</w:t>
      </w:r>
      <w:r w:rsidRPr="00827541">
        <w:rPr>
          <w:rFonts w:eastAsia="SimSun" w:cs="Times New Roman"/>
          <w:bCs/>
          <w:sz w:val="22"/>
          <w:lang w:eastAsia="zh-CN"/>
        </w:rPr>
        <w:t xml:space="preserve">udaryti techninę specifikaciją užtikrinančią Lietuvos Respublikos viešųjų pirkimų įstatymo (toliau - Įstatymas) 17 str. nustatytus nediskriminavimo, lygiateisiškumo ir proporcingumo </w:t>
      </w:r>
      <w:r w:rsidRPr="00827541">
        <w:rPr>
          <w:rFonts w:eastAsia="SimSun" w:cs="Times New Roman"/>
          <w:sz w:val="22"/>
          <w:lang w:eastAsia="zh-CN"/>
        </w:rPr>
        <w:t xml:space="preserve">principus. </w:t>
      </w:r>
    </w:p>
    <w:p w:rsidR="00024AAA" w:rsidRPr="00827541" w:rsidRDefault="00024AAA" w:rsidP="00024AAA">
      <w:pPr>
        <w:tabs>
          <w:tab w:val="left" w:pos="993"/>
        </w:tabs>
        <w:suppressAutoHyphens/>
        <w:spacing w:after="0" w:line="240" w:lineRule="auto"/>
        <w:ind w:firstLine="709"/>
        <w:jc w:val="both"/>
        <w:rPr>
          <w:rFonts w:eastAsia="SimSun" w:cs="Times New Roman"/>
          <w:sz w:val="22"/>
          <w:lang w:eastAsia="zh-CN"/>
        </w:rPr>
      </w:pPr>
      <w:r w:rsidRPr="00827541">
        <w:rPr>
          <w:rFonts w:eastAsia="SimSun" w:cs="Times New Roman"/>
          <w:sz w:val="22"/>
          <w:lang w:eastAsia="zh-CN"/>
        </w:rPr>
        <w:t>Tiekėjas teikia Pretenziją, kurioje skundžiami techninės specifikacijos reikalavimai: (1) reikalavimas dantų rentgeno aparatui</w:t>
      </w:r>
      <w:r w:rsidRPr="00827541">
        <w:rPr>
          <w:rFonts w:eastAsia="Times New Roman" w:cs="Times New Roman"/>
          <w:sz w:val="22"/>
        </w:rPr>
        <w:t xml:space="preserve"> „</w:t>
      </w:r>
      <w:r w:rsidRPr="00827541">
        <w:rPr>
          <w:rFonts w:eastAsia="SimSun" w:cs="Times New Roman"/>
          <w:sz w:val="22"/>
          <w:lang w:eastAsia="zh-CN"/>
        </w:rPr>
        <w:t xml:space="preserve">Naudojamas galingumas“ – „ne daugiau 500 W“ ir  (2) reikalavimas dantų rentgeno aparatui „Aukštos įtampos rentgeno spindulių generatorius turi būti  aukšto dažnio“ – „dažnis ne mažiau 280 </w:t>
      </w:r>
      <w:proofErr w:type="spellStart"/>
      <w:r w:rsidRPr="00827541">
        <w:rPr>
          <w:rFonts w:eastAsia="SimSun" w:cs="Times New Roman"/>
          <w:sz w:val="22"/>
          <w:lang w:eastAsia="zh-CN"/>
        </w:rPr>
        <w:t>kHz</w:t>
      </w:r>
      <w:proofErr w:type="spellEnd"/>
      <w:r w:rsidRPr="00827541">
        <w:rPr>
          <w:rFonts w:eastAsia="SimSun" w:cs="Times New Roman"/>
          <w:sz w:val="22"/>
          <w:lang w:eastAsia="zh-CN"/>
        </w:rPr>
        <w:t>“.</w:t>
      </w:r>
    </w:p>
    <w:p w:rsidR="00024AAA" w:rsidRPr="00827541" w:rsidRDefault="00024AAA" w:rsidP="00024AAA">
      <w:pPr>
        <w:tabs>
          <w:tab w:val="center" w:pos="2070"/>
        </w:tabs>
        <w:suppressAutoHyphens/>
        <w:spacing w:after="0" w:line="240" w:lineRule="auto"/>
        <w:ind w:firstLine="720"/>
        <w:jc w:val="both"/>
        <w:rPr>
          <w:rFonts w:eastAsia="SimSun" w:cs="Times New Roman"/>
          <w:bCs/>
          <w:sz w:val="22"/>
          <w:lang w:eastAsia="zh-CN"/>
        </w:rPr>
      </w:pPr>
      <w:r w:rsidRPr="00827541">
        <w:rPr>
          <w:rFonts w:eastAsia="SimSun" w:cs="Times New Roman"/>
          <w:bCs/>
          <w:sz w:val="22"/>
          <w:lang w:eastAsia="zh-CN"/>
        </w:rPr>
        <w:t xml:space="preserve">Komisija išnagrinėjo tiekėjo pretenziją ir nesutinka pakeisti techninės specifikacijos 3.4 ir 3.6 punktų. </w:t>
      </w:r>
    </w:p>
    <w:p w:rsidR="00024AAA" w:rsidRPr="00827541" w:rsidRDefault="00024AAA" w:rsidP="00024AAA">
      <w:pPr>
        <w:tabs>
          <w:tab w:val="center" w:pos="2070"/>
        </w:tabs>
        <w:suppressAutoHyphens/>
        <w:spacing w:after="0" w:line="240" w:lineRule="auto"/>
        <w:ind w:firstLine="720"/>
        <w:jc w:val="both"/>
        <w:rPr>
          <w:rFonts w:eastAsia="SimSun" w:cs="Times New Roman"/>
          <w:bCs/>
          <w:sz w:val="22"/>
          <w:lang w:eastAsia="zh-CN"/>
        </w:rPr>
      </w:pPr>
      <w:r w:rsidRPr="00827541">
        <w:rPr>
          <w:rFonts w:eastAsia="SimSun" w:cs="Times New Roman"/>
          <w:bCs/>
          <w:sz w:val="22"/>
          <w:lang w:eastAsia="zh-CN"/>
        </w:rPr>
        <w:t xml:space="preserve">Dantų rentgeno galingumo parametras nustatytas siekiant įgyvendinti aplinkosauginius reikalavimus ir mažinti poveikį aplinkai. Kuo didesnis galingumas, tuo daugiau sunaudojama energijos, todėl yra svarbu pasirinkti optimalų galingumo lygį, kuris užtikrintų tiek kokybišką paslaugą, tiek mažesnį ekologinį pėdsaką. Sumažinus energijos suvartojimą, galima ne tik padidinti efektyvumą, bet ir prisidėti prie tvaraus vystymosi, nes sumažėja anglies dvideginio emisija ir išteklių vartojimas. Techninėje specifikacijoje 3.4 punkte nurodyto 500 W galingumo dantų rentgeno aparatui pakanka kokybiškai paslaugai atlikti, nes šis lygis užtikrina tinkamą spinduliuotės intensyvumą, kad būtų pasiekti aiškūs ir tikslūs vaizdai, tačiau be perteklinio energijos vartojimo. Tai taip pat sumažina paciento </w:t>
      </w:r>
      <w:proofErr w:type="spellStart"/>
      <w:r w:rsidRPr="00827541">
        <w:rPr>
          <w:rFonts w:eastAsia="SimSun" w:cs="Times New Roman"/>
          <w:bCs/>
          <w:sz w:val="22"/>
          <w:lang w:eastAsia="zh-CN"/>
        </w:rPr>
        <w:t>apšvitą</w:t>
      </w:r>
      <w:proofErr w:type="spellEnd"/>
      <w:r w:rsidRPr="00827541">
        <w:rPr>
          <w:rFonts w:eastAsia="SimSun" w:cs="Times New Roman"/>
          <w:bCs/>
          <w:sz w:val="22"/>
          <w:lang w:eastAsia="zh-CN"/>
        </w:rPr>
        <w:t xml:space="preserve"> ir sumažina ilgalaikius neigiamus aplinkos veiksnius, susijusius su didelio galingumo prietaisų naudojimu. Tokiu būdu galima pasiekti pusiausvyrą tarp paslaugų kokybės ir aplinkosaugos principų, todėl šis galingumas yra laikomas pakankamu ir ekonomiškai efektyviu sprendimu. </w:t>
      </w:r>
    </w:p>
    <w:p w:rsidR="00024AAA" w:rsidRPr="00827541" w:rsidRDefault="00024AAA" w:rsidP="00024AAA">
      <w:pPr>
        <w:tabs>
          <w:tab w:val="center" w:pos="2070"/>
        </w:tabs>
        <w:suppressAutoHyphens/>
        <w:spacing w:after="0" w:line="240" w:lineRule="auto"/>
        <w:ind w:firstLine="720"/>
        <w:jc w:val="both"/>
        <w:rPr>
          <w:rFonts w:eastAsia="SimSun" w:cs="Times New Roman"/>
          <w:bCs/>
          <w:sz w:val="22"/>
          <w:lang w:eastAsia="zh-CN"/>
        </w:rPr>
      </w:pPr>
      <w:r w:rsidRPr="00827541">
        <w:rPr>
          <w:rFonts w:eastAsia="SimSun" w:cs="Times New Roman"/>
          <w:bCs/>
          <w:sz w:val="22"/>
          <w:lang w:eastAsia="zh-CN"/>
        </w:rPr>
        <w:t xml:space="preserve">Aukštos įtampos rentgeno spindulių generatoriaus dažnis yra svarbus parametras, nes jis tiesiogiai veikia paciento </w:t>
      </w:r>
      <w:proofErr w:type="spellStart"/>
      <w:r w:rsidRPr="00827541">
        <w:rPr>
          <w:rFonts w:eastAsia="SimSun" w:cs="Times New Roman"/>
          <w:bCs/>
          <w:sz w:val="22"/>
          <w:lang w:eastAsia="zh-CN"/>
        </w:rPr>
        <w:t>apšvitą</w:t>
      </w:r>
      <w:proofErr w:type="spellEnd"/>
      <w:r w:rsidRPr="00827541">
        <w:rPr>
          <w:rFonts w:eastAsia="SimSun" w:cs="Times New Roman"/>
          <w:bCs/>
          <w:sz w:val="22"/>
          <w:lang w:eastAsia="zh-CN"/>
        </w:rPr>
        <w:t xml:space="preserve">. Aukštesnis dažnis reiškia, kad rentgeno spindulių energija pasiskirsto tolygiau ir sparčiau, todėl sumažėja ilgalaikė ekspozicija ir bendra paciento </w:t>
      </w:r>
      <w:proofErr w:type="spellStart"/>
      <w:r w:rsidRPr="00827541">
        <w:rPr>
          <w:rFonts w:eastAsia="SimSun" w:cs="Times New Roman"/>
          <w:bCs/>
          <w:sz w:val="22"/>
          <w:lang w:eastAsia="zh-CN"/>
        </w:rPr>
        <w:t>apšvita</w:t>
      </w:r>
      <w:proofErr w:type="spellEnd"/>
      <w:r w:rsidRPr="00827541">
        <w:rPr>
          <w:rFonts w:eastAsia="SimSun" w:cs="Times New Roman"/>
          <w:bCs/>
          <w:sz w:val="22"/>
          <w:lang w:eastAsia="zh-CN"/>
        </w:rPr>
        <w:t>. Aukšto dažnio generatoriai leidžia pasiekti didesnį vaizdų aiškumą ir detalesnę diagnostiką, nes spinduliuotė tampa labiau kontroliuojama ir tiksliai sureguliuojama.</w:t>
      </w:r>
    </w:p>
    <w:p w:rsidR="00024AAA" w:rsidRPr="00827541" w:rsidRDefault="00024AAA" w:rsidP="00024AAA">
      <w:pPr>
        <w:spacing w:after="0" w:line="240" w:lineRule="auto"/>
        <w:ind w:firstLine="709"/>
        <w:jc w:val="both"/>
        <w:rPr>
          <w:rFonts w:eastAsia="Times New Roman" w:cs="Times New Roman"/>
          <w:sz w:val="22"/>
        </w:rPr>
      </w:pPr>
      <w:r w:rsidRPr="00827541">
        <w:rPr>
          <w:rFonts w:eastAsia="Times New Roman" w:cs="Times New Roman"/>
          <w:bCs/>
          <w:sz w:val="22"/>
        </w:rPr>
        <w:t>Tiekėjo reikalavimas Pirkimą išskaidyti į atskiras dvi pirkimo dalis (</w:t>
      </w:r>
      <w:r w:rsidRPr="00827541">
        <w:rPr>
          <w:rFonts w:eastAsia="Times New Roman" w:cs="Times New Roman"/>
          <w:sz w:val="22"/>
        </w:rPr>
        <w:t xml:space="preserve">Rentgenai – BVPŽ – 33111500 bei Odontologijos įranga – BVPŽ – 33192400) netenkinamas. </w:t>
      </w:r>
    </w:p>
    <w:p w:rsidR="00024AAA" w:rsidRPr="00827541" w:rsidRDefault="00024AAA" w:rsidP="00024AAA">
      <w:pPr>
        <w:spacing w:after="0" w:line="240" w:lineRule="auto"/>
        <w:ind w:firstLine="709"/>
        <w:jc w:val="both"/>
        <w:rPr>
          <w:rFonts w:eastAsia="Times New Roman" w:cs="Times New Roman"/>
          <w:sz w:val="22"/>
        </w:rPr>
      </w:pPr>
      <w:r w:rsidRPr="00827541">
        <w:rPr>
          <w:rFonts w:eastAsia="Times New Roman" w:cs="Times New Roman"/>
          <w:bCs/>
          <w:sz w:val="22"/>
        </w:rPr>
        <w:t xml:space="preserve">Odontologinės įrangos pirkimas vykdomas įgyvendinant Projektą Nr. 09-22-P-0039 „Sveikatos centro sudėtyje teikiamų sveikatos priežiūros paslaugų infrastruktūros modernizavimas Telšių rajone“ (toliau – Projektas). </w:t>
      </w:r>
      <w:r w:rsidRPr="00827541">
        <w:rPr>
          <w:rFonts w:eastAsia="Times New Roman" w:cs="Times New Roman"/>
          <w:sz w:val="22"/>
        </w:rPr>
        <w:t xml:space="preserve">Pirkimas negali būti atliktas dalimis, nes Projekto biudžetas nenumato odontologinės įrangos skaidymo į atskiras dalis. Lėšos skirtos vienai odontologo darbo vietai: odontologinei įrangai, </w:t>
      </w:r>
      <w:proofErr w:type="spellStart"/>
      <w:r w:rsidRPr="00827541">
        <w:rPr>
          <w:rFonts w:eastAsia="Times New Roman" w:cs="Times New Roman"/>
          <w:sz w:val="22"/>
        </w:rPr>
        <w:t>viziografui</w:t>
      </w:r>
      <w:proofErr w:type="spellEnd"/>
      <w:r w:rsidRPr="00827541">
        <w:rPr>
          <w:rFonts w:eastAsia="Times New Roman" w:cs="Times New Roman"/>
          <w:sz w:val="22"/>
        </w:rPr>
        <w:t xml:space="preserve"> ir </w:t>
      </w:r>
      <w:proofErr w:type="spellStart"/>
      <w:r w:rsidRPr="00827541">
        <w:rPr>
          <w:rFonts w:eastAsia="Times New Roman" w:cs="Times New Roman"/>
          <w:sz w:val="22"/>
        </w:rPr>
        <w:t>dentaliniam</w:t>
      </w:r>
      <w:proofErr w:type="spellEnd"/>
      <w:r w:rsidRPr="00827541">
        <w:rPr>
          <w:rFonts w:eastAsia="Times New Roman" w:cs="Times New Roman"/>
          <w:sz w:val="22"/>
        </w:rPr>
        <w:t xml:space="preserve"> rentgenui. </w:t>
      </w:r>
    </w:p>
    <w:p w:rsidR="00024AAA" w:rsidRPr="00827541" w:rsidRDefault="00024AAA" w:rsidP="00024AAA">
      <w:pPr>
        <w:spacing w:after="0" w:line="240" w:lineRule="auto"/>
        <w:ind w:firstLine="709"/>
        <w:jc w:val="both"/>
        <w:rPr>
          <w:rFonts w:eastAsia="Times New Roman" w:cs="Times New Roman"/>
          <w:sz w:val="22"/>
        </w:rPr>
      </w:pPr>
      <w:r w:rsidRPr="00827541">
        <w:rPr>
          <w:rFonts w:eastAsia="Times New Roman" w:cs="Times New Roman"/>
          <w:sz w:val="22"/>
        </w:rPr>
        <w:t xml:space="preserve">Perkančioji organizacija taip pat turi patirties, kad įsigijus susijusią įrangą iš atskirų tiekėjų, aptarnavimo ar gedimo atveju kyla </w:t>
      </w:r>
      <w:proofErr w:type="spellStart"/>
      <w:r w:rsidRPr="00827541">
        <w:rPr>
          <w:rFonts w:eastAsia="Times New Roman" w:cs="Times New Roman"/>
          <w:sz w:val="22"/>
        </w:rPr>
        <w:t>neaiškumų</w:t>
      </w:r>
      <w:proofErr w:type="spellEnd"/>
      <w:r w:rsidRPr="00827541">
        <w:rPr>
          <w:rFonts w:eastAsia="Times New Roman" w:cs="Times New Roman"/>
          <w:sz w:val="22"/>
        </w:rPr>
        <w:t xml:space="preserve"> dėl to, kurio tiekėjo įranga veikia netinkamai.</w:t>
      </w:r>
    </w:p>
    <w:p w:rsidR="00024AAA" w:rsidRPr="00827541" w:rsidRDefault="00024AAA" w:rsidP="00024AAA">
      <w:pPr>
        <w:spacing w:after="0" w:line="240" w:lineRule="auto"/>
        <w:ind w:firstLine="709"/>
        <w:jc w:val="both"/>
        <w:rPr>
          <w:rFonts w:eastAsia="Times New Roman" w:cs="Times New Roman"/>
          <w:sz w:val="22"/>
        </w:rPr>
      </w:pPr>
      <w:r w:rsidRPr="00827541">
        <w:rPr>
          <w:rFonts w:eastAsia="Times New Roman" w:cs="Times New Roman"/>
          <w:sz w:val="22"/>
        </w:rPr>
        <w:t>Be to Įstatymo 28 straipsnio 1 dalyje nustatyta bendroji taisyklė, pagal kurią perkančiosios organizacijos </w:t>
      </w:r>
      <w:r w:rsidRPr="00827541">
        <w:rPr>
          <w:rFonts w:eastAsia="Times New Roman" w:cs="Times New Roman"/>
          <w:i/>
          <w:iCs/>
          <w:sz w:val="22"/>
        </w:rPr>
        <w:t>privalo </w:t>
      </w:r>
      <w:r w:rsidRPr="00827541">
        <w:rPr>
          <w:rFonts w:eastAsia="Times New Roman" w:cs="Times New Roman"/>
          <w:sz w:val="22"/>
        </w:rPr>
        <w:t xml:space="preserve">skaidyti pirkimo objektą į dalis, jeigu viešasis pirkimas yra </w:t>
      </w:r>
      <w:r w:rsidRPr="00827541">
        <w:rPr>
          <w:rFonts w:eastAsia="Times New Roman" w:cs="Times New Roman"/>
          <w:i/>
          <w:iCs/>
          <w:sz w:val="22"/>
        </w:rPr>
        <w:t>tarptautinis</w:t>
      </w:r>
      <w:r w:rsidRPr="00827541">
        <w:rPr>
          <w:rFonts w:eastAsia="Times New Roman" w:cs="Times New Roman"/>
          <w:sz w:val="22"/>
        </w:rPr>
        <w:t>. Šios pareigos gali būti nesilaikoma kai pirkimas atliekamas supaprastintu ar mažos vertės pirkimo būdu.</w:t>
      </w:r>
    </w:p>
    <w:p w:rsidR="00024AAA" w:rsidRPr="00827541" w:rsidRDefault="00024AAA" w:rsidP="00024AAA">
      <w:pPr>
        <w:tabs>
          <w:tab w:val="center" w:pos="2070"/>
        </w:tabs>
        <w:suppressAutoHyphens/>
        <w:spacing w:after="0" w:line="240" w:lineRule="auto"/>
        <w:ind w:firstLine="709"/>
        <w:jc w:val="both"/>
        <w:rPr>
          <w:rFonts w:eastAsia="SimSun" w:cs="Times New Roman"/>
          <w:sz w:val="22"/>
          <w:lang w:eastAsia="zh-CN"/>
        </w:rPr>
      </w:pPr>
      <w:r w:rsidRPr="00827541">
        <w:rPr>
          <w:rFonts w:eastAsia="SimSun" w:cs="Times New Roman"/>
          <w:sz w:val="22"/>
          <w:lang w:eastAsia="zh-CN"/>
        </w:rPr>
        <w:t>Perkančioji organizacija informuoja, kad Tiekėjo pretenzija netenkinama, Pirkimo procedūros tęsiamos toliau.</w:t>
      </w:r>
    </w:p>
    <w:p w:rsidR="00E32BF8" w:rsidRPr="00827541" w:rsidRDefault="00E32BF8" w:rsidP="00024AAA">
      <w:pPr>
        <w:tabs>
          <w:tab w:val="center" w:pos="2070"/>
        </w:tabs>
        <w:suppressAutoHyphens/>
        <w:spacing w:after="0" w:line="240" w:lineRule="auto"/>
        <w:ind w:firstLine="709"/>
        <w:jc w:val="both"/>
        <w:rPr>
          <w:rFonts w:eastAsia="SimSun" w:cs="Times New Roman"/>
          <w:sz w:val="22"/>
          <w:lang w:eastAsia="zh-CN"/>
        </w:rPr>
      </w:pPr>
    </w:p>
    <w:p w:rsidR="00E32BF8" w:rsidRPr="00827541" w:rsidRDefault="00E32BF8" w:rsidP="00E32BF8">
      <w:pPr>
        <w:ind w:firstLine="709"/>
        <w:rPr>
          <w:sz w:val="22"/>
        </w:rPr>
      </w:pPr>
      <w:r w:rsidRPr="00827541">
        <w:rPr>
          <w:sz w:val="22"/>
        </w:rPr>
        <w:t>Komisija perkelia pasiūlymų pateikimo terminą iš 2025-02-27, 10.00 val. į 2025-0</w:t>
      </w:r>
      <w:r w:rsidR="00D32BE8" w:rsidRPr="00827541">
        <w:rPr>
          <w:sz w:val="22"/>
        </w:rPr>
        <w:t>3</w:t>
      </w:r>
      <w:r w:rsidRPr="00827541">
        <w:rPr>
          <w:sz w:val="22"/>
        </w:rPr>
        <w:t>-</w:t>
      </w:r>
      <w:r w:rsidR="00D32BE8" w:rsidRPr="00827541">
        <w:rPr>
          <w:sz w:val="22"/>
        </w:rPr>
        <w:t>03</w:t>
      </w:r>
      <w:r w:rsidRPr="00827541">
        <w:rPr>
          <w:sz w:val="22"/>
        </w:rPr>
        <w:t>, 10.00 val., vokų atplėšimo procedūrą –  iš 2025-02-2</w:t>
      </w:r>
      <w:r w:rsidR="00D32BE8" w:rsidRPr="00827541">
        <w:rPr>
          <w:sz w:val="22"/>
        </w:rPr>
        <w:t>7, 10.30 val.  į 2025-03-03</w:t>
      </w:r>
      <w:r w:rsidRPr="00827541">
        <w:rPr>
          <w:sz w:val="22"/>
        </w:rPr>
        <w:t>, 10.30 val.</w:t>
      </w:r>
    </w:p>
    <w:p w:rsidR="0018136B" w:rsidRPr="00827541" w:rsidRDefault="0018136B">
      <w:pPr>
        <w:rPr>
          <w:sz w:val="22"/>
        </w:rPr>
      </w:pPr>
      <w:bookmarkStart w:id="0" w:name="_GoBack"/>
      <w:bookmarkEnd w:id="0"/>
    </w:p>
    <w:sectPr w:rsidR="0018136B" w:rsidRPr="008275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AAA"/>
    <w:rsid w:val="00024AAA"/>
    <w:rsid w:val="0018136B"/>
    <w:rsid w:val="00827541"/>
    <w:rsid w:val="00D32BE8"/>
    <w:rsid w:val="00E32B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6229"/>
  <w15:chartTrackingRefBased/>
  <w15:docId w15:val="{30D74D7D-D5D0-4723-A4EB-41152A1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2676</Words>
  <Characters>1526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2025-02-21T13:40:00Z</dcterms:created>
  <dcterms:modified xsi:type="dcterms:W3CDTF">2025-02-24T11:42:00Z</dcterms:modified>
</cp:coreProperties>
</file>