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40DCD" w14:textId="09BEF143" w:rsidR="00943747" w:rsidRPr="00943747" w:rsidRDefault="00943747" w:rsidP="00943747">
      <w:pPr>
        <w:pStyle w:val="Stilius5"/>
        <w:spacing w:after="120" w:line="240" w:lineRule="auto"/>
        <w:jc w:val="right"/>
        <w:outlineLvl w:val="0"/>
        <w:rPr>
          <w:b w:val="0"/>
          <w:color w:val="000000" w:themeColor="text1"/>
          <w:sz w:val="24"/>
          <w:szCs w:val="24"/>
        </w:rPr>
      </w:pPr>
      <w:r w:rsidRPr="00943747">
        <w:rPr>
          <w:b w:val="0"/>
          <w:color w:val="000000" w:themeColor="text1"/>
          <w:sz w:val="24"/>
          <w:szCs w:val="24"/>
        </w:rPr>
        <w:t>Pirkimo sąlygų 2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Pr="00943747">
        <w:rPr>
          <w:b w:val="0"/>
          <w:color w:val="000000" w:themeColor="text1"/>
          <w:sz w:val="24"/>
          <w:szCs w:val="24"/>
        </w:rPr>
        <w:t>priedas</w:t>
      </w:r>
    </w:p>
    <w:p w14:paraId="5903C906" w14:textId="2186CC30" w:rsidR="00FE48A6" w:rsidRPr="00EF5240" w:rsidRDefault="00FE48A6" w:rsidP="00FE48A6">
      <w:pPr>
        <w:pStyle w:val="Stilius5"/>
        <w:spacing w:after="120" w:line="240" w:lineRule="auto"/>
        <w:outlineLvl w:val="0"/>
        <w:rPr>
          <w:color w:val="000000" w:themeColor="text1"/>
          <w:sz w:val="24"/>
          <w:szCs w:val="24"/>
        </w:rPr>
      </w:pPr>
      <w:r w:rsidRPr="00EF5240">
        <w:rPr>
          <w:color w:val="000000" w:themeColor="text1"/>
          <w:szCs w:val="24"/>
        </w:rPr>
        <w:t xml:space="preserve">Plungės miesto Kepyklos ir Pievų gatvių rekonstravimo </w:t>
      </w:r>
    </w:p>
    <w:p w14:paraId="0143C03A" w14:textId="77777777" w:rsidR="00FE48A6" w:rsidRPr="00EF5240" w:rsidRDefault="00FE48A6" w:rsidP="00FE48A6">
      <w:pPr>
        <w:pStyle w:val="Stilius5"/>
        <w:spacing w:after="120" w:line="240" w:lineRule="auto"/>
        <w:outlineLvl w:val="0"/>
        <w:rPr>
          <w:color w:val="000000" w:themeColor="text1"/>
          <w:sz w:val="24"/>
          <w:szCs w:val="24"/>
        </w:rPr>
      </w:pPr>
      <w:r w:rsidRPr="00EF5240">
        <w:rPr>
          <w:color w:val="000000" w:themeColor="text1"/>
          <w:sz w:val="24"/>
          <w:szCs w:val="24"/>
        </w:rPr>
        <w:t xml:space="preserve">Veiklų </w:t>
      </w:r>
      <w:r w:rsidR="0016246A">
        <w:rPr>
          <w:color w:val="000000" w:themeColor="text1"/>
          <w:sz w:val="24"/>
          <w:szCs w:val="24"/>
        </w:rPr>
        <w:t>sąrašas</w:t>
      </w:r>
      <w:bookmarkStart w:id="0" w:name="_GoBack"/>
      <w:bookmarkEnd w:id="0"/>
    </w:p>
    <w:tbl>
      <w:tblPr>
        <w:tblStyle w:val="Lentelstinklelis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1843"/>
      </w:tblGrid>
      <w:tr w:rsidR="0016246A" w:rsidRPr="00EF5240" w14:paraId="01D55AE8" w14:textId="77777777" w:rsidTr="00943747">
        <w:trPr>
          <w:trHeight w:val="424"/>
          <w:jc w:val="center"/>
        </w:trPr>
        <w:tc>
          <w:tcPr>
            <w:tcW w:w="562" w:type="dxa"/>
          </w:tcPr>
          <w:p w14:paraId="1F322AC4" w14:textId="7DCEB63B" w:rsidR="0016246A" w:rsidRPr="00EF5240" w:rsidRDefault="00943747" w:rsidP="00943747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6804" w:type="dxa"/>
            <w:vAlign w:val="center"/>
          </w:tcPr>
          <w:p w14:paraId="629F75CC" w14:textId="77777777" w:rsidR="0016246A" w:rsidRPr="00EF5240" w:rsidRDefault="0016246A" w:rsidP="00943747">
            <w:pPr>
              <w:jc w:val="center"/>
              <w:rPr>
                <w:color w:val="000000" w:themeColor="text1"/>
                <w:szCs w:val="24"/>
              </w:rPr>
            </w:pPr>
            <w:r w:rsidRPr="002D1CB1">
              <w:t>Darbų grupių (etapų) pavadinimai</w:t>
            </w:r>
          </w:p>
        </w:tc>
        <w:tc>
          <w:tcPr>
            <w:tcW w:w="1843" w:type="dxa"/>
          </w:tcPr>
          <w:p w14:paraId="1A76FB3A" w14:textId="77777777" w:rsidR="0016246A" w:rsidRPr="00592456" w:rsidRDefault="006F1711" w:rsidP="00943747">
            <w:pPr>
              <w:keepNext/>
              <w:suppressAutoHyphens/>
              <w:jc w:val="center"/>
              <w:outlineLvl w:val="2"/>
            </w:pPr>
            <w:r>
              <w:t xml:space="preserve">Kaina (be </w:t>
            </w:r>
            <w:r w:rsidR="0016246A" w:rsidRPr="00592456">
              <w:t>PVM)</w:t>
            </w:r>
          </w:p>
          <w:p w14:paraId="61908F46" w14:textId="77777777" w:rsidR="0016246A" w:rsidRPr="00EF5240" w:rsidRDefault="0016246A" w:rsidP="00943747">
            <w:pPr>
              <w:autoSpaceDN w:val="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92456">
              <w:t>EUR</w:t>
            </w:r>
          </w:p>
        </w:tc>
      </w:tr>
      <w:tr w:rsidR="0016246A" w:rsidRPr="00EF5240" w14:paraId="1664F03F" w14:textId="77777777" w:rsidTr="00943747">
        <w:trPr>
          <w:trHeight w:val="424"/>
          <w:jc w:val="center"/>
        </w:trPr>
        <w:tc>
          <w:tcPr>
            <w:tcW w:w="562" w:type="dxa"/>
          </w:tcPr>
          <w:p w14:paraId="710D2E06" w14:textId="77777777" w:rsidR="0016246A" w:rsidRPr="00EF5240" w:rsidRDefault="0016246A" w:rsidP="00943747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804" w:type="dxa"/>
            <w:vAlign w:val="bottom"/>
          </w:tcPr>
          <w:p w14:paraId="21ABA1C8" w14:textId="77777777" w:rsidR="0016246A" w:rsidRPr="00EF5240" w:rsidRDefault="0016246A" w:rsidP="00943747">
            <w:pPr>
              <w:rPr>
                <w:color w:val="000000" w:themeColor="text1"/>
                <w:szCs w:val="24"/>
              </w:rPr>
            </w:pPr>
            <w:r w:rsidRPr="00EF5240">
              <w:rPr>
                <w:color w:val="000000" w:themeColor="text1"/>
                <w:szCs w:val="24"/>
              </w:rPr>
              <w:t>Darbo projekto parengimas</w:t>
            </w:r>
          </w:p>
        </w:tc>
        <w:tc>
          <w:tcPr>
            <w:tcW w:w="1843" w:type="dxa"/>
          </w:tcPr>
          <w:p w14:paraId="506A3AF7" w14:textId="77777777" w:rsidR="0016246A" w:rsidRPr="00EF5240" w:rsidRDefault="0016246A" w:rsidP="00943747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2C073537" w14:textId="77777777" w:rsidTr="00943747">
        <w:trPr>
          <w:trHeight w:val="424"/>
          <w:jc w:val="center"/>
        </w:trPr>
        <w:tc>
          <w:tcPr>
            <w:tcW w:w="562" w:type="dxa"/>
          </w:tcPr>
          <w:p w14:paraId="3961648C" w14:textId="77777777" w:rsidR="0016246A" w:rsidRPr="00EF5240" w:rsidRDefault="0016246A" w:rsidP="00943747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804" w:type="dxa"/>
            <w:vAlign w:val="bottom"/>
          </w:tcPr>
          <w:p w14:paraId="685B2985" w14:textId="77777777" w:rsidR="0016246A" w:rsidRPr="00EF5240" w:rsidRDefault="0016246A" w:rsidP="00943747">
            <w:pPr>
              <w:rPr>
                <w:color w:val="000000" w:themeColor="text1"/>
                <w:szCs w:val="24"/>
              </w:rPr>
            </w:pPr>
            <w:r w:rsidRPr="00EF5240">
              <w:rPr>
                <w:color w:val="000000" w:themeColor="text1"/>
                <w:szCs w:val="24"/>
              </w:rPr>
              <w:t>Susisiekimo dalis I etapas</w:t>
            </w:r>
          </w:p>
        </w:tc>
        <w:tc>
          <w:tcPr>
            <w:tcW w:w="1843" w:type="dxa"/>
          </w:tcPr>
          <w:p w14:paraId="0C54CB48" w14:textId="77777777" w:rsidR="0016246A" w:rsidRPr="00EF5240" w:rsidRDefault="0016246A" w:rsidP="00943747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00AEB36E" w14:textId="77777777" w:rsidTr="00943747">
        <w:trPr>
          <w:trHeight w:val="395"/>
          <w:jc w:val="center"/>
        </w:trPr>
        <w:tc>
          <w:tcPr>
            <w:tcW w:w="562" w:type="dxa"/>
          </w:tcPr>
          <w:p w14:paraId="2B915154" w14:textId="77777777" w:rsidR="0016246A" w:rsidRPr="00EF5240" w:rsidRDefault="0016246A" w:rsidP="00943747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804" w:type="dxa"/>
          </w:tcPr>
          <w:p w14:paraId="00E9CEE6" w14:textId="77777777" w:rsidR="0016246A" w:rsidRPr="00EF5240" w:rsidRDefault="0016246A" w:rsidP="00943747">
            <w:pPr>
              <w:rPr>
                <w:color w:val="000000" w:themeColor="text1"/>
              </w:rPr>
            </w:pPr>
            <w:r w:rsidRPr="00EF5240">
              <w:rPr>
                <w:color w:val="000000" w:themeColor="text1"/>
                <w:szCs w:val="24"/>
              </w:rPr>
              <w:t>Susisiekimo dalis II etapas</w:t>
            </w:r>
          </w:p>
        </w:tc>
        <w:tc>
          <w:tcPr>
            <w:tcW w:w="1843" w:type="dxa"/>
          </w:tcPr>
          <w:p w14:paraId="24B2F6B1" w14:textId="77777777" w:rsidR="0016246A" w:rsidRPr="00EF5240" w:rsidRDefault="0016246A" w:rsidP="00943747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3C210B99" w14:textId="77777777" w:rsidTr="00943747">
        <w:trPr>
          <w:trHeight w:val="395"/>
          <w:jc w:val="center"/>
        </w:trPr>
        <w:tc>
          <w:tcPr>
            <w:tcW w:w="562" w:type="dxa"/>
          </w:tcPr>
          <w:p w14:paraId="49263ABF" w14:textId="77777777" w:rsidR="0016246A" w:rsidRPr="00EF5240" w:rsidRDefault="0016246A" w:rsidP="00943747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804" w:type="dxa"/>
          </w:tcPr>
          <w:p w14:paraId="5AA880EC" w14:textId="77777777" w:rsidR="0016246A" w:rsidRPr="00EF5240" w:rsidRDefault="0016246A" w:rsidP="00943747">
            <w:pPr>
              <w:rPr>
                <w:color w:val="000000" w:themeColor="text1"/>
              </w:rPr>
            </w:pPr>
            <w:r w:rsidRPr="00EF5240">
              <w:rPr>
                <w:color w:val="000000" w:themeColor="text1"/>
              </w:rPr>
              <w:t>Nuotekų šalinimo dalis I etapas</w:t>
            </w:r>
          </w:p>
        </w:tc>
        <w:tc>
          <w:tcPr>
            <w:tcW w:w="1843" w:type="dxa"/>
          </w:tcPr>
          <w:p w14:paraId="0D66CF08" w14:textId="77777777" w:rsidR="0016246A" w:rsidRPr="00EF5240" w:rsidRDefault="0016246A" w:rsidP="00943747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235A9CF" w14:textId="77777777" w:rsidTr="00943747">
        <w:trPr>
          <w:trHeight w:val="395"/>
          <w:jc w:val="center"/>
        </w:trPr>
        <w:tc>
          <w:tcPr>
            <w:tcW w:w="562" w:type="dxa"/>
          </w:tcPr>
          <w:p w14:paraId="5AC6AE11" w14:textId="77777777" w:rsidR="0016246A" w:rsidRPr="00EF5240" w:rsidRDefault="0016246A" w:rsidP="00943747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804" w:type="dxa"/>
          </w:tcPr>
          <w:p w14:paraId="1310B8F1" w14:textId="77777777" w:rsidR="0016246A" w:rsidRPr="00EF5240" w:rsidRDefault="0016246A" w:rsidP="00943747">
            <w:pPr>
              <w:rPr>
                <w:color w:val="000000" w:themeColor="text1"/>
              </w:rPr>
            </w:pPr>
            <w:r w:rsidRPr="00EF5240">
              <w:rPr>
                <w:color w:val="000000" w:themeColor="text1"/>
              </w:rPr>
              <w:t>Nuotekų šalinimo dalis II etapas</w:t>
            </w:r>
          </w:p>
        </w:tc>
        <w:tc>
          <w:tcPr>
            <w:tcW w:w="1843" w:type="dxa"/>
          </w:tcPr>
          <w:p w14:paraId="0393A536" w14:textId="77777777" w:rsidR="0016246A" w:rsidRPr="00EF5240" w:rsidRDefault="0016246A" w:rsidP="00943747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A962020" w14:textId="77777777" w:rsidTr="00943747">
        <w:trPr>
          <w:trHeight w:val="395"/>
          <w:jc w:val="center"/>
        </w:trPr>
        <w:tc>
          <w:tcPr>
            <w:tcW w:w="562" w:type="dxa"/>
          </w:tcPr>
          <w:p w14:paraId="6FC055F2" w14:textId="77777777" w:rsidR="0016246A" w:rsidRPr="00EF5240" w:rsidRDefault="0016246A" w:rsidP="00943747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804" w:type="dxa"/>
          </w:tcPr>
          <w:p w14:paraId="40AE0665" w14:textId="77777777" w:rsidR="0016246A" w:rsidRPr="00EF5240" w:rsidRDefault="0016246A" w:rsidP="00943747">
            <w:pPr>
              <w:rPr>
                <w:color w:val="000000" w:themeColor="text1"/>
              </w:rPr>
            </w:pPr>
            <w:r w:rsidRPr="00EF5240">
              <w:rPr>
                <w:color w:val="000000" w:themeColor="text1"/>
              </w:rPr>
              <w:t>Elektrotechnikos. Pašvietimo dalis I etapas</w:t>
            </w:r>
          </w:p>
        </w:tc>
        <w:tc>
          <w:tcPr>
            <w:tcW w:w="1843" w:type="dxa"/>
          </w:tcPr>
          <w:p w14:paraId="6F3836AB" w14:textId="77777777" w:rsidR="0016246A" w:rsidRPr="00EF5240" w:rsidRDefault="0016246A" w:rsidP="00943747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4BD8BC1" w14:textId="77777777" w:rsidTr="00943747">
        <w:trPr>
          <w:trHeight w:val="395"/>
          <w:jc w:val="center"/>
        </w:trPr>
        <w:tc>
          <w:tcPr>
            <w:tcW w:w="562" w:type="dxa"/>
          </w:tcPr>
          <w:p w14:paraId="4C5B5BF1" w14:textId="77777777" w:rsidR="0016246A" w:rsidRPr="00EF5240" w:rsidRDefault="0016246A" w:rsidP="00943747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6804" w:type="dxa"/>
          </w:tcPr>
          <w:p w14:paraId="67E3111A" w14:textId="77777777" w:rsidR="0016246A" w:rsidRPr="00EF5240" w:rsidRDefault="0016246A" w:rsidP="00943747">
            <w:pPr>
              <w:rPr>
                <w:color w:val="000000" w:themeColor="text1"/>
              </w:rPr>
            </w:pPr>
            <w:r w:rsidRPr="00EF5240">
              <w:rPr>
                <w:color w:val="000000" w:themeColor="text1"/>
              </w:rPr>
              <w:t>Elektrotechnikos. Pašvietimo dalis II etapas</w:t>
            </w:r>
          </w:p>
        </w:tc>
        <w:tc>
          <w:tcPr>
            <w:tcW w:w="1843" w:type="dxa"/>
          </w:tcPr>
          <w:p w14:paraId="0D140983" w14:textId="77777777" w:rsidR="0016246A" w:rsidRPr="00EF5240" w:rsidRDefault="0016246A" w:rsidP="00943747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124A279E" w14:textId="77777777" w:rsidTr="00943747">
        <w:trPr>
          <w:trHeight w:val="841"/>
          <w:jc w:val="center"/>
        </w:trPr>
        <w:tc>
          <w:tcPr>
            <w:tcW w:w="562" w:type="dxa"/>
          </w:tcPr>
          <w:p w14:paraId="06A7488D" w14:textId="77777777" w:rsidR="0016246A" w:rsidRPr="00EF5240" w:rsidRDefault="0016246A" w:rsidP="00943747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EF5240">
              <w:rPr>
                <w:bCs/>
                <w:color w:val="000000" w:themeColor="text1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804" w:type="dxa"/>
            <w:hideMark/>
          </w:tcPr>
          <w:p w14:paraId="7051AF33" w14:textId="7E31EDB1" w:rsidR="0016246A" w:rsidRPr="00EF5240" w:rsidRDefault="00A83E4C" w:rsidP="00943747">
            <w:pPr>
              <w:autoSpaceDN w:val="0"/>
              <w:jc w:val="both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A83E4C">
              <w:rPr>
                <w:color w:val="000000" w:themeColor="text1"/>
                <w:szCs w:val="24"/>
              </w:rPr>
              <w:t xml:space="preserve">Kadastrinių matavimų bylos: statinio ir žemės sklypų kadastrinių bylų </w:t>
            </w:r>
            <w:r w:rsidRPr="00A83E4C">
              <w:rPr>
                <w:szCs w:val="24"/>
              </w:rPr>
              <w:t xml:space="preserve">atnaujinimą su VĮ „Registrų centro“ išankstinės patikros išvada pateikimą ir dokumentacijos sukėlimą į IS „Infostatyba“ statybos užbaigimo procedūroms vykdyti taip pat pateikimą Užsakovui Valstybinės teritorijų planavimo ir statybos inspekcijos prie Aplinkos ministerijos statybos užbaigimo deklaracijos ir/ar akto. </w:t>
            </w:r>
          </w:p>
        </w:tc>
        <w:tc>
          <w:tcPr>
            <w:tcW w:w="1843" w:type="dxa"/>
            <w:hideMark/>
          </w:tcPr>
          <w:p w14:paraId="08BB3E1A" w14:textId="77777777" w:rsidR="0016246A" w:rsidRPr="00EF5240" w:rsidRDefault="0016246A" w:rsidP="00943747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55AA182C" w14:textId="77777777" w:rsidTr="00943747">
        <w:trPr>
          <w:trHeight w:val="326"/>
          <w:jc w:val="center"/>
        </w:trPr>
        <w:tc>
          <w:tcPr>
            <w:tcW w:w="562" w:type="dxa"/>
          </w:tcPr>
          <w:p w14:paraId="41DE8668" w14:textId="77777777" w:rsidR="0016246A" w:rsidRPr="00EF5240" w:rsidRDefault="0016246A" w:rsidP="00943747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6804" w:type="dxa"/>
          </w:tcPr>
          <w:p w14:paraId="10D70B7E" w14:textId="77777777" w:rsidR="0016246A" w:rsidRPr="00592456" w:rsidRDefault="0016246A" w:rsidP="00943747">
            <w:pPr>
              <w:keepNext/>
              <w:suppressAutoHyphens/>
              <w:jc w:val="right"/>
              <w:outlineLvl w:val="2"/>
            </w:pPr>
            <w:r w:rsidRPr="00592456">
              <w:t>Suma be PVM</w:t>
            </w:r>
          </w:p>
        </w:tc>
        <w:tc>
          <w:tcPr>
            <w:tcW w:w="1843" w:type="dxa"/>
          </w:tcPr>
          <w:p w14:paraId="24E08DBB" w14:textId="77777777" w:rsidR="0016246A" w:rsidRPr="00EF5240" w:rsidRDefault="0016246A" w:rsidP="00943747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56E65744" w14:textId="77777777" w:rsidTr="00943747">
        <w:trPr>
          <w:trHeight w:val="326"/>
          <w:jc w:val="center"/>
        </w:trPr>
        <w:tc>
          <w:tcPr>
            <w:tcW w:w="562" w:type="dxa"/>
          </w:tcPr>
          <w:p w14:paraId="796E36A2" w14:textId="77777777" w:rsidR="0016246A" w:rsidRPr="00EF5240" w:rsidRDefault="0016246A" w:rsidP="00943747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6804" w:type="dxa"/>
          </w:tcPr>
          <w:p w14:paraId="1432DF36" w14:textId="41CBFAC1" w:rsidR="0016246A" w:rsidRPr="00592456" w:rsidRDefault="0016246A" w:rsidP="00943747">
            <w:pPr>
              <w:keepNext/>
              <w:suppressAutoHyphens/>
              <w:jc w:val="right"/>
              <w:outlineLvl w:val="2"/>
            </w:pPr>
            <w:r w:rsidRPr="00592456">
              <w:t>PVM [</w:t>
            </w:r>
            <w:r w:rsidR="00943747">
              <w:t>EUR</w:t>
            </w:r>
            <w:r w:rsidRPr="00592456">
              <w:t>]</w:t>
            </w:r>
          </w:p>
        </w:tc>
        <w:tc>
          <w:tcPr>
            <w:tcW w:w="1843" w:type="dxa"/>
          </w:tcPr>
          <w:p w14:paraId="7EA9E5EB" w14:textId="77777777" w:rsidR="0016246A" w:rsidRPr="00EF5240" w:rsidRDefault="0016246A" w:rsidP="00943747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6F407D78" w14:textId="77777777" w:rsidTr="00943747">
        <w:trPr>
          <w:trHeight w:val="326"/>
          <w:jc w:val="center"/>
        </w:trPr>
        <w:tc>
          <w:tcPr>
            <w:tcW w:w="562" w:type="dxa"/>
          </w:tcPr>
          <w:p w14:paraId="5DAE9EF2" w14:textId="77777777" w:rsidR="0016246A" w:rsidRPr="00EF5240" w:rsidRDefault="0016246A" w:rsidP="00943747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6804" w:type="dxa"/>
          </w:tcPr>
          <w:p w14:paraId="0F14A28D" w14:textId="77777777" w:rsidR="0016246A" w:rsidRPr="00592456" w:rsidRDefault="0016246A" w:rsidP="00943747">
            <w:pPr>
              <w:keepNext/>
              <w:suppressAutoHyphens/>
              <w:jc w:val="right"/>
              <w:outlineLvl w:val="2"/>
            </w:pPr>
            <w:r w:rsidRPr="00592456">
              <w:t>Bendra suma su PVM</w:t>
            </w:r>
          </w:p>
        </w:tc>
        <w:tc>
          <w:tcPr>
            <w:tcW w:w="1843" w:type="dxa"/>
          </w:tcPr>
          <w:p w14:paraId="25ACBFA2" w14:textId="77777777" w:rsidR="0016246A" w:rsidRPr="00EF5240" w:rsidRDefault="0016246A" w:rsidP="00943747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</w:tbl>
    <w:p w14:paraId="181A59B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95C621D" w14:textId="77777777" w:rsidR="00FE48A6" w:rsidRPr="00EF5240" w:rsidRDefault="00FE48A6" w:rsidP="00FE48A6">
      <w:pPr>
        <w:spacing w:before="200"/>
        <w:jc w:val="both"/>
        <w:rPr>
          <w:b/>
          <w:color w:val="000000" w:themeColor="text1"/>
        </w:rPr>
      </w:pPr>
      <w:r w:rsidRPr="00EF5240">
        <w:rPr>
          <w:b/>
          <w:color w:val="000000" w:themeColor="text1"/>
        </w:rPr>
        <w:t>Pastabos:</w:t>
      </w:r>
    </w:p>
    <w:p w14:paraId="482CCE9F" w14:textId="77777777" w:rsidR="00FE48A6" w:rsidRPr="00EF5240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Reikalinga įsivertinti visus technologiškai būtinus darbus vertinant visą pateiktą konkursinę dokumentaciją iš esmės t.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y., vadovautis Lietuvos Respublikos Statybos įstatymu, galiojančiais Statybos techniniais reglamentais, statybos standartais, rekomendacijomis bei kitais teisės aktais, technine specifikacija, techniniu projektu, projekto dalių techninėmis specifikacijos, aiškinamuoju raštu ir brėžiniais.</w:t>
      </w:r>
    </w:p>
    <w:p w14:paraId="79FF8CAA" w14:textId="77777777" w:rsidR="00FE48A6" w:rsidRPr="00EF5240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Rangovas Darbus vykdys pagal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Darbų grafiką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sąrašą, kuris turi būti parengtas ir suderintas per 5 darbo dienas po sutarties pasirašymo. Įkainotų veiklų (darbų grupių) sąrašą, laimėjęs Rangovas, privalės suderinti su Perkančiąja organizacija. </w:t>
      </w:r>
    </w:p>
    <w:p w14:paraId="14C99FA3" w14:textId="26597B5E" w:rsidR="0023685E" w:rsidRDefault="00FE48A6" w:rsidP="009A485B">
      <w:pPr>
        <w:pStyle w:val="Sraopastraipa"/>
        <w:numPr>
          <w:ilvl w:val="0"/>
          <w:numId w:val="1"/>
        </w:numPr>
        <w:spacing w:after="160" w:line="259" w:lineRule="auto"/>
        <w:jc w:val="both"/>
      </w:pPr>
      <w:r w:rsidRPr="00943747">
        <w:rPr>
          <w:rFonts w:ascii="Times New Roman" w:hAnsi="Times New Roman" w:cs="Times New Roman"/>
          <w:color w:val="000000" w:themeColor="text1"/>
          <w:sz w:val="24"/>
          <w:szCs w:val="24"/>
        </w:rPr>
        <w:t>Darbų vykdymo metu, atsižvelgiant į Sutartyje numatytus atvejus, Įkainotų veiklų (darbų grupių) sąraš</w:t>
      </w:r>
      <w:r w:rsidRPr="0094374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as </w:t>
      </w:r>
      <w:r w:rsidRPr="00943747">
        <w:rPr>
          <w:rFonts w:ascii="Times New Roman" w:hAnsi="Times New Roman" w:cs="Times New Roman"/>
          <w:color w:val="000000" w:themeColor="text1"/>
          <w:sz w:val="24"/>
          <w:szCs w:val="24"/>
        </w:rPr>
        <w:t>gali būti koreguojamas.</w:t>
      </w:r>
    </w:p>
    <w:sectPr w:rsidR="002368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04C4"/>
    <w:multiLevelType w:val="multilevel"/>
    <w:tmpl w:val="78C6BA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825" w:hanging="46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" w15:restartNumberingAfterBreak="0">
    <w:nsid w:val="256A053B"/>
    <w:multiLevelType w:val="hybridMultilevel"/>
    <w:tmpl w:val="783C27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37"/>
    <w:rsid w:val="0016246A"/>
    <w:rsid w:val="0023685E"/>
    <w:rsid w:val="006F1711"/>
    <w:rsid w:val="007E7637"/>
    <w:rsid w:val="00943747"/>
    <w:rsid w:val="00A83E4C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48E2"/>
  <w15:chartTrackingRefBased/>
  <w15:docId w15:val="{F401661C-2922-4004-BCEB-2D1066E3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48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111 Diagrama,Buletai Diagrama,List Paragraph21 Diagrama,List Paragraph2 Diagrama,lp1 Diagrama"/>
    <w:link w:val="Sraopastraipa"/>
    <w:uiPriority w:val="34"/>
    <w:qFormat/>
    <w:locked/>
    <w:rsid w:val="00FE48A6"/>
    <w:rPr>
      <w:rFonts w:ascii="Calibri" w:hAnsi="Calibri"/>
      <w:lang w:val="x-none"/>
    </w:rPr>
  </w:style>
  <w:style w:type="paragraph" w:styleId="Sraopastraipa">
    <w:name w:val="List Paragraph"/>
    <w:aliases w:val="List Paragraph Red,Bullet EY,Numbering,ERP-List Paragraph,List Paragraph11,List Paragraph111,Buletai,List Paragraph21,List Paragraph2,lp1,Bullet 1,Use Case List Paragraph,Sąrašo pastraipa.Bullet,Bullet,Paragraph,Lentele,List Paragraph22"/>
    <w:basedOn w:val="prastasis"/>
    <w:link w:val="SraopastraipaDiagrama"/>
    <w:uiPriority w:val="34"/>
    <w:qFormat/>
    <w:rsid w:val="00FE48A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/>
    </w:rPr>
  </w:style>
  <w:style w:type="paragraph" w:customStyle="1" w:styleId="Stilius5">
    <w:name w:val="Stilius5"/>
    <w:basedOn w:val="prastasis"/>
    <w:qFormat/>
    <w:rsid w:val="00FE48A6"/>
    <w:pPr>
      <w:spacing w:after="200" w:line="276" w:lineRule="auto"/>
      <w:jc w:val="center"/>
    </w:pPr>
    <w:rPr>
      <w:b/>
      <w:sz w:val="28"/>
      <w:szCs w:val="28"/>
    </w:rPr>
  </w:style>
  <w:style w:type="table" w:styleId="Lentelstinklelis">
    <w:name w:val="Table Grid"/>
    <w:basedOn w:val="prastojilentel"/>
    <w:uiPriority w:val="59"/>
    <w:rsid w:val="00FE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A83E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3E4C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3E4C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E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E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Budrys</dc:creator>
  <cp:keywords/>
  <dc:description/>
  <cp:lastModifiedBy>Daiva Jonauskienė</cp:lastModifiedBy>
  <cp:revision>2</cp:revision>
  <dcterms:created xsi:type="dcterms:W3CDTF">2025-02-21T07:55:00Z</dcterms:created>
  <dcterms:modified xsi:type="dcterms:W3CDTF">2025-02-21T07:55:00Z</dcterms:modified>
</cp:coreProperties>
</file>