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5216" w14:textId="488C2F90" w:rsidR="00E9196A" w:rsidRPr="00B108C4" w:rsidRDefault="004A7B2B" w:rsidP="0D3798AD">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910865">
        <w:rPr>
          <w:rFonts w:ascii="Times New Roman" w:hAnsi="Times New Roman" w:cs="Times New Roman"/>
          <w:b/>
          <w:bCs/>
          <w:noProof/>
          <w:color w:val="000000" w:themeColor="text1"/>
          <w:lang w:eastAsia="lt-LT"/>
        </w:rPr>
        <w:t xml:space="preserve">                                   </w:t>
      </w:r>
      <w:r w:rsidR="00CF4CD8">
        <w:rPr>
          <w:rFonts w:ascii="Times New Roman" w:hAnsi="Times New Roman" w:cs="Times New Roman"/>
          <w:b/>
          <w:bCs/>
          <w:noProof/>
          <w:color w:val="000000" w:themeColor="text1"/>
          <w:lang w:eastAsia="lt-LT"/>
        </w:rPr>
        <w:drawing>
          <wp:inline distT="0" distB="0" distL="0" distR="0" wp14:anchorId="32BF8DD1" wp14:editId="4D441952">
            <wp:extent cx="6120765" cy="615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15950"/>
                    </a:xfrm>
                    <a:prstGeom prst="rect">
                      <a:avLst/>
                    </a:prstGeom>
                    <a:noFill/>
                  </pic:spPr>
                </pic:pic>
              </a:graphicData>
            </a:graphic>
          </wp:inline>
        </w:drawing>
      </w:r>
      <w:r w:rsidR="002C000C">
        <w:rPr>
          <w:rFonts w:ascii="Times New Roman" w:hAnsi="Times New Roman" w:cs="Times New Roman"/>
          <w:b/>
          <w:bCs/>
          <w:noProof/>
          <w:color w:val="000000" w:themeColor="text1"/>
          <w:lang w:eastAsia="lt-LT"/>
        </w:rPr>
        <w:t xml:space="preserve">                      </w:t>
      </w:r>
      <w:r>
        <w:rPr>
          <w:rFonts w:ascii="Times New Roman" w:hAnsi="Times New Roman" w:cs="Times New Roman"/>
          <w:b/>
          <w:bCs/>
          <w:noProof/>
          <w:color w:val="000000" w:themeColor="text1"/>
          <w:lang w:eastAsia="lt-LT"/>
        </w:rPr>
        <w:t xml:space="preserve"> </w:t>
      </w:r>
    </w:p>
    <w:p w14:paraId="1498B869" w14:textId="77777777" w:rsidR="004A7B2B"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1CB9188B" w14:textId="439C0F5D" w:rsidR="007E62EE" w:rsidRDefault="000A561E" w:rsidP="007E62EE">
      <w:pPr>
        <w:pStyle w:val="Tekstas"/>
        <w:jc w:val="center"/>
        <w:rPr>
          <w:rFonts w:ascii="Times New Roman" w:hAnsi="Times New Roman" w:cs="Times New Roman"/>
          <w:b/>
          <w:bCs/>
          <w:noProof/>
          <w:color w:val="000000" w:themeColor="text1"/>
          <w:lang w:eastAsia="lt-LT"/>
        </w:rPr>
      </w:pPr>
      <w:r w:rsidRPr="000A561E">
        <w:rPr>
          <w:rFonts w:ascii="Times New Roman" w:hAnsi="Times New Roman" w:cs="Times New Roman"/>
          <w:b/>
          <w:bCs/>
          <w:noProof/>
          <w:color w:val="000000" w:themeColor="text1"/>
          <w:lang w:eastAsia="lt-LT"/>
        </w:rPr>
        <w:t xml:space="preserve">LIETUVOS MOKSLŲ AKADEMIJOS VRUBLEVSKIŲ BIBLIOTEKOS KNYGŲ SAUGYKLOS ŽYGIMANTŲ G 1 VILNIUJE  </w:t>
      </w:r>
      <w:r w:rsidR="00171E35">
        <w:rPr>
          <w:rFonts w:ascii="Times New Roman" w:hAnsi="Times New Roman" w:cs="Times New Roman"/>
          <w:b/>
          <w:bCs/>
          <w:noProof/>
          <w:color w:val="000000" w:themeColor="text1"/>
          <w:lang w:eastAsia="lt-LT"/>
        </w:rPr>
        <w:t>VANDENTIEKIO, NUOTEKŲ, ŠILDYMO, ŠALDYMO I</w:t>
      </w:r>
      <w:r w:rsidR="000D3317">
        <w:rPr>
          <w:rFonts w:ascii="Times New Roman" w:hAnsi="Times New Roman" w:cs="Times New Roman"/>
          <w:b/>
          <w:bCs/>
          <w:noProof/>
          <w:color w:val="000000" w:themeColor="text1"/>
          <w:lang w:eastAsia="lt-LT"/>
        </w:rPr>
        <w:t>R</w:t>
      </w:r>
      <w:r w:rsidR="00171E35">
        <w:rPr>
          <w:rFonts w:ascii="Times New Roman" w:hAnsi="Times New Roman" w:cs="Times New Roman"/>
          <w:b/>
          <w:bCs/>
          <w:noProof/>
          <w:color w:val="000000" w:themeColor="text1"/>
          <w:lang w:eastAsia="lt-LT"/>
        </w:rPr>
        <w:t xml:space="preserve"> VEDINIMO SISTEMŲ APTARNAVIMO</w:t>
      </w:r>
      <w:r w:rsidRPr="000A561E">
        <w:rPr>
          <w:rFonts w:ascii="Times New Roman" w:hAnsi="Times New Roman" w:cs="Times New Roman"/>
          <w:b/>
          <w:bCs/>
          <w:noProof/>
          <w:color w:val="000000" w:themeColor="text1"/>
          <w:lang w:eastAsia="lt-LT"/>
        </w:rPr>
        <w:t xml:space="preserve"> PASLAUG</w:t>
      </w:r>
      <w:r>
        <w:rPr>
          <w:rFonts w:ascii="Times New Roman" w:hAnsi="Times New Roman" w:cs="Times New Roman"/>
          <w:b/>
          <w:bCs/>
          <w:noProof/>
          <w:color w:val="000000" w:themeColor="text1"/>
          <w:lang w:eastAsia="lt-LT"/>
        </w:rPr>
        <w:t>Ų</w:t>
      </w:r>
      <w:r w:rsidRPr="000A561E">
        <w:rPr>
          <w:rFonts w:ascii="Times New Roman" w:hAnsi="Times New Roman" w:cs="Times New Roman"/>
          <w:b/>
          <w:bCs/>
          <w:noProof/>
          <w:color w:val="000000" w:themeColor="text1"/>
          <w:lang w:eastAsia="lt-LT"/>
        </w:rPr>
        <w:t xml:space="preserve"> </w:t>
      </w:r>
      <w:r w:rsidR="007E62EE" w:rsidRPr="007E62EE">
        <w:rPr>
          <w:rFonts w:ascii="Times New Roman" w:hAnsi="Times New Roman" w:cs="Times New Roman"/>
          <w:b/>
          <w:bCs/>
          <w:noProof/>
          <w:color w:val="000000" w:themeColor="text1"/>
          <w:lang w:eastAsia="lt-LT"/>
        </w:rPr>
        <w:t>PIRKIMAS,</w:t>
      </w:r>
      <w:r w:rsidR="007E62EE">
        <w:rPr>
          <w:rFonts w:ascii="Times New Roman" w:hAnsi="Times New Roman" w:cs="Times New Roman"/>
          <w:b/>
          <w:bCs/>
          <w:noProof/>
          <w:color w:val="000000" w:themeColor="text1"/>
          <w:lang w:eastAsia="lt-LT"/>
        </w:rPr>
        <w:t xml:space="preserve"> </w:t>
      </w:r>
      <w:r w:rsidR="007E62EE" w:rsidRPr="007E62EE">
        <w:rPr>
          <w:rFonts w:ascii="Times New Roman" w:hAnsi="Times New Roman" w:cs="Times New Roman"/>
          <w:b/>
          <w:bCs/>
          <w:noProof/>
          <w:color w:val="000000" w:themeColor="text1"/>
          <w:lang w:eastAsia="lt-LT"/>
        </w:rPr>
        <w:t xml:space="preserve"> VYKDOMAS SKELBIAMOS APKLAUSOS BŪDU  </w:t>
      </w:r>
    </w:p>
    <w:p w14:paraId="318CA0B1" w14:textId="60BB0B94" w:rsidR="00942DE2" w:rsidRPr="00B108C4" w:rsidRDefault="004A7B2B" w:rsidP="004A7B2B">
      <w:pPr>
        <w:pStyle w:val="Tekstas"/>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BENDROSIOS </w:t>
      </w:r>
      <w:r w:rsidRPr="004A7B2B">
        <w:rPr>
          <w:rFonts w:ascii="Times New Roman" w:hAnsi="Times New Roman" w:cs="Times New Roman"/>
          <w:b/>
          <w:bCs/>
          <w:noProof/>
          <w:color w:val="000000" w:themeColor="text1"/>
          <w:lang w:eastAsia="lt-LT"/>
        </w:rPr>
        <w:t>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urinys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55064A1C" w:rsidR="000F3262" w:rsidRDefault="000F3262" w:rsidP="005A7D43">
      <w:pPr>
        <w:spacing w:after="0"/>
        <w:jc w:val="both"/>
        <w:rPr>
          <w:rFonts w:ascii="Times New Roman" w:hAnsi="Times New Roman" w:cs="Times New Roman"/>
          <w:color w:val="000000" w:themeColor="text1"/>
          <w:sz w:val="20"/>
          <w:szCs w:val="20"/>
        </w:rPr>
      </w:pPr>
    </w:p>
    <w:p w14:paraId="6D560084" w14:textId="175EBAD2" w:rsidR="000D3317" w:rsidRDefault="000D3317" w:rsidP="005A7D43">
      <w:pPr>
        <w:spacing w:after="0"/>
        <w:jc w:val="both"/>
        <w:rPr>
          <w:rFonts w:ascii="Times New Roman" w:hAnsi="Times New Roman" w:cs="Times New Roman"/>
          <w:color w:val="000000" w:themeColor="text1"/>
          <w:sz w:val="20"/>
          <w:szCs w:val="20"/>
        </w:rPr>
      </w:pPr>
    </w:p>
    <w:p w14:paraId="2831CF4D" w14:textId="19EA7B9E" w:rsidR="000D3317" w:rsidRDefault="000D3317" w:rsidP="005A7D43">
      <w:pPr>
        <w:spacing w:after="0"/>
        <w:jc w:val="both"/>
        <w:rPr>
          <w:rFonts w:ascii="Times New Roman" w:hAnsi="Times New Roman" w:cs="Times New Roman"/>
          <w:color w:val="000000" w:themeColor="text1"/>
          <w:sz w:val="20"/>
          <w:szCs w:val="20"/>
        </w:rPr>
      </w:pPr>
    </w:p>
    <w:p w14:paraId="53950A2E" w14:textId="17B45FE1" w:rsidR="000D3317" w:rsidRDefault="000D3317" w:rsidP="005A7D43">
      <w:pPr>
        <w:spacing w:after="0"/>
        <w:jc w:val="both"/>
        <w:rPr>
          <w:rFonts w:ascii="Times New Roman" w:hAnsi="Times New Roman" w:cs="Times New Roman"/>
          <w:color w:val="000000" w:themeColor="text1"/>
          <w:sz w:val="20"/>
          <w:szCs w:val="20"/>
        </w:rPr>
      </w:pPr>
    </w:p>
    <w:p w14:paraId="7DCEF40E" w14:textId="0775BB92" w:rsidR="000D3317" w:rsidRDefault="000D3317" w:rsidP="005A7D43">
      <w:pPr>
        <w:spacing w:after="0"/>
        <w:jc w:val="both"/>
        <w:rPr>
          <w:rFonts w:ascii="Times New Roman" w:hAnsi="Times New Roman" w:cs="Times New Roman"/>
          <w:color w:val="000000" w:themeColor="text1"/>
          <w:sz w:val="20"/>
          <w:szCs w:val="20"/>
        </w:rPr>
      </w:pPr>
    </w:p>
    <w:p w14:paraId="4AA97487" w14:textId="61E84A7D" w:rsidR="000D3317" w:rsidRDefault="000D3317" w:rsidP="005A7D43">
      <w:pPr>
        <w:spacing w:after="0"/>
        <w:jc w:val="both"/>
        <w:rPr>
          <w:rFonts w:ascii="Times New Roman" w:hAnsi="Times New Roman" w:cs="Times New Roman"/>
          <w:color w:val="000000" w:themeColor="text1"/>
          <w:sz w:val="20"/>
          <w:szCs w:val="20"/>
        </w:rPr>
      </w:pPr>
    </w:p>
    <w:p w14:paraId="277E8962" w14:textId="77777777" w:rsidR="000D3317" w:rsidRDefault="000D3317"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Antrat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lastRenderedPageBreak/>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Lentelstinklelis"/>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2729E9F2" w:rsidR="00F22E01" w:rsidRPr="0005775D" w:rsidRDefault="003C0CDD" w:rsidP="005A7D43">
            <w:pPr>
              <w:spacing w:after="0"/>
              <w:jc w:val="both"/>
              <w:rPr>
                <w:rFonts w:ascii="Times New Roman" w:eastAsia="Times New Roman" w:hAnsi="Times New Roman" w:cs="Times New Roman"/>
                <w:color w:val="000000" w:themeColor="text1"/>
                <w:sz w:val="24"/>
                <w:szCs w:val="24"/>
                <w:lang w:val="lt-LT"/>
              </w:rPr>
            </w:pPr>
            <w:r w:rsidRPr="00676FB6">
              <w:rPr>
                <w:rFonts w:ascii="Times New Roman" w:hAnsi="Times New Roman" w:cs="Times New Roman"/>
                <w:b/>
                <w:bCs/>
                <w:color w:val="000000" w:themeColor="text1"/>
                <w:sz w:val="24"/>
                <w:szCs w:val="24"/>
                <w:lang w:val="lt-LT"/>
              </w:rPr>
              <w:t>Lietuvos mokslų akademijos Vrublevskių biblioteka</w:t>
            </w:r>
            <w:r w:rsidR="008E0172" w:rsidRPr="0005775D">
              <w:rPr>
                <w:rFonts w:ascii="Times New Roman" w:hAnsi="Times New Roman" w:cs="Times New Roman"/>
                <w:color w:val="000000" w:themeColor="text1"/>
                <w:sz w:val="24"/>
                <w:szCs w:val="24"/>
                <w:lang w:val="lt-LT"/>
              </w:rPr>
              <w:t xml:space="preserve">, </w:t>
            </w:r>
            <w:r w:rsidRPr="003C0CDD">
              <w:rPr>
                <w:rFonts w:ascii="Times New Roman" w:hAnsi="Times New Roman" w:cs="Times New Roman"/>
                <w:color w:val="000000" w:themeColor="text1"/>
                <w:sz w:val="24"/>
                <w:szCs w:val="24"/>
                <w:lang w:val="lt-LT"/>
              </w:rPr>
              <w:t>Žygimantų</w:t>
            </w:r>
            <w:r>
              <w:rPr>
                <w:rFonts w:ascii="Times New Roman" w:hAnsi="Times New Roman" w:cs="Times New Roman"/>
                <w:color w:val="000000" w:themeColor="text1"/>
                <w:sz w:val="24"/>
                <w:szCs w:val="24"/>
                <w:lang w:val="lt-LT"/>
              </w:rPr>
              <w:t xml:space="preserve"> g.</w:t>
            </w:r>
            <w:r w:rsidRPr="003C0CDD">
              <w:rPr>
                <w:rFonts w:ascii="Times New Roman" w:hAnsi="Times New Roman" w:cs="Times New Roman"/>
                <w:color w:val="000000" w:themeColor="text1"/>
                <w:sz w:val="24"/>
                <w:szCs w:val="24"/>
                <w:lang w:val="lt-LT"/>
              </w:rPr>
              <w:t xml:space="preserve"> 1, LT-01102 </w:t>
            </w:r>
            <w:r>
              <w:rPr>
                <w:rFonts w:ascii="Times New Roman" w:hAnsi="Times New Roman" w:cs="Times New Roman"/>
                <w:color w:val="000000" w:themeColor="text1"/>
                <w:sz w:val="24"/>
                <w:szCs w:val="24"/>
                <w:lang w:val="lt-LT"/>
              </w:rPr>
              <w:t>Viln</w:t>
            </w:r>
            <w:r w:rsidR="00F22E01" w:rsidRPr="0005775D">
              <w:rPr>
                <w:rFonts w:ascii="Times New Roman" w:hAnsi="Times New Roman" w:cs="Times New Roman"/>
                <w:color w:val="000000" w:themeColor="text1"/>
                <w:sz w:val="24"/>
                <w:szCs w:val="24"/>
                <w:lang w:val="lt-LT"/>
              </w:rPr>
              <w:t>ius, įmonės kodas</w:t>
            </w:r>
            <w:r>
              <w:rPr>
                <w:rFonts w:ascii="Times New Roman" w:hAnsi="Times New Roman" w:cs="Times New Roman"/>
                <w:color w:val="000000" w:themeColor="text1"/>
                <w:sz w:val="24"/>
                <w:szCs w:val="24"/>
                <w:lang w:val="lt-LT"/>
              </w:rPr>
              <w:t xml:space="preserve"> </w:t>
            </w:r>
            <w:r w:rsidRPr="003C0CDD">
              <w:rPr>
                <w:rFonts w:ascii="Times New Roman" w:hAnsi="Times New Roman" w:cs="Times New Roman"/>
                <w:color w:val="000000" w:themeColor="text1"/>
                <w:sz w:val="24"/>
                <w:szCs w:val="24"/>
                <w:lang w:val="lt-LT"/>
              </w:rPr>
              <w:t>191379828</w:t>
            </w:r>
            <w:r w:rsidR="0005775D" w:rsidRPr="0005775D">
              <w:rPr>
                <w:rFonts w:ascii="Times New Roman" w:hAnsi="Times New Roman" w:cs="Times New Roman"/>
                <w:color w:val="000000" w:themeColor="text1"/>
                <w:sz w:val="24"/>
                <w:szCs w:val="24"/>
                <w:lang w:val="lt-LT"/>
              </w:rPr>
              <w:t xml:space="preserve"> </w:t>
            </w:r>
            <w:r w:rsidR="00F22E01" w:rsidRPr="0005775D">
              <w:rPr>
                <w:rFonts w:ascii="Times New Roman" w:hAnsi="Times New Roman" w:cs="Times New Roman"/>
                <w:color w:val="000000" w:themeColor="text1"/>
                <w:sz w:val="24"/>
                <w:szCs w:val="24"/>
                <w:lang w:val="lt-LT"/>
              </w:rPr>
              <w:t xml:space="preserve">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10FF8D4B"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3C0CDD" w:rsidRPr="003C0CDD">
              <w:rPr>
                <w:rFonts w:ascii="Times New Roman" w:eastAsia="Times New Roman" w:hAnsi="Times New Roman" w:cs="Times New Roman"/>
                <w:color w:val="000000" w:themeColor="text1"/>
                <w:sz w:val="24"/>
                <w:szCs w:val="24"/>
                <w:lang w:val="lt-LT"/>
              </w:rPr>
              <w:t>Lietuvos mokslų akademijos Vrublevskių bibliotek</w:t>
            </w:r>
            <w:r w:rsidR="003C0CDD">
              <w:rPr>
                <w:rFonts w:ascii="Times New Roman" w:eastAsia="Times New Roman" w:hAnsi="Times New Roman" w:cs="Times New Roman"/>
                <w:color w:val="000000" w:themeColor="text1"/>
                <w:sz w:val="24"/>
                <w:szCs w:val="24"/>
                <w:lang w:val="lt-LT"/>
              </w:rPr>
              <w:t>os</w:t>
            </w:r>
            <w:r w:rsidRPr="0005775D">
              <w:rPr>
                <w:rFonts w:ascii="Times New Roman" w:eastAsia="Times New Roman" w:hAnsi="Times New Roman" w:cs="Times New Roman"/>
                <w:color w:val="000000" w:themeColor="text1"/>
                <w:sz w:val="24"/>
                <w:szCs w:val="24"/>
                <w:lang w:val="lt-LT"/>
              </w:rPr>
              <w:t xml:space="preserve"> viešųjų pirkimų organizavimo tvarkos aprašu,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01DBD54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Sutartis,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Sraopastraipa"/>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Sraopastraipa"/>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Sraopastraipa"/>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98FA84E" w:rsidR="0051341E" w:rsidRPr="0005775D" w:rsidRDefault="008E744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SPS, Techninėje specifikacijoje ir kitose pateikimuose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Sraopastraipa"/>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2109E797" w14:textId="77777777" w:rsidR="0051341E" w:rsidRPr="0005775D" w:rsidRDefault="0051341E" w:rsidP="005A7D43">
      <w:pPr>
        <w:pStyle w:val="Sraopastraipa"/>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4"/>
          <w:szCs w:val="24"/>
        </w:rPr>
      </w:pPr>
    </w:p>
    <w:p w14:paraId="14063F56" w14:textId="13E0D3ED"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Sraopastraipa"/>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lastRenderedPageBreak/>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Antrat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Antrat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Antrat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w:t>
      </w:r>
      <w:r w:rsidRPr="004429C1">
        <w:rPr>
          <w:rFonts w:ascii="Times New Roman" w:hAnsi="Times New Roman" w:cs="Times New Roman"/>
          <w:color w:val="000000" w:themeColor="text1"/>
          <w:sz w:val="24"/>
          <w:szCs w:val="24"/>
        </w:rPr>
        <w:lastRenderedPageBreak/>
        <w:t>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Sraopastraipa"/>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Antrat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w:t>
      </w:r>
      <w:r w:rsidRPr="004429C1">
        <w:rPr>
          <w:rFonts w:ascii="Times New Roman" w:hAnsi="Times New Roman" w:cs="Times New Roman"/>
          <w:color w:val="000000" w:themeColor="text1"/>
          <w:sz w:val="24"/>
          <w:szCs w:val="24"/>
        </w:rPr>
        <w:lastRenderedPageBreak/>
        <w:t xml:space="preserve">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Sraopastraipa"/>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Sraopastraipa"/>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Antrat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Sraopastraipa"/>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Antrat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350F423D" w14:textId="77777777" w:rsidR="0051341E" w:rsidRPr="004429C1"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4"/>
          <w:szCs w:val="24"/>
        </w:rPr>
      </w:pPr>
    </w:p>
    <w:p w14:paraId="256CE7D1" w14:textId="77777777" w:rsidR="0051341E" w:rsidRPr="004429C1" w:rsidRDefault="008E7440" w:rsidP="00E27E19">
      <w:pPr>
        <w:pStyle w:val="Sraopastraipa"/>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Sraopastraipa"/>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w:t>
      </w:r>
      <w:r w:rsidR="006941E3" w:rsidRPr="004429C1">
        <w:rPr>
          <w:rFonts w:ascii="Times New Roman" w:hAnsi="Times New Roman" w:cs="Times New Roman"/>
          <w:color w:val="000000" w:themeColor="text1"/>
          <w:sz w:val="24"/>
          <w:szCs w:val="24"/>
        </w:rPr>
        <w:lastRenderedPageBreak/>
        <w:t xml:space="preserve">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4983A2C1" w14:textId="740C6150"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lastRenderedPageBreak/>
        <w:t xml:space="preserve">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Sraopastraipa"/>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Sraopastraipa"/>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Sraopastraipa"/>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xml:space="preserve">, t. y. pasiūlymas neatitinka viešojo pirkimo objekto ir be esminių pakeitimų negalėtų patenkinti pirkimo dokumentuose nustatytų </w:t>
      </w:r>
      <w:r w:rsidR="00135070" w:rsidRPr="004429C1">
        <w:rPr>
          <w:rFonts w:ascii="Times New Roman" w:hAnsi="Times New Roman" w:cs="Times New Roman"/>
          <w:color w:val="000000" w:themeColor="text1"/>
          <w:sz w:val="24"/>
          <w:szCs w:val="24"/>
        </w:rPr>
        <w:lastRenderedPageBreak/>
        <w:t>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Sraopastraipa"/>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Sraopastraipa"/>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Sraopastraipa"/>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r>
    </w:tbl>
    <w:p w14:paraId="2F73F677" w14:textId="4D9A587D" w:rsidR="0051341E" w:rsidRPr="004429C1" w:rsidRDefault="00987A69"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Sraopastraipa"/>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7C02FC4F" w:rsidR="0051341E" w:rsidRPr="004429C1" w:rsidRDefault="008E7440" w:rsidP="002C78A4">
      <w:pPr>
        <w:pStyle w:val="Sraopastraipa"/>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Sutartis (Preliminarioji sutartis) bus sudaroma su Laimėjusiu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8108509"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Pasiūlymą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w:t>
      </w:r>
      <w:r w:rsidRPr="00146208">
        <w:rPr>
          <w:rFonts w:ascii="Times New Roman" w:hAnsi="Times New Roman" w:cs="Times New Roman"/>
          <w:color w:val="000000" w:themeColor="text1"/>
          <w:sz w:val="24"/>
          <w:szCs w:val="24"/>
        </w:rPr>
        <w:lastRenderedPageBreak/>
        <w:t>sutartį.</w:t>
      </w:r>
    </w:p>
    <w:p w14:paraId="74E675AB" w14:textId="61DD587E"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Lentelstinklelis"/>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lastRenderedPageBreak/>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w:t>
            </w:r>
            <w:r w:rsidRPr="004429C1">
              <w:rPr>
                <w:rFonts w:ascii="Times New Roman" w:hAnsi="Times New Roman" w:cs="Times New Roman"/>
                <w:color w:val="000000" w:themeColor="text1"/>
                <w:sz w:val="24"/>
                <w:szCs w:val="24"/>
                <w:lang w:val="lt-LT"/>
              </w:rPr>
              <w:lastRenderedPageBreak/>
              <w:t xml:space="preserve">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Pagrindinistekstas"/>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Antrat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Antrat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2B8A9DF1" w:rsidR="00BD7C71" w:rsidRPr="00C11370" w:rsidRDefault="00BD7C71" w:rsidP="00C11370">
      <w:pPr>
        <w:spacing w:before="120" w:after="120"/>
        <w:ind w:left="360" w:right="850"/>
        <w:jc w:val="both"/>
        <w:outlineLvl w:val="1"/>
        <w:rPr>
          <w:rFonts w:ascii="Times New Roman" w:eastAsia="Times New Roman" w:hAnsi="Times New Roman"/>
          <w:color w:val="000000"/>
          <w:sz w:val="24"/>
          <w:szCs w:val="24"/>
          <w:lang w:eastAsia="lt-LT"/>
        </w:rPr>
      </w:pPr>
      <w:r w:rsidRPr="00C11370">
        <w:rPr>
          <w:rFonts w:ascii="Times New Roman" w:eastAsia="Times New Roman" w:hAnsi="Times New Roman"/>
          <w:color w:val="000000"/>
          <w:sz w:val="24"/>
          <w:szCs w:val="24"/>
          <w:lang w:eastAsia="lt-LT"/>
        </w:rPr>
        <w:t xml:space="preserve">15.1. Perkančiosios organizacijos </w:t>
      </w:r>
      <w:r w:rsidR="001329D0" w:rsidRPr="00C11370">
        <w:rPr>
          <w:rFonts w:ascii="Times New Roman" w:eastAsia="Times New Roman" w:hAnsi="Times New Roman"/>
          <w:color w:val="000000"/>
          <w:sz w:val="24"/>
          <w:szCs w:val="24"/>
          <w:lang w:eastAsia="lt-LT"/>
        </w:rPr>
        <w:t>v</w:t>
      </w:r>
      <w:r w:rsidRPr="00C11370">
        <w:rPr>
          <w:rFonts w:ascii="Times New Roman" w:eastAsia="Times New Roman" w:hAnsi="Times New Roman"/>
          <w:color w:val="000000"/>
          <w:sz w:val="24"/>
          <w:szCs w:val="24"/>
          <w:lang w:eastAsia="lt-LT"/>
        </w:rPr>
        <w:t xml:space="preserve">iešųjų pirkimų atsakingi darbuotojai bei kiti pirkimus vykdyti įgalioti </w:t>
      </w:r>
      <w:r w:rsidR="004429C1" w:rsidRPr="00C11370">
        <w:rPr>
          <w:rFonts w:ascii="Times New Roman" w:eastAsia="Times New Roman" w:hAnsi="Times New Roman"/>
          <w:color w:val="000000"/>
          <w:sz w:val="24"/>
          <w:szCs w:val="24"/>
          <w:lang w:eastAsia="lt-LT"/>
        </w:rPr>
        <w:t>Perkančiosios organizacijos</w:t>
      </w:r>
      <w:r w:rsidRPr="00C11370">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6F74949"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14="http://schemas.microsoft.com/office/drawing/2010/main" xmlns:pic="http://schemas.openxmlformats.org/drawingml/2006/picture" xmlns:a="http://schemas.openxmlformats.org/drawingml/2006/main">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9845" w14:textId="77777777" w:rsidR="002E15EE" w:rsidRDefault="002E15EE">
      <w:pPr>
        <w:spacing w:after="0" w:line="240" w:lineRule="auto"/>
      </w:pPr>
      <w:r>
        <w:separator/>
      </w:r>
    </w:p>
  </w:endnote>
  <w:endnote w:type="continuationSeparator" w:id="0">
    <w:p w14:paraId="08B0F127" w14:textId="77777777" w:rsidR="002E15EE" w:rsidRDefault="002E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2D0B" w14:textId="77777777" w:rsidR="002E15EE" w:rsidRDefault="002E15EE">
      <w:pPr>
        <w:spacing w:after="0" w:line="240" w:lineRule="auto"/>
      </w:pPr>
      <w:r>
        <w:separator/>
      </w:r>
    </w:p>
  </w:footnote>
  <w:footnote w:type="continuationSeparator" w:id="0">
    <w:p w14:paraId="4333DA0D" w14:textId="77777777" w:rsidR="002E15EE" w:rsidRDefault="002E1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1275149"/>
    <w:multiLevelType w:val="hybridMultilevel"/>
    <w:tmpl w:val="2BB2C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8"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9"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0"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1"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2"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3"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4"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5"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6"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0"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abstractNumId w:val="9"/>
  </w:num>
  <w:num w:numId="2">
    <w:abstractNumId w:val="11"/>
  </w:num>
  <w:num w:numId="3">
    <w:abstractNumId w:val="19"/>
  </w:num>
  <w:num w:numId="4">
    <w:abstractNumId w:val="17"/>
  </w:num>
  <w:num w:numId="5">
    <w:abstractNumId w:val="14"/>
  </w:num>
  <w:num w:numId="6">
    <w:abstractNumId w:val="0"/>
  </w:num>
  <w:num w:numId="7">
    <w:abstractNumId w:val="12"/>
  </w:num>
  <w:num w:numId="8">
    <w:abstractNumId w:val="20"/>
  </w:num>
  <w:num w:numId="9">
    <w:abstractNumId w:val="2"/>
  </w:num>
  <w:num w:numId="10">
    <w:abstractNumId w:val="10"/>
  </w:num>
  <w:num w:numId="11">
    <w:abstractNumId w:val="1"/>
  </w:num>
  <w:num w:numId="12">
    <w:abstractNumId w:val="18"/>
  </w:num>
  <w:num w:numId="13">
    <w:abstractNumId w:val="13"/>
  </w:num>
  <w:num w:numId="14">
    <w:abstractNumId w:val="6"/>
  </w:num>
  <w:num w:numId="15">
    <w:abstractNumId w:val="7"/>
  </w:num>
  <w:num w:numId="16">
    <w:abstractNumId w:val="16"/>
  </w:num>
  <w:num w:numId="17">
    <w:abstractNumId w:val="15"/>
  </w:num>
  <w:num w:numId="18">
    <w:abstractNumId w:val="4"/>
  </w:num>
  <w:num w:numId="19">
    <w:abstractNumId w:val="8"/>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6243"/>
    <w:rsid w:val="00007320"/>
    <w:rsid w:val="000144D3"/>
    <w:rsid w:val="00020630"/>
    <w:rsid w:val="00046ADE"/>
    <w:rsid w:val="0005775D"/>
    <w:rsid w:val="00095896"/>
    <w:rsid w:val="000A561E"/>
    <w:rsid w:val="000A6BA9"/>
    <w:rsid w:val="000B0740"/>
    <w:rsid w:val="000C5FA7"/>
    <w:rsid w:val="000D3317"/>
    <w:rsid w:val="000E60E2"/>
    <w:rsid w:val="000F3262"/>
    <w:rsid w:val="00106034"/>
    <w:rsid w:val="00111260"/>
    <w:rsid w:val="001171A3"/>
    <w:rsid w:val="001329D0"/>
    <w:rsid w:val="00135070"/>
    <w:rsid w:val="00136D66"/>
    <w:rsid w:val="00146208"/>
    <w:rsid w:val="00154DD9"/>
    <w:rsid w:val="001626DA"/>
    <w:rsid w:val="00171E35"/>
    <w:rsid w:val="00184063"/>
    <w:rsid w:val="001A3109"/>
    <w:rsid w:val="001C07FA"/>
    <w:rsid w:val="001C5695"/>
    <w:rsid w:val="001F3EF5"/>
    <w:rsid w:val="00207A47"/>
    <w:rsid w:val="0023573F"/>
    <w:rsid w:val="00236358"/>
    <w:rsid w:val="00237E6B"/>
    <w:rsid w:val="0027098C"/>
    <w:rsid w:val="00275D26"/>
    <w:rsid w:val="002764DA"/>
    <w:rsid w:val="00277577"/>
    <w:rsid w:val="0029236B"/>
    <w:rsid w:val="0029320C"/>
    <w:rsid w:val="00295053"/>
    <w:rsid w:val="00295B8A"/>
    <w:rsid w:val="002B1E40"/>
    <w:rsid w:val="002C000C"/>
    <w:rsid w:val="002C337D"/>
    <w:rsid w:val="002C78A4"/>
    <w:rsid w:val="002E15EE"/>
    <w:rsid w:val="00316486"/>
    <w:rsid w:val="0033151A"/>
    <w:rsid w:val="00353BA0"/>
    <w:rsid w:val="00364CB4"/>
    <w:rsid w:val="003935BD"/>
    <w:rsid w:val="003A0492"/>
    <w:rsid w:val="003A2B98"/>
    <w:rsid w:val="003C0CDD"/>
    <w:rsid w:val="003D1D92"/>
    <w:rsid w:val="00405773"/>
    <w:rsid w:val="00412A38"/>
    <w:rsid w:val="0044045E"/>
    <w:rsid w:val="004429C1"/>
    <w:rsid w:val="00442BAF"/>
    <w:rsid w:val="00460B81"/>
    <w:rsid w:val="00466838"/>
    <w:rsid w:val="00470A77"/>
    <w:rsid w:val="00471134"/>
    <w:rsid w:val="004A7B2B"/>
    <w:rsid w:val="004C4F5A"/>
    <w:rsid w:val="004D32B8"/>
    <w:rsid w:val="0051043D"/>
    <w:rsid w:val="0051341E"/>
    <w:rsid w:val="005166E0"/>
    <w:rsid w:val="00552FB2"/>
    <w:rsid w:val="005543B6"/>
    <w:rsid w:val="00554BA8"/>
    <w:rsid w:val="00561FD8"/>
    <w:rsid w:val="00564EED"/>
    <w:rsid w:val="005741DC"/>
    <w:rsid w:val="00584F57"/>
    <w:rsid w:val="005A7D43"/>
    <w:rsid w:val="005C402B"/>
    <w:rsid w:val="005D74DE"/>
    <w:rsid w:val="006053F4"/>
    <w:rsid w:val="00607639"/>
    <w:rsid w:val="00611057"/>
    <w:rsid w:val="00620E8E"/>
    <w:rsid w:val="00636D82"/>
    <w:rsid w:val="006470E6"/>
    <w:rsid w:val="00655E01"/>
    <w:rsid w:val="00676FB6"/>
    <w:rsid w:val="00683A35"/>
    <w:rsid w:val="006941E3"/>
    <w:rsid w:val="006B4974"/>
    <w:rsid w:val="006C0F50"/>
    <w:rsid w:val="006D29D3"/>
    <w:rsid w:val="006D41E3"/>
    <w:rsid w:val="006E6552"/>
    <w:rsid w:val="007019E6"/>
    <w:rsid w:val="00713DD9"/>
    <w:rsid w:val="0071620C"/>
    <w:rsid w:val="0071772A"/>
    <w:rsid w:val="007222BD"/>
    <w:rsid w:val="007508B3"/>
    <w:rsid w:val="00793343"/>
    <w:rsid w:val="007A09FE"/>
    <w:rsid w:val="007E19AB"/>
    <w:rsid w:val="007E62EE"/>
    <w:rsid w:val="007F6D7F"/>
    <w:rsid w:val="007F7B00"/>
    <w:rsid w:val="00857F81"/>
    <w:rsid w:val="00860A2F"/>
    <w:rsid w:val="008A7C54"/>
    <w:rsid w:val="008B196B"/>
    <w:rsid w:val="008C0E10"/>
    <w:rsid w:val="008C492B"/>
    <w:rsid w:val="008D2B9A"/>
    <w:rsid w:val="008D6DF0"/>
    <w:rsid w:val="008E0148"/>
    <w:rsid w:val="008E0172"/>
    <w:rsid w:val="008E7440"/>
    <w:rsid w:val="008F2BE5"/>
    <w:rsid w:val="00907066"/>
    <w:rsid w:val="00910865"/>
    <w:rsid w:val="00920C63"/>
    <w:rsid w:val="00942DE2"/>
    <w:rsid w:val="00972512"/>
    <w:rsid w:val="00987A69"/>
    <w:rsid w:val="009C44FF"/>
    <w:rsid w:val="009D253B"/>
    <w:rsid w:val="009D5E99"/>
    <w:rsid w:val="009F1ADB"/>
    <w:rsid w:val="009F290D"/>
    <w:rsid w:val="00A41BF1"/>
    <w:rsid w:val="00A43337"/>
    <w:rsid w:val="00A56588"/>
    <w:rsid w:val="00A625EC"/>
    <w:rsid w:val="00A70934"/>
    <w:rsid w:val="00A73321"/>
    <w:rsid w:val="00A758EE"/>
    <w:rsid w:val="00A87322"/>
    <w:rsid w:val="00A91046"/>
    <w:rsid w:val="00A94E0B"/>
    <w:rsid w:val="00AD65EB"/>
    <w:rsid w:val="00AD759E"/>
    <w:rsid w:val="00AE729D"/>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D7F6B"/>
    <w:rsid w:val="00BF51B6"/>
    <w:rsid w:val="00BF562C"/>
    <w:rsid w:val="00C04E97"/>
    <w:rsid w:val="00C11370"/>
    <w:rsid w:val="00C605B7"/>
    <w:rsid w:val="00C66714"/>
    <w:rsid w:val="00CA0297"/>
    <w:rsid w:val="00CB50B1"/>
    <w:rsid w:val="00CF4CD8"/>
    <w:rsid w:val="00D33A6C"/>
    <w:rsid w:val="00D43FC1"/>
    <w:rsid w:val="00D77520"/>
    <w:rsid w:val="00D85C47"/>
    <w:rsid w:val="00DB7BDC"/>
    <w:rsid w:val="00DC29B3"/>
    <w:rsid w:val="00DE5C62"/>
    <w:rsid w:val="00E01994"/>
    <w:rsid w:val="00E24D18"/>
    <w:rsid w:val="00E27E19"/>
    <w:rsid w:val="00E35043"/>
    <w:rsid w:val="00E678AB"/>
    <w:rsid w:val="00E70891"/>
    <w:rsid w:val="00E75011"/>
    <w:rsid w:val="00E9196A"/>
    <w:rsid w:val="00E93D90"/>
    <w:rsid w:val="00EA42FA"/>
    <w:rsid w:val="00ED0EBA"/>
    <w:rsid w:val="00ED30A6"/>
    <w:rsid w:val="00F03817"/>
    <w:rsid w:val="00F05516"/>
    <w:rsid w:val="00F10755"/>
    <w:rsid w:val="00F22E01"/>
    <w:rsid w:val="00F243D8"/>
    <w:rsid w:val="00F31E89"/>
    <w:rsid w:val="00F4743A"/>
    <w:rsid w:val="00F71534"/>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3.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6688</Words>
  <Characters>38124</Characters>
  <Application>Microsoft Office Word</Application>
  <DocSecurity>0</DocSecurity>
  <Lines>317</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Marina Sedleckienė</cp:lastModifiedBy>
  <cp:revision>37</cp:revision>
  <cp:lastPrinted>2017-03-07T08:30:00Z</cp:lastPrinted>
  <dcterms:created xsi:type="dcterms:W3CDTF">2023-11-27T18:33:00Z</dcterms:created>
  <dcterms:modified xsi:type="dcterms:W3CDTF">2025-02-25T12:31:00Z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