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053EE3" w:rsidRDefault="000E662F" w:rsidP="00BB4DE6">
      <w:pPr>
        <w:ind w:firstLine="0"/>
        <w:jc w:val="center"/>
      </w:pPr>
      <w:r>
        <w:rPr>
          <w:b/>
          <w:caps/>
        </w:rPr>
        <w:t>ausinių</w:t>
      </w:r>
      <w:r w:rsidR="00AA29ED">
        <w:rPr>
          <w:b/>
          <w:caps/>
        </w:rPr>
        <w:t xml:space="preserve"> </w:t>
      </w:r>
      <w:r w:rsidR="003F7745" w:rsidRPr="003F7745">
        <w:rPr>
          <w:b/>
          <w:caps/>
        </w:rPr>
        <w:t>PIRKIM</w:t>
      </w:r>
      <w:r w:rsidR="00BB4DE6">
        <w:rPr>
          <w:b/>
          <w:caps/>
        </w:rPr>
        <w:t>UI</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bookmarkStart w:id="0" w:name="_GoBack"/>
      <w:bookmarkEnd w:id="0"/>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Pr>
                <w:szCs w:val="24"/>
                <w:lang w:eastAsia="lt-LT"/>
              </w:rPr>
              <w:t>Bankas ir banko sąskaitos Nr.</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xml:space="preserve">) ar </w:t>
      </w:r>
      <w:proofErr w:type="spellStart"/>
      <w:r w:rsidRPr="003F7745">
        <w:rPr>
          <w:i/>
          <w:spacing w:val="-4"/>
          <w:szCs w:val="24"/>
        </w:rPr>
        <w:t>subteikėją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xml:space="preserve">) ar </w:t>
            </w:r>
            <w:proofErr w:type="spellStart"/>
            <w:r w:rsidRPr="003F7745">
              <w:rPr>
                <w:i/>
                <w:szCs w:val="24"/>
              </w:rPr>
              <w:t>subteikėją</w:t>
            </w:r>
            <w:proofErr w:type="spellEnd"/>
            <w:r w:rsidRPr="003F7745">
              <w:rPr>
                <w:i/>
                <w:szCs w:val="24"/>
              </w:rPr>
              <w:t xml:space="preserve">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D94AAA">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454" w:type="dxa"/>
        <w:tblLook w:val="04A0" w:firstRow="1" w:lastRow="0" w:firstColumn="1" w:lastColumn="0" w:noHBand="0" w:noVBand="1"/>
      </w:tblPr>
      <w:tblGrid>
        <w:gridCol w:w="570"/>
        <w:gridCol w:w="5804"/>
        <w:gridCol w:w="1134"/>
        <w:gridCol w:w="1701"/>
        <w:gridCol w:w="2552"/>
        <w:gridCol w:w="2693"/>
      </w:tblGrid>
      <w:tr w:rsidR="00A03CED" w:rsidRPr="003F7745" w:rsidTr="00A03CED">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Eil. Nr.</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A03CED">
            <w:pPr>
              <w:tabs>
                <w:tab w:val="left" w:pos="6071"/>
              </w:tabs>
              <w:spacing w:line="259" w:lineRule="auto"/>
              <w:ind w:firstLine="0"/>
              <w:jc w:val="center"/>
              <w:rPr>
                <w:b/>
                <w:szCs w:val="24"/>
                <w:lang w:eastAsia="lt-LT"/>
              </w:rPr>
            </w:pPr>
            <w:r>
              <w:rPr>
                <w:b/>
                <w:szCs w:val="24"/>
                <w:lang w:eastAsia="lt-LT"/>
              </w:rPr>
              <w:t>Numatomas prekių kiekis</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D94AAA" w:rsidP="00A03CED">
            <w:pPr>
              <w:tabs>
                <w:tab w:val="left" w:pos="6071"/>
              </w:tabs>
              <w:spacing w:line="259" w:lineRule="auto"/>
              <w:ind w:firstLine="0"/>
              <w:jc w:val="center"/>
              <w:rPr>
                <w:b/>
                <w:szCs w:val="24"/>
                <w:lang w:eastAsia="lt-LT"/>
              </w:rPr>
            </w:pPr>
            <w:r>
              <w:rPr>
                <w:b/>
                <w:szCs w:val="24"/>
                <w:lang w:eastAsia="lt-LT"/>
              </w:rPr>
              <w:t>K</w:t>
            </w:r>
            <w:r w:rsidR="00A03CED" w:rsidRPr="003F7745">
              <w:rPr>
                <w:b/>
                <w:szCs w:val="24"/>
                <w:lang w:eastAsia="lt-LT"/>
              </w:rPr>
              <w:t>aina</w:t>
            </w:r>
            <w:r w:rsidR="00A03CED">
              <w:rPr>
                <w:b/>
                <w:szCs w:val="24"/>
                <w:lang w:eastAsia="lt-LT"/>
              </w:rPr>
              <w:t xml:space="preserve"> </w:t>
            </w:r>
            <w:proofErr w:type="spellStart"/>
            <w:r w:rsidR="00A03CED">
              <w:rPr>
                <w:b/>
                <w:szCs w:val="24"/>
                <w:lang w:eastAsia="lt-LT"/>
              </w:rPr>
              <w:t>Eur</w:t>
            </w:r>
            <w:proofErr w:type="spellEnd"/>
            <w:r w:rsidR="00A03CED" w:rsidRPr="003F7745">
              <w:rPr>
                <w:b/>
                <w:szCs w:val="24"/>
                <w:lang w:eastAsia="lt-LT"/>
              </w:rPr>
              <w:t xml:space="preserve"> </w:t>
            </w:r>
            <w:r w:rsidR="00A03CED">
              <w:rPr>
                <w:b/>
                <w:szCs w:val="24"/>
                <w:lang w:eastAsia="lt-LT"/>
              </w:rPr>
              <w:t>(be</w:t>
            </w:r>
            <w:r w:rsidR="00A03CED" w:rsidRPr="003F7745">
              <w:rPr>
                <w:b/>
                <w:szCs w:val="24"/>
                <w:lang w:eastAsia="lt-LT"/>
              </w:rPr>
              <w:t xml:space="preserve"> PVM už vieną</w:t>
            </w:r>
            <w:r w:rsidR="00A03CED" w:rsidRPr="003F7745">
              <w:rPr>
                <w:szCs w:val="24"/>
                <w:lang w:eastAsia="lt-LT"/>
              </w:rPr>
              <w:t xml:space="preserve"> </w:t>
            </w:r>
            <w:r w:rsidR="00A03CED" w:rsidRPr="003F7745">
              <w:rPr>
                <w:b/>
                <w:szCs w:val="24"/>
                <w:lang w:eastAsia="lt-LT"/>
              </w:rPr>
              <w:t>vnt.</w:t>
            </w:r>
            <w:r w:rsidR="00A03CED">
              <w:rPr>
                <w:b/>
                <w:szCs w:val="24"/>
                <w:lang w:eastAsia="lt-LT"/>
              </w:rPr>
              <w:t>)</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8920BF" w:rsidRDefault="00A03CED" w:rsidP="00755BF7">
            <w:pPr>
              <w:tabs>
                <w:tab w:val="left" w:pos="6071"/>
              </w:tabs>
              <w:spacing w:line="259" w:lineRule="auto"/>
              <w:ind w:firstLine="0"/>
              <w:jc w:val="center"/>
              <w:rPr>
                <w:b/>
                <w:szCs w:val="24"/>
                <w:lang w:eastAsia="lt-LT"/>
              </w:rPr>
            </w:pPr>
            <w:r>
              <w:rPr>
                <w:b/>
                <w:szCs w:val="24"/>
                <w:lang w:eastAsia="lt-LT"/>
              </w:rPr>
              <w:t>Bendra suma (4x</w:t>
            </w:r>
            <w:r w:rsidRPr="008920BF">
              <w:rPr>
                <w:b/>
                <w:szCs w:val="24"/>
                <w:lang w:eastAsia="lt-LT"/>
              </w:rPr>
              <w:t>5)</w:t>
            </w:r>
          </w:p>
          <w:p w:rsidR="00A03CED" w:rsidRPr="003F7745" w:rsidRDefault="00A03CED" w:rsidP="00755BF7">
            <w:pPr>
              <w:tabs>
                <w:tab w:val="left" w:pos="6071"/>
              </w:tabs>
              <w:spacing w:line="259" w:lineRule="auto"/>
              <w:ind w:firstLine="0"/>
              <w:jc w:val="center"/>
              <w:rPr>
                <w:b/>
                <w:szCs w:val="24"/>
                <w:lang w:eastAsia="lt-LT"/>
              </w:rPr>
            </w:pPr>
            <w:r w:rsidRPr="008920BF">
              <w:rPr>
                <w:b/>
                <w:szCs w:val="24"/>
                <w:lang w:eastAsia="lt-LT"/>
              </w:rPr>
              <w:t>(</w:t>
            </w:r>
            <w:proofErr w:type="spellStart"/>
            <w:r w:rsidRPr="008920BF">
              <w:rPr>
                <w:b/>
                <w:szCs w:val="24"/>
                <w:lang w:eastAsia="lt-LT"/>
              </w:rPr>
              <w:t>Eur</w:t>
            </w:r>
            <w:proofErr w:type="spellEnd"/>
            <w:r w:rsidRPr="008920BF">
              <w:rPr>
                <w:b/>
                <w:szCs w:val="24"/>
                <w:lang w:eastAsia="lt-LT"/>
              </w:rPr>
              <w:t xml:space="preserve"> be PVM)</w:t>
            </w:r>
          </w:p>
        </w:tc>
      </w:tr>
      <w:tr w:rsidR="00A03CED" w:rsidRPr="003F7745" w:rsidTr="00A03CED">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1</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5</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Pr>
                <w:b/>
                <w:szCs w:val="24"/>
                <w:lang w:eastAsia="lt-LT"/>
              </w:rPr>
              <w:t>6</w:t>
            </w:r>
          </w:p>
        </w:tc>
      </w:tr>
      <w:tr w:rsidR="00A03CED" w:rsidRPr="003F7745" w:rsidTr="00A03CED">
        <w:tc>
          <w:tcPr>
            <w:tcW w:w="570"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r w:rsidRPr="003F7745">
              <w:rPr>
                <w:szCs w:val="24"/>
                <w:lang w:eastAsia="lt-LT"/>
              </w:rPr>
              <w:t>1.</w:t>
            </w:r>
          </w:p>
        </w:tc>
        <w:tc>
          <w:tcPr>
            <w:tcW w:w="5804" w:type="dxa"/>
            <w:tcBorders>
              <w:top w:val="single" w:sz="8" w:space="0" w:color="auto"/>
              <w:left w:val="single" w:sz="8" w:space="0" w:color="auto"/>
              <w:bottom w:val="nil"/>
              <w:right w:val="single" w:sz="8" w:space="0" w:color="auto"/>
            </w:tcBorders>
            <w:shd w:val="clear" w:color="auto" w:fill="auto"/>
            <w:vAlign w:val="center"/>
            <w:hideMark/>
          </w:tcPr>
          <w:p w:rsidR="00A03CED" w:rsidRPr="00D37CF9" w:rsidRDefault="000E662F" w:rsidP="00D94AAA">
            <w:pPr>
              <w:ind w:firstLine="0"/>
              <w:jc w:val="center"/>
              <w:rPr>
                <w:color w:val="000000"/>
                <w:szCs w:val="24"/>
              </w:rPr>
            </w:pPr>
            <w:r w:rsidRPr="000E662F">
              <w:rPr>
                <w:b/>
                <w:color w:val="000000"/>
                <w:szCs w:val="24"/>
              </w:rPr>
              <w:t>Aktyvios</w:t>
            </w:r>
            <w:r>
              <w:rPr>
                <w:b/>
                <w:color w:val="000000"/>
                <w:szCs w:val="24"/>
              </w:rPr>
              <w:t xml:space="preserve"> apsauginės</w:t>
            </w:r>
            <w:r w:rsidRPr="000E662F">
              <w:rPr>
                <w:b/>
                <w:color w:val="000000"/>
                <w:szCs w:val="24"/>
              </w:rPr>
              <w:t xml:space="preserve"> ausinės </w:t>
            </w:r>
            <w:r w:rsidR="00A03CED" w:rsidRPr="000313E3">
              <w:rPr>
                <w:color w:val="000000"/>
                <w:szCs w:val="24"/>
              </w:rPr>
              <w:t>(gamintojas, tikslus modelio Nr. ir (ar) pavadinimas)</w:t>
            </w:r>
          </w:p>
        </w:tc>
        <w:tc>
          <w:tcPr>
            <w:tcW w:w="1134" w:type="dxa"/>
            <w:tcBorders>
              <w:top w:val="single" w:sz="4" w:space="0" w:color="auto"/>
              <w:left w:val="nil"/>
              <w:bottom w:val="single" w:sz="4" w:space="0" w:color="auto"/>
              <w:right w:val="single" w:sz="4" w:space="0" w:color="auto"/>
            </w:tcBorders>
            <w:shd w:val="clear" w:color="auto" w:fill="auto"/>
            <w:vAlign w:val="center"/>
          </w:tcPr>
          <w:p w:rsidR="00A03CED" w:rsidRPr="00D37CF9" w:rsidRDefault="00A03CED" w:rsidP="00755BF7">
            <w:pPr>
              <w:ind w:firstLine="0"/>
              <w:jc w:val="center"/>
              <w:rPr>
                <w:color w:val="000000"/>
                <w:szCs w:val="24"/>
              </w:rPr>
            </w:pPr>
            <w:r>
              <w:rPr>
                <w:color w:val="000000"/>
                <w:szCs w:val="24"/>
              </w:rPr>
              <w:t>v</w:t>
            </w:r>
            <w:r w:rsidRPr="00D37CF9">
              <w:rPr>
                <w:color w:val="000000"/>
                <w:szCs w:val="24"/>
              </w:rPr>
              <w:t>nt</w:t>
            </w:r>
            <w:r>
              <w:rPr>
                <w:color w:val="000000"/>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3CED" w:rsidRPr="00D37CF9" w:rsidRDefault="000E662F" w:rsidP="00755BF7">
            <w:pPr>
              <w:ind w:firstLine="0"/>
              <w:jc w:val="center"/>
              <w:rPr>
                <w:color w:val="000000"/>
                <w:szCs w:val="24"/>
              </w:rPr>
            </w:pPr>
            <w:r>
              <w:rPr>
                <w:color w:val="000000"/>
                <w:szCs w:val="24"/>
              </w:rPr>
              <w:t>33</w:t>
            </w:r>
          </w:p>
        </w:tc>
        <w:tc>
          <w:tcPr>
            <w:tcW w:w="2552"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r>
      <w:tr w:rsidR="000E662F" w:rsidRPr="003F7745" w:rsidTr="00A03CED">
        <w:tc>
          <w:tcPr>
            <w:tcW w:w="570" w:type="dxa"/>
            <w:tcBorders>
              <w:top w:val="single" w:sz="4" w:space="0" w:color="auto"/>
              <w:left w:val="single" w:sz="4" w:space="0" w:color="auto"/>
              <w:bottom w:val="single" w:sz="4" w:space="0" w:color="auto"/>
              <w:right w:val="single" w:sz="4" w:space="0" w:color="auto"/>
            </w:tcBorders>
            <w:vAlign w:val="center"/>
          </w:tcPr>
          <w:p w:rsidR="000E662F" w:rsidRPr="003F7745" w:rsidRDefault="000E662F" w:rsidP="00755BF7">
            <w:pPr>
              <w:tabs>
                <w:tab w:val="left" w:pos="6071"/>
              </w:tabs>
              <w:spacing w:line="259" w:lineRule="auto"/>
              <w:ind w:firstLine="0"/>
              <w:jc w:val="center"/>
              <w:rPr>
                <w:szCs w:val="24"/>
                <w:lang w:eastAsia="lt-LT"/>
              </w:rPr>
            </w:pPr>
            <w:r>
              <w:rPr>
                <w:szCs w:val="24"/>
                <w:lang w:eastAsia="lt-LT"/>
              </w:rPr>
              <w:t>2.</w:t>
            </w:r>
          </w:p>
        </w:tc>
        <w:tc>
          <w:tcPr>
            <w:tcW w:w="5804" w:type="dxa"/>
            <w:tcBorders>
              <w:top w:val="single" w:sz="8" w:space="0" w:color="auto"/>
              <w:left w:val="single" w:sz="8" w:space="0" w:color="auto"/>
              <w:bottom w:val="nil"/>
              <w:right w:val="single" w:sz="8" w:space="0" w:color="auto"/>
            </w:tcBorders>
            <w:shd w:val="clear" w:color="auto" w:fill="auto"/>
            <w:vAlign w:val="center"/>
          </w:tcPr>
          <w:p w:rsidR="000E662F" w:rsidRDefault="000E662F" w:rsidP="000E662F">
            <w:pPr>
              <w:ind w:firstLine="0"/>
              <w:jc w:val="center"/>
              <w:rPr>
                <w:b/>
                <w:color w:val="000000"/>
                <w:szCs w:val="24"/>
              </w:rPr>
            </w:pPr>
            <w:r w:rsidRPr="000E662F">
              <w:rPr>
                <w:b/>
                <w:color w:val="000000"/>
                <w:szCs w:val="24"/>
              </w:rPr>
              <w:t>Aviacin</w:t>
            </w:r>
            <w:r>
              <w:rPr>
                <w:b/>
                <w:color w:val="000000"/>
                <w:szCs w:val="24"/>
              </w:rPr>
              <w:t xml:space="preserve">ės ausinės </w:t>
            </w:r>
            <w:r w:rsidRPr="000313E3">
              <w:rPr>
                <w:color w:val="000000"/>
                <w:szCs w:val="24"/>
              </w:rPr>
              <w:t>(gamintojas, tikslus modelio Nr. ir (ar) pavadinimas)</w:t>
            </w:r>
          </w:p>
        </w:tc>
        <w:tc>
          <w:tcPr>
            <w:tcW w:w="1134" w:type="dxa"/>
            <w:tcBorders>
              <w:top w:val="single" w:sz="4" w:space="0" w:color="auto"/>
              <w:left w:val="nil"/>
              <w:bottom w:val="single" w:sz="4" w:space="0" w:color="auto"/>
              <w:right w:val="single" w:sz="4" w:space="0" w:color="auto"/>
            </w:tcBorders>
            <w:shd w:val="clear" w:color="auto" w:fill="auto"/>
            <w:vAlign w:val="center"/>
          </w:tcPr>
          <w:p w:rsidR="000E662F" w:rsidRDefault="000E662F" w:rsidP="00755BF7">
            <w:pPr>
              <w:ind w:firstLine="0"/>
              <w:jc w:val="center"/>
              <w:rPr>
                <w:color w:val="000000"/>
                <w:szCs w:val="24"/>
              </w:rPr>
            </w:pPr>
            <w:r w:rsidRPr="000E662F">
              <w:rPr>
                <w:color w:val="000000"/>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E662F" w:rsidRDefault="000E662F" w:rsidP="00755BF7">
            <w:pPr>
              <w:ind w:firstLine="0"/>
              <w:jc w:val="center"/>
              <w:rPr>
                <w:color w:val="000000"/>
                <w:szCs w:val="24"/>
              </w:rPr>
            </w:pPr>
            <w:r>
              <w:rPr>
                <w:color w:val="000000"/>
                <w:szCs w:val="24"/>
              </w:rPr>
              <w:t>10</w:t>
            </w:r>
          </w:p>
        </w:tc>
        <w:tc>
          <w:tcPr>
            <w:tcW w:w="2552" w:type="dxa"/>
            <w:tcBorders>
              <w:top w:val="single" w:sz="4" w:space="0" w:color="auto"/>
              <w:left w:val="single" w:sz="4" w:space="0" w:color="auto"/>
              <w:bottom w:val="single" w:sz="4" w:space="0" w:color="auto"/>
              <w:right w:val="single" w:sz="4" w:space="0" w:color="auto"/>
            </w:tcBorders>
            <w:vAlign w:val="center"/>
          </w:tcPr>
          <w:p w:rsidR="000E662F" w:rsidRPr="003F7745" w:rsidRDefault="000E662F" w:rsidP="00755BF7">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0E662F" w:rsidRPr="003F7745" w:rsidRDefault="000E662F" w:rsidP="00755BF7">
            <w:pPr>
              <w:tabs>
                <w:tab w:val="left" w:pos="6071"/>
              </w:tabs>
              <w:spacing w:line="259" w:lineRule="auto"/>
              <w:ind w:firstLine="0"/>
              <w:jc w:val="center"/>
              <w:rPr>
                <w:szCs w:val="24"/>
                <w:lang w:eastAsia="lt-LT"/>
              </w:rPr>
            </w:pPr>
          </w:p>
        </w:tc>
      </w:tr>
      <w:tr w:rsidR="00A03CED" w:rsidRPr="003F7745" w:rsidTr="00D94AAA">
        <w:tc>
          <w:tcPr>
            <w:tcW w:w="11761" w:type="dxa"/>
            <w:gridSpan w:val="5"/>
            <w:tcBorders>
              <w:top w:val="single" w:sz="4" w:space="0" w:color="auto"/>
              <w:left w:val="single" w:sz="4" w:space="0" w:color="auto"/>
              <w:bottom w:val="single" w:sz="4" w:space="0" w:color="auto"/>
              <w:right w:val="single" w:sz="4" w:space="0" w:color="auto"/>
            </w:tcBorders>
            <w:vAlign w:val="center"/>
          </w:tcPr>
          <w:p w:rsidR="00A03CED" w:rsidRPr="003F7745" w:rsidRDefault="00A03CED" w:rsidP="00A03CED">
            <w:pPr>
              <w:tabs>
                <w:tab w:val="left" w:pos="6071"/>
              </w:tabs>
              <w:spacing w:line="259" w:lineRule="auto"/>
              <w:ind w:firstLine="0"/>
              <w:jc w:val="right"/>
              <w:rPr>
                <w:szCs w:val="24"/>
                <w:lang w:eastAsia="lt-LT"/>
              </w:rPr>
            </w:pPr>
            <w:r w:rsidRPr="008920BF">
              <w:rPr>
                <w:szCs w:val="24"/>
                <w:lang w:eastAsia="lt-LT"/>
              </w:rPr>
              <w:t>PVM</w:t>
            </w:r>
            <w:r>
              <w:rPr>
                <w:szCs w:val="24"/>
                <w:lang w:eastAsia="lt-LT"/>
              </w:rPr>
              <w:t xml:space="preserve"> suma</w:t>
            </w:r>
            <w:r w:rsidRPr="008920BF">
              <w:rPr>
                <w:szCs w:val="24"/>
                <w:lang w:eastAsia="lt-LT"/>
              </w:rPr>
              <w:t xml:space="preserve"> (</w:t>
            </w:r>
            <w:proofErr w:type="spellStart"/>
            <w:r w:rsidRPr="008920BF">
              <w:rPr>
                <w:szCs w:val="24"/>
                <w:lang w:eastAsia="lt-LT"/>
              </w:rPr>
              <w:t>Eur</w:t>
            </w:r>
            <w:proofErr w:type="spellEnd"/>
            <w:r w:rsidRPr="008920BF">
              <w:rPr>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r>
      <w:tr w:rsidR="00A03CED" w:rsidRPr="003F7745" w:rsidTr="00D94AAA">
        <w:tc>
          <w:tcPr>
            <w:tcW w:w="1176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3CED" w:rsidRPr="00AA29ED" w:rsidRDefault="00A03CED" w:rsidP="00755BF7">
            <w:pPr>
              <w:tabs>
                <w:tab w:val="left" w:pos="6071"/>
              </w:tabs>
              <w:spacing w:line="259" w:lineRule="auto"/>
              <w:ind w:firstLine="0"/>
              <w:jc w:val="right"/>
              <w:rPr>
                <w:b/>
                <w:szCs w:val="24"/>
                <w:lang w:eastAsia="lt-LT"/>
              </w:rPr>
            </w:pPr>
            <w:r w:rsidRPr="00AA29ED">
              <w:rPr>
                <w:b/>
                <w:szCs w:val="24"/>
                <w:lang w:eastAsia="lt-LT"/>
              </w:rPr>
              <w:t>Pasiūlymo kaina (</w:t>
            </w:r>
            <w:proofErr w:type="spellStart"/>
            <w:r w:rsidRPr="00AA29ED">
              <w:rPr>
                <w:b/>
                <w:szCs w:val="24"/>
                <w:lang w:eastAsia="lt-LT"/>
              </w:rPr>
              <w:t>Eur</w:t>
            </w:r>
            <w:proofErr w:type="spellEnd"/>
            <w:r w:rsidRPr="00AA29ED">
              <w:rPr>
                <w:b/>
                <w:szCs w:val="24"/>
                <w:lang w:eastAsia="lt-LT"/>
              </w:rPr>
              <w:t xml:space="preserve"> su PVM)</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3CED" w:rsidRPr="00AA29ED" w:rsidRDefault="00A03CED" w:rsidP="00755BF7">
            <w:pPr>
              <w:tabs>
                <w:tab w:val="left" w:pos="6071"/>
              </w:tabs>
              <w:spacing w:line="259" w:lineRule="auto"/>
              <w:ind w:firstLine="0"/>
              <w:jc w:val="center"/>
              <w:rPr>
                <w:b/>
                <w:szCs w:val="24"/>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BF5C91" w:rsidRDefault="00BF5C91" w:rsidP="00483B0E">
      <w:pPr>
        <w:ind w:firstLine="0"/>
        <w:rPr>
          <w:b/>
          <w:u w:val="single"/>
        </w:rPr>
      </w:pPr>
    </w:p>
    <w:p w:rsidR="007F1502" w:rsidRPr="007F1502" w:rsidRDefault="007F1502" w:rsidP="00483B0E">
      <w:pPr>
        <w:ind w:firstLine="0"/>
        <w:rPr>
          <w:b/>
          <w:u w:val="single"/>
        </w:rPr>
      </w:pPr>
      <w:r w:rsidRPr="007F1502">
        <w:rPr>
          <w:b/>
          <w:u w:val="single"/>
        </w:rPr>
        <w:t>Pastabos:</w:t>
      </w:r>
    </w:p>
    <w:p w:rsidR="007F1502" w:rsidRP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AA29ED">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rsidR="003B37CC" w:rsidRDefault="003B37CC" w:rsidP="007F1502">
      <w:pPr>
        <w:ind w:firstLine="0"/>
        <w:rPr>
          <w:b/>
          <w:i/>
        </w:rPr>
      </w:pPr>
      <w:r>
        <w:rPr>
          <w:b/>
          <w:i/>
        </w:rPr>
        <w:t>*** N</w:t>
      </w:r>
      <w:r w:rsidRPr="003B37CC">
        <w:rPr>
          <w:b/>
          <w:i/>
        </w:rPr>
        <w:t>urodyti kiekiai bei pasiūlymo kaina skirti tik pasiūlymų palyginimui;</w:t>
      </w:r>
    </w:p>
    <w:p w:rsidR="00483B0E" w:rsidRDefault="00483B0E" w:rsidP="007F1502">
      <w:pPr>
        <w:ind w:firstLine="0"/>
        <w:rPr>
          <w:b/>
          <w:i/>
        </w:rPr>
      </w:pPr>
    </w:p>
    <w:p w:rsidR="00483B0E" w:rsidRPr="00483B0E" w:rsidRDefault="00483B0E" w:rsidP="00483B0E">
      <w:pPr>
        <w:widowControl w:val="0"/>
        <w:ind w:firstLine="0"/>
        <w:rPr>
          <w:szCs w:val="24"/>
        </w:rPr>
      </w:pPr>
      <w:r w:rsidRPr="00483B0E">
        <w:rPr>
          <w:rFonts w:eastAsia="Calibri"/>
          <w:szCs w:val="24"/>
        </w:rPr>
        <w:lastRenderedPageBreak/>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3F3793" w:rsidRDefault="003F3793"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CA0EC3" w:rsidRDefault="00CA0EC3"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tbl>
      <w:tblPr>
        <w:tblW w:w="1431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7230"/>
        <w:gridCol w:w="7087"/>
      </w:tblGrid>
      <w:tr w:rsidR="00BB4DE6" w:rsidRPr="004C4851" w:rsidTr="00865AED">
        <w:trPr>
          <w:trHeight w:val="345"/>
        </w:trPr>
        <w:tc>
          <w:tcPr>
            <w:tcW w:w="7230" w:type="dxa"/>
            <w:tcBorders>
              <w:left w:val="single" w:sz="4" w:space="0" w:color="000000"/>
              <w:right w:val="single" w:sz="4" w:space="0" w:color="auto"/>
            </w:tcBorders>
            <w:shd w:val="clear" w:color="auto" w:fill="DEEAF6" w:themeFill="accent1" w:themeFillTint="33"/>
            <w:tcMar>
              <w:top w:w="0" w:type="dxa"/>
              <w:left w:w="98" w:type="dxa"/>
              <w:bottom w:w="0" w:type="dxa"/>
              <w:right w:w="108" w:type="dxa"/>
            </w:tcMar>
            <w:vAlign w:val="center"/>
          </w:tcPr>
          <w:p w:rsidR="00BB4DE6" w:rsidRPr="004C4851" w:rsidRDefault="00BB4DE6" w:rsidP="00F2307C">
            <w:pPr>
              <w:ind w:firstLine="0"/>
              <w:jc w:val="center"/>
              <w:rPr>
                <w:b/>
                <w:color w:val="000000"/>
                <w:szCs w:val="24"/>
                <w:lang w:eastAsia="lt-LT"/>
              </w:rPr>
            </w:pPr>
            <w:r>
              <w:rPr>
                <w:b/>
                <w:bCs/>
                <w:color w:val="000000"/>
                <w:szCs w:val="24"/>
                <w:lang w:eastAsia="lt-LT"/>
              </w:rPr>
              <w:t>Prekių</w:t>
            </w:r>
            <w:r w:rsidRPr="004C4851">
              <w:rPr>
                <w:b/>
                <w:bCs/>
                <w:color w:val="000000"/>
                <w:szCs w:val="24"/>
                <w:lang w:eastAsia="lt-LT"/>
              </w:rPr>
              <w:t xml:space="preserve"> techninės specifikacijos reikalavimai</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4DE6" w:rsidRPr="004C4851" w:rsidRDefault="00BB4DE6" w:rsidP="00F2307C">
            <w:pPr>
              <w:ind w:firstLine="0"/>
              <w:jc w:val="center"/>
              <w:rPr>
                <w:b/>
                <w:color w:val="000000"/>
                <w:szCs w:val="24"/>
                <w:lang w:eastAsia="lt-LT"/>
              </w:rPr>
            </w:pPr>
            <w:r w:rsidRPr="004C4851">
              <w:rPr>
                <w:b/>
                <w:color w:val="000000"/>
                <w:szCs w:val="24"/>
                <w:lang w:eastAsia="lt-LT"/>
              </w:rPr>
              <w:t>Tiekėjas siūlo</w:t>
            </w:r>
          </w:p>
          <w:p w:rsidR="00BB4DE6" w:rsidRPr="00C26C75" w:rsidRDefault="00BB4DE6" w:rsidP="00F2307C">
            <w:pPr>
              <w:ind w:firstLine="0"/>
              <w:jc w:val="center"/>
              <w:rPr>
                <w:i/>
                <w:color w:val="000000"/>
                <w:szCs w:val="24"/>
                <w:lang w:eastAsia="lt-LT"/>
              </w:rPr>
            </w:pPr>
            <w:r w:rsidRPr="00C26C75">
              <w:rPr>
                <w:i/>
                <w:color w:val="000000"/>
                <w:szCs w:val="24"/>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BB4DE6" w:rsidRPr="004C4851" w:rsidTr="00865AED">
        <w:trPr>
          <w:trHeight w:val="167"/>
        </w:trPr>
        <w:tc>
          <w:tcPr>
            <w:tcW w:w="7230" w:type="dxa"/>
            <w:shd w:val="clear" w:color="auto" w:fill="FFFFFF"/>
            <w:tcMar>
              <w:top w:w="0" w:type="dxa"/>
              <w:left w:w="98" w:type="dxa"/>
              <w:bottom w:w="0" w:type="dxa"/>
              <w:right w:w="108" w:type="dxa"/>
            </w:tcMar>
            <w:vAlign w:val="center"/>
          </w:tcPr>
          <w:p w:rsidR="00BB4DE6" w:rsidRPr="004C4851" w:rsidRDefault="000E662F" w:rsidP="002B1550">
            <w:pPr>
              <w:ind w:firstLine="0"/>
              <w:rPr>
                <w:b/>
                <w:bCs/>
                <w:color w:val="000000"/>
                <w:szCs w:val="24"/>
                <w:lang w:eastAsia="lt-LT"/>
              </w:rPr>
            </w:pPr>
            <w:r>
              <w:rPr>
                <w:b/>
                <w:color w:val="000000"/>
                <w:szCs w:val="24"/>
              </w:rPr>
              <w:t xml:space="preserve">1. </w:t>
            </w:r>
            <w:r w:rsidRPr="000E662F">
              <w:rPr>
                <w:b/>
                <w:color w:val="000000"/>
                <w:szCs w:val="24"/>
              </w:rPr>
              <w:t>Aktyvios apsauginės ausinės</w:t>
            </w:r>
          </w:p>
        </w:tc>
        <w:tc>
          <w:tcPr>
            <w:tcW w:w="7087" w:type="dxa"/>
            <w:shd w:val="clear" w:color="auto" w:fill="FFFFFF"/>
          </w:tcPr>
          <w:p w:rsidR="00BB4DE6" w:rsidRPr="00C26C75" w:rsidRDefault="008441AB" w:rsidP="00F2307C">
            <w:pPr>
              <w:ind w:firstLine="0"/>
              <w:rPr>
                <w:color w:val="000000"/>
                <w:szCs w:val="24"/>
                <w:lang w:eastAsia="lt-LT"/>
              </w:rPr>
            </w:pPr>
            <w:r w:rsidRPr="00C26C75">
              <w:rPr>
                <w:i/>
                <w:color w:val="000000"/>
                <w:szCs w:val="24"/>
                <w:lang w:eastAsia="lt-LT"/>
              </w:rPr>
              <w:t>Gamintojas, modelis.</w:t>
            </w:r>
          </w:p>
        </w:tc>
      </w:tr>
      <w:tr w:rsidR="00D94AAA" w:rsidRPr="004C4851" w:rsidTr="00865AED">
        <w:trPr>
          <w:trHeight w:val="167"/>
        </w:trPr>
        <w:tc>
          <w:tcPr>
            <w:tcW w:w="723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0E662F" w:rsidRPr="000E662F" w:rsidRDefault="000E662F" w:rsidP="000E662F">
            <w:pPr>
              <w:ind w:firstLine="0"/>
              <w:rPr>
                <w:color w:val="000000" w:themeColor="text1"/>
                <w:szCs w:val="24"/>
                <w:lang w:eastAsia="ru-RU"/>
              </w:rPr>
            </w:pPr>
            <w:r w:rsidRPr="000E662F">
              <w:rPr>
                <w:color w:val="000000" w:themeColor="text1"/>
                <w:szCs w:val="24"/>
                <w:lang w:eastAsia="lt-LT"/>
              </w:rPr>
              <w:t>1. Aktyvių ausinių techniniai duomenys ir keliami reikalavimai:</w:t>
            </w:r>
          </w:p>
          <w:p w:rsidR="000E662F" w:rsidRPr="000E662F" w:rsidRDefault="000E662F" w:rsidP="000E662F">
            <w:pPr>
              <w:ind w:left="360" w:firstLine="0"/>
              <w:rPr>
                <w:color w:val="000000" w:themeColor="text1"/>
                <w:szCs w:val="24"/>
                <w:lang w:eastAsia="ru-RU"/>
              </w:rPr>
            </w:pPr>
            <w:r w:rsidRPr="000E662F">
              <w:rPr>
                <w:color w:val="000000" w:themeColor="text1"/>
                <w:szCs w:val="24"/>
                <w:lang w:eastAsia="ru-RU"/>
              </w:rPr>
              <w:t xml:space="preserve">1.1 Ausinės skirtos kariniam ir sportiniam šaudymui, su sklandžia, nuo lygio priklausančia funkcija, kuri pašalina staigų garso nutraukimą; </w:t>
            </w:r>
          </w:p>
          <w:p w:rsidR="000E662F" w:rsidRPr="000E662F" w:rsidRDefault="000E662F" w:rsidP="000E662F">
            <w:pPr>
              <w:ind w:firstLine="0"/>
              <w:rPr>
                <w:color w:val="000000" w:themeColor="text1"/>
                <w:szCs w:val="24"/>
                <w:lang w:eastAsia="ru-RU"/>
              </w:rPr>
            </w:pPr>
            <w:r w:rsidRPr="000E662F">
              <w:rPr>
                <w:color w:val="000000" w:themeColor="text1"/>
                <w:szCs w:val="24"/>
                <w:lang w:eastAsia="ru-RU"/>
              </w:rPr>
              <w:t xml:space="preserve">       1.2. Ausinės apsaugančios nuo žalingo staigaus triukšmo (šūvio) </w:t>
            </w:r>
            <w:r w:rsidRPr="000E662F">
              <w:rPr>
                <w:color w:val="000000" w:themeColor="text1"/>
                <w:szCs w:val="24"/>
                <w:shd w:val="clear" w:color="auto" w:fill="FFFFFF"/>
                <w:lang w:eastAsia="lt-LT"/>
              </w:rPr>
              <w:t xml:space="preserve">bei atkerta klausai pavojingus garsus iki saugaus 82 </w:t>
            </w:r>
            <w:proofErr w:type="spellStart"/>
            <w:r w:rsidRPr="000E662F">
              <w:rPr>
                <w:color w:val="000000" w:themeColor="text1"/>
                <w:szCs w:val="24"/>
                <w:shd w:val="clear" w:color="auto" w:fill="FFFFFF"/>
                <w:lang w:eastAsia="lt-LT"/>
              </w:rPr>
              <w:t>dB</w:t>
            </w:r>
            <w:proofErr w:type="spellEnd"/>
            <w:r w:rsidRPr="000E662F">
              <w:rPr>
                <w:color w:val="000000" w:themeColor="text1"/>
                <w:szCs w:val="24"/>
                <w:shd w:val="clear" w:color="auto" w:fill="FFFFFF"/>
                <w:lang w:eastAsia="lt-LT"/>
              </w:rPr>
              <w:t>(A) lygio</w:t>
            </w:r>
            <w:r w:rsidRPr="000E662F">
              <w:rPr>
                <w:color w:val="000000" w:themeColor="text1"/>
                <w:szCs w:val="24"/>
                <w:lang w:eastAsia="ru-RU"/>
              </w:rPr>
              <w:t xml:space="preserve">, praleisdamos ir sustiprindamos aplinkos garsus (leisdamos girdėti instruktoriaus komandas, kai aplink šaudoma, žingsnius, bei kitus aplinkinius garsus); </w:t>
            </w:r>
          </w:p>
          <w:p w:rsidR="000E662F" w:rsidRPr="000E662F" w:rsidRDefault="000E662F" w:rsidP="000E662F">
            <w:pPr>
              <w:ind w:firstLine="0"/>
              <w:rPr>
                <w:color w:val="000000" w:themeColor="text1"/>
                <w:szCs w:val="24"/>
                <w:lang w:eastAsia="ru-RU"/>
              </w:rPr>
            </w:pPr>
            <w:r w:rsidRPr="000E662F">
              <w:rPr>
                <w:color w:val="000000" w:themeColor="text1"/>
                <w:szCs w:val="24"/>
                <w:lang w:eastAsia="ru-RU"/>
              </w:rPr>
              <w:t xml:space="preserve">       1.3. Aktyvios ausinės su vandeniui atspariu baterijų skyriumi (naudojamos </w:t>
            </w:r>
            <w:r w:rsidRPr="000E662F">
              <w:rPr>
                <w:color w:val="000000" w:themeColor="text1"/>
                <w:szCs w:val="24"/>
                <w:shd w:val="clear" w:color="auto" w:fill="FFFFFF"/>
                <w:lang w:eastAsia="lt-LT"/>
              </w:rPr>
              <w:t>2 x AAA baterijos)</w:t>
            </w:r>
            <w:r w:rsidRPr="000E662F">
              <w:rPr>
                <w:color w:val="000000" w:themeColor="text1"/>
                <w:szCs w:val="24"/>
                <w:lang w:eastAsia="ru-RU"/>
              </w:rPr>
              <w:t xml:space="preserve"> ir mikrofonu; </w:t>
            </w:r>
          </w:p>
          <w:p w:rsidR="000E662F" w:rsidRPr="000E662F" w:rsidRDefault="000E662F" w:rsidP="000E662F">
            <w:pPr>
              <w:ind w:firstLine="0"/>
              <w:rPr>
                <w:color w:val="000000" w:themeColor="text1"/>
                <w:szCs w:val="24"/>
                <w:lang w:eastAsia="ru-RU"/>
              </w:rPr>
            </w:pPr>
            <w:r w:rsidRPr="000E662F">
              <w:rPr>
                <w:color w:val="000000" w:themeColor="text1"/>
                <w:szCs w:val="24"/>
                <w:lang w:eastAsia="ru-RU"/>
              </w:rPr>
              <w:t xml:space="preserve">       1.4. Aktyvių ausinių </w:t>
            </w:r>
            <w:r w:rsidRPr="000E662F">
              <w:rPr>
                <w:color w:val="000000" w:themeColor="text1"/>
                <w:szCs w:val="24"/>
                <w:shd w:val="clear" w:color="auto" w:fill="FFFFFF"/>
                <w:lang w:eastAsia="lt-LT"/>
              </w:rPr>
              <w:t xml:space="preserve">versija su metaliniu lankeliu, kuris yra sprando pusėje ir </w:t>
            </w:r>
            <w:proofErr w:type="spellStart"/>
            <w:r w:rsidRPr="000E662F">
              <w:rPr>
                <w:color w:val="000000" w:themeColor="text1"/>
                <w:szCs w:val="24"/>
                <w:shd w:val="clear" w:color="auto" w:fill="FFFFFF"/>
                <w:lang w:eastAsia="lt-LT"/>
              </w:rPr>
              <w:t>Velcro</w:t>
            </w:r>
            <w:proofErr w:type="spellEnd"/>
            <w:r w:rsidRPr="000E662F">
              <w:rPr>
                <w:color w:val="000000" w:themeColor="text1"/>
                <w:szCs w:val="24"/>
                <w:shd w:val="clear" w:color="auto" w:fill="FFFFFF"/>
                <w:lang w:eastAsia="lt-LT"/>
              </w:rPr>
              <w:t xml:space="preserve"> kibiu užsegimu reguliuojamas viršutinis dirželis ypatingi </w:t>
            </w:r>
            <w:r w:rsidRPr="000E662F">
              <w:rPr>
                <w:color w:val="000000" w:themeColor="text1"/>
                <w:szCs w:val="24"/>
                <w:shd w:val="clear" w:color="auto" w:fill="FFFFFF"/>
                <w:lang w:eastAsia="lt-LT"/>
              </w:rPr>
              <w:lastRenderedPageBreak/>
              <w:t>plokščias, todėl leidžia patogiai dėvėti šias ausines po kepure arba bet kokiu universaliu kariniu šalmu</w:t>
            </w:r>
            <w:r w:rsidRPr="000E662F">
              <w:rPr>
                <w:color w:val="000000" w:themeColor="text1"/>
                <w:szCs w:val="24"/>
                <w:lang w:eastAsia="ru-RU"/>
              </w:rPr>
              <w:t>.</w:t>
            </w:r>
            <w:r w:rsidRPr="000E662F">
              <w:rPr>
                <w:rFonts w:eastAsiaTheme="minorHAnsi"/>
                <w:szCs w:val="24"/>
              </w:rPr>
              <w:t xml:space="preserve"> </w:t>
            </w:r>
          </w:p>
          <w:p w:rsidR="00D94AAA" w:rsidRPr="000E662F" w:rsidRDefault="000E662F" w:rsidP="000E662F">
            <w:pPr>
              <w:ind w:firstLine="0"/>
              <w:rPr>
                <w:rFonts w:eastAsiaTheme="minorHAnsi"/>
                <w:szCs w:val="24"/>
              </w:rPr>
            </w:pPr>
            <w:r w:rsidRPr="000E662F">
              <w:rPr>
                <w:rFonts w:eastAsia="Calibri"/>
                <w:szCs w:val="24"/>
              </w:rPr>
              <w:t xml:space="preserve">      1.5 Prekė turi būti nauja ir pristatyta tiekėjo transportu, perkančiosios organizacijos nurodytu adresu.</w:t>
            </w:r>
            <w:r w:rsidRPr="000E662F">
              <w:rPr>
                <w:rFonts w:eastAsiaTheme="minorHAnsi"/>
                <w:szCs w:val="24"/>
              </w:rPr>
              <w:tab/>
            </w:r>
          </w:p>
        </w:tc>
        <w:tc>
          <w:tcPr>
            <w:tcW w:w="7087" w:type="dxa"/>
            <w:shd w:val="clear" w:color="auto" w:fill="FFFFFF"/>
          </w:tcPr>
          <w:p w:rsidR="00D94AAA" w:rsidRPr="00C26C75" w:rsidRDefault="00D94AAA" w:rsidP="00D94AAA">
            <w:pPr>
              <w:ind w:firstLine="0"/>
              <w:rPr>
                <w:color w:val="000000"/>
                <w:szCs w:val="24"/>
                <w:lang w:eastAsia="lt-LT"/>
              </w:rPr>
            </w:pPr>
          </w:p>
        </w:tc>
      </w:tr>
      <w:tr w:rsidR="000E662F" w:rsidRPr="00C26C75" w:rsidTr="007B6338">
        <w:trPr>
          <w:trHeight w:val="167"/>
        </w:trPr>
        <w:tc>
          <w:tcPr>
            <w:tcW w:w="7230" w:type="dxa"/>
            <w:shd w:val="clear" w:color="auto" w:fill="FFFFFF"/>
            <w:tcMar>
              <w:top w:w="0" w:type="dxa"/>
              <w:left w:w="98" w:type="dxa"/>
              <w:bottom w:w="0" w:type="dxa"/>
              <w:right w:w="108" w:type="dxa"/>
            </w:tcMar>
            <w:vAlign w:val="center"/>
          </w:tcPr>
          <w:p w:rsidR="000E662F" w:rsidRPr="000E662F" w:rsidRDefault="000E662F" w:rsidP="007B6338">
            <w:pPr>
              <w:ind w:firstLine="0"/>
              <w:rPr>
                <w:b/>
                <w:bCs/>
                <w:color w:val="000000"/>
                <w:szCs w:val="24"/>
                <w:lang w:eastAsia="lt-LT"/>
              </w:rPr>
            </w:pPr>
            <w:r w:rsidRPr="000E662F">
              <w:rPr>
                <w:b/>
                <w:color w:val="000000"/>
                <w:szCs w:val="24"/>
              </w:rPr>
              <w:t>Aviacinės ausinės</w:t>
            </w:r>
          </w:p>
        </w:tc>
        <w:tc>
          <w:tcPr>
            <w:tcW w:w="7087" w:type="dxa"/>
            <w:shd w:val="clear" w:color="auto" w:fill="FFFFFF"/>
          </w:tcPr>
          <w:p w:rsidR="000E662F" w:rsidRPr="00C26C75" w:rsidRDefault="000E662F" w:rsidP="007B6338">
            <w:pPr>
              <w:ind w:firstLine="0"/>
              <w:rPr>
                <w:color w:val="000000"/>
                <w:szCs w:val="24"/>
                <w:lang w:eastAsia="lt-LT"/>
              </w:rPr>
            </w:pPr>
            <w:r w:rsidRPr="00C26C75">
              <w:rPr>
                <w:i/>
                <w:color w:val="000000"/>
                <w:szCs w:val="24"/>
                <w:lang w:eastAsia="lt-LT"/>
              </w:rPr>
              <w:t>Gamintojas, modelis.</w:t>
            </w:r>
          </w:p>
        </w:tc>
      </w:tr>
      <w:tr w:rsidR="000E662F" w:rsidRPr="00C26C75" w:rsidTr="007B6338">
        <w:trPr>
          <w:trHeight w:val="167"/>
        </w:trPr>
        <w:tc>
          <w:tcPr>
            <w:tcW w:w="723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0E662F" w:rsidRPr="000E662F" w:rsidRDefault="000E662F" w:rsidP="000E662F">
            <w:pPr>
              <w:pStyle w:val="NormalWeb"/>
              <w:shd w:val="clear" w:color="auto" w:fill="FFFFFF"/>
              <w:spacing w:before="0" w:beforeAutospacing="0" w:after="0" w:afterAutospacing="0"/>
              <w:ind w:left="-110"/>
              <w:rPr>
                <w:color w:val="000000" w:themeColor="text1"/>
              </w:rPr>
            </w:pPr>
            <w:r w:rsidRPr="000E662F">
              <w:rPr>
                <w:color w:val="000000" w:themeColor="text1"/>
              </w:rPr>
              <w:t>2. Aviacinių ausinių techniniai duomenys:</w:t>
            </w:r>
          </w:p>
          <w:p w:rsidR="000E662F" w:rsidRPr="000E662F" w:rsidRDefault="000E662F" w:rsidP="000E662F">
            <w:pPr>
              <w:pStyle w:val="NormalWeb"/>
              <w:shd w:val="clear" w:color="auto" w:fill="FFFFFF"/>
              <w:spacing w:before="0" w:beforeAutospacing="0" w:after="0" w:afterAutospacing="0"/>
              <w:ind w:left="-110"/>
              <w:rPr>
                <w:color w:val="000000" w:themeColor="text1"/>
              </w:rPr>
            </w:pPr>
            <w:r w:rsidRPr="000E662F">
              <w:rPr>
                <w:color w:val="000000" w:themeColor="text1"/>
              </w:rPr>
              <w:t xml:space="preserve">        2.1. 26 </w:t>
            </w:r>
            <w:proofErr w:type="spellStart"/>
            <w:r w:rsidRPr="000E662F">
              <w:rPr>
                <w:color w:val="000000" w:themeColor="text1"/>
              </w:rPr>
              <w:t>dB</w:t>
            </w:r>
            <w:proofErr w:type="spellEnd"/>
            <w:r w:rsidRPr="000E662F">
              <w:rPr>
                <w:color w:val="000000" w:themeColor="text1"/>
              </w:rPr>
              <w:t xml:space="preserve"> pasyvus garso slopinimas;</w:t>
            </w:r>
          </w:p>
          <w:p w:rsidR="000E662F" w:rsidRPr="000E662F" w:rsidRDefault="000E662F" w:rsidP="000E662F">
            <w:pPr>
              <w:pStyle w:val="NormalWeb"/>
              <w:shd w:val="clear" w:color="auto" w:fill="FFFFFF"/>
              <w:spacing w:before="0" w:beforeAutospacing="0" w:after="0" w:afterAutospacing="0"/>
              <w:ind w:left="-110"/>
              <w:rPr>
                <w:color w:val="000000" w:themeColor="text1"/>
              </w:rPr>
            </w:pPr>
            <w:r w:rsidRPr="000E662F">
              <w:rPr>
                <w:color w:val="000000" w:themeColor="text1"/>
              </w:rPr>
              <w:t xml:space="preserve">        2.2. Pasirenkamos </w:t>
            </w:r>
            <w:proofErr w:type="spellStart"/>
            <w:r w:rsidRPr="000E662F">
              <w:rPr>
                <w:color w:val="000000" w:themeColor="text1"/>
              </w:rPr>
              <w:t>mono</w:t>
            </w:r>
            <w:proofErr w:type="spellEnd"/>
            <w:r w:rsidRPr="000E662F">
              <w:rPr>
                <w:color w:val="000000" w:themeColor="text1"/>
              </w:rPr>
              <w:t xml:space="preserve"> arba </w:t>
            </w:r>
            <w:proofErr w:type="spellStart"/>
            <w:r w:rsidRPr="000E662F">
              <w:rPr>
                <w:color w:val="000000" w:themeColor="text1"/>
              </w:rPr>
              <w:t>stereo</w:t>
            </w:r>
            <w:proofErr w:type="spellEnd"/>
            <w:r w:rsidRPr="000E662F">
              <w:rPr>
                <w:color w:val="000000" w:themeColor="text1"/>
              </w:rPr>
              <w:t xml:space="preserve"> garso parinktys;</w:t>
            </w:r>
          </w:p>
          <w:p w:rsidR="000E662F" w:rsidRPr="000E662F" w:rsidRDefault="000E662F" w:rsidP="000E662F">
            <w:pPr>
              <w:pStyle w:val="NormalWeb"/>
              <w:shd w:val="clear" w:color="auto" w:fill="FFFFFF"/>
              <w:spacing w:before="0" w:beforeAutospacing="0" w:after="0" w:afterAutospacing="0"/>
              <w:ind w:left="-110"/>
              <w:rPr>
                <w:color w:val="000000" w:themeColor="text1"/>
              </w:rPr>
            </w:pPr>
            <w:r w:rsidRPr="000E662F">
              <w:rPr>
                <w:color w:val="000000" w:themeColor="text1"/>
              </w:rPr>
              <w:t xml:space="preserve">        2.3. dvigubas (skirtingas) garso reguliatorius;</w:t>
            </w:r>
          </w:p>
          <w:p w:rsidR="000E662F" w:rsidRPr="000E662F" w:rsidRDefault="000E662F" w:rsidP="000E662F">
            <w:pPr>
              <w:pStyle w:val="NormalWeb"/>
              <w:shd w:val="clear" w:color="auto" w:fill="FFFFFF"/>
              <w:spacing w:before="0" w:beforeAutospacing="0" w:after="0" w:afterAutospacing="0"/>
              <w:ind w:left="-110"/>
              <w:rPr>
                <w:color w:val="000000" w:themeColor="text1"/>
              </w:rPr>
            </w:pPr>
            <w:r w:rsidRPr="000E662F">
              <w:rPr>
                <w:color w:val="000000" w:themeColor="text1"/>
              </w:rPr>
              <w:t xml:space="preserve">        2.4. aplinkos triukšmo filtravimas;</w:t>
            </w:r>
          </w:p>
          <w:p w:rsidR="000E662F" w:rsidRPr="000E662F" w:rsidRDefault="000E662F" w:rsidP="000E662F">
            <w:pPr>
              <w:pStyle w:val="NormalWeb"/>
              <w:shd w:val="clear" w:color="auto" w:fill="FFFFFF"/>
              <w:spacing w:before="0" w:beforeAutospacing="0" w:after="0" w:afterAutospacing="0"/>
              <w:ind w:left="-110"/>
              <w:rPr>
                <w:color w:val="000000" w:themeColor="text1"/>
              </w:rPr>
            </w:pPr>
            <w:r w:rsidRPr="000E662F">
              <w:rPr>
                <w:color w:val="000000" w:themeColor="text1"/>
              </w:rPr>
              <w:t xml:space="preserve">        2.5. triukšmo slopinamasis elektroninis mikrofonas;</w:t>
            </w:r>
          </w:p>
          <w:p w:rsidR="000E662F" w:rsidRPr="000E662F" w:rsidRDefault="000E662F" w:rsidP="000E662F">
            <w:pPr>
              <w:pStyle w:val="NormalWeb"/>
              <w:shd w:val="clear" w:color="auto" w:fill="FFFFFF"/>
              <w:spacing w:before="0" w:beforeAutospacing="0" w:after="0" w:afterAutospacing="0"/>
              <w:ind w:left="-110"/>
              <w:rPr>
                <w:color w:val="000000" w:themeColor="text1"/>
              </w:rPr>
            </w:pPr>
            <w:r w:rsidRPr="000E662F">
              <w:rPr>
                <w:color w:val="000000" w:themeColor="text1"/>
              </w:rPr>
              <w:t xml:space="preserve">        2.6. svoris 415 g. (+/- 10 g.);</w:t>
            </w:r>
          </w:p>
          <w:p w:rsidR="000E662F" w:rsidRPr="000E662F" w:rsidRDefault="000E662F" w:rsidP="000E662F">
            <w:pPr>
              <w:pStyle w:val="NormalWeb"/>
              <w:shd w:val="clear" w:color="auto" w:fill="FFFFFF"/>
              <w:spacing w:before="0" w:beforeAutospacing="0" w:after="0" w:afterAutospacing="0"/>
              <w:ind w:left="-110"/>
              <w:rPr>
                <w:color w:val="000000" w:themeColor="text1"/>
              </w:rPr>
            </w:pPr>
            <w:r w:rsidRPr="000E662F">
              <w:rPr>
                <w:color w:val="000000" w:themeColor="text1"/>
              </w:rPr>
              <w:t xml:space="preserve">        2.7. mikrofono diapazonas – 300 - 8,000 Hz;</w:t>
            </w:r>
          </w:p>
          <w:p w:rsidR="000E662F" w:rsidRPr="000E662F" w:rsidRDefault="000E662F" w:rsidP="000E662F">
            <w:pPr>
              <w:pStyle w:val="NormalWeb"/>
              <w:shd w:val="clear" w:color="auto" w:fill="FFFFFF"/>
              <w:spacing w:before="0" w:beforeAutospacing="0" w:after="0" w:afterAutospacing="0"/>
              <w:ind w:left="-110"/>
              <w:rPr>
                <w:color w:val="000000" w:themeColor="text1"/>
              </w:rPr>
            </w:pPr>
            <w:r w:rsidRPr="000E662F">
              <w:rPr>
                <w:color w:val="000000" w:themeColor="text1"/>
              </w:rPr>
              <w:t xml:space="preserve">        2.8. mikrofono šaltinio varža – 220 - 2200 </w:t>
            </w:r>
            <w:r w:rsidRPr="000E662F">
              <w:rPr>
                <w:rStyle w:val="Strong"/>
                <w:color w:val="444444"/>
                <w:bdr w:val="none" w:sz="0" w:space="0" w:color="auto" w:frame="1"/>
                <w:shd w:val="clear" w:color="auto" w:fill="FFFFFF"/>
              </w:rPr>
              <w:t>Ω</w:t>
            </w:r>
            <w:r w:rsidRPr="000E662F">
              <w:rPr>
                <w:b/>
                <w:color w:val="000000" w:themeColor="text1"/>
              </w:rPr>
              <w:t>;</w:t>
            </w:r>
          </w:p>
          <w:p w:rsidR="000E662F" w:rsidRPr="000E662F" w:rsidRDefault="000E662F" w:rsidP="000E662F">
            <w:pPr>
              <w:pStyle w:val="NormalWeb"/>
              <w:shd w:val="clear" w:color="auto" w:fill="FFFFFF"/>
              <w:spacing w:before="0" w:beforeAutospacing="0" w:after="0" w:afterAutospacing="0"/>
              <w:ind w:left="-110"/>
              <w:rPr>
                <w:color w:val="000000" w:themeColor="text1"/>
              </w:rPr>
            </w:pPr>
            <w:r w:rsidRPr="000E662F">
              <w:rPr>
                <w:color w:val="000000" w:themeColor="text1"/>
              </w:rPr>
              <w:t xml:space="preserve">        2.9. garsiakalbio varža -  150 </w:t>
            </w:r>
            <w:r w:rsidRPr="000E662F">
              <w:rPr>
                <w:rStyle w:val="Strong"/>
                <w:color w:val="444444"/>
                <w:bdr w:val="none" w:sz="0" w:space="0" w:color="auto" w:frame="1"/>
                <w:shd w:val="clear" w:color="auto" w:fill="FFFFFF"/>
              </w:rPr>
              <w:t>Ω</w:t>
            </w:r>
            <w:r w:rsidRPr="000E662F">
              <w:rPr>
                <w:b/>
                <w:color w:val="000000" w:themeColor="text1"/>
              </w:rPr>
              <w:t xml:space="preserve"> </w:t>
            </w:r>
            <w:r w:rsidRPr="000E662F">
              <w:rPr>
                <w:color w:val="000000" w:themeColor="text1"/>
              </w:rPr>
              <w:t>(</w:t>
            </w:r>
            <w:proofErr w:type="spellStart"/>
            <w:r w:rsidRPr="000E662F">
              <w:rPr>
                <w:color w:val="000000" w:themeColor="text1"/>
              </w:rPr>
              <w:t>mono</w:t>
            </w:r>
            <w:proofErr w:type="spellEnd"/>
            <w:r w:rsidRPr="000E662F">
              <w:rPr>
                <w:color w:val="000000" w:themeColor="text1"/>
              </w:rPr>
              <w:t xml:space="preserve">) 300 </w:t>
            </w:r>
            <w:r w:rsidRPr="000E662F">
              <w:rPr>
                <w:rStyle w:val="Strong"/>
                <w:color w:val="444444"/>
                <w:bdr w:val="none" w:sz="0" w:space="0" w:color="auto" w:frame="1"/>
                <w:shd w:val="clear" w:color="auto" w:fill="FFFFFF"/>
              </w:rPr>
              <w:t>Ω</w:t>
            </w:r>
            <w:r w:rsidRPr="000E662F">
              <w:rPr>
                <w:color w:val="000000" w:themeColor="text1"/>
              </w:rPr>
              <w:t xml:space="preserve"> (</w:t>
            </w:r>
            <w:proofErr w:type="spellStart"/>
            <w:r w:rsidRPr="000E662F">
              <w:rPr>
                <w:color w:val="000000" w:themeColor="text1"/>
              </w:rPr>
              <w:t>stereo</w:t>
            </w:r>
            <w:proofErr w:type="spellEnd"/>
            <w:r w:rsidRPr="000E662F">
              <w:rPr>
                <w:color w:val="000000" w:themeColor="text1"/>
              </w:rPr>
              <w:t>);</w:t>
            </w:r>
          </w:p>
          <w:p w:rsidR="000E662F" w:rsidRPr="000E662F" w:rsidRDefault="000E662F" w:rsidP="000E662F">
            <w:pPr>
              <w:pStyle w:val="NormalWeb"/>
              <w:shd w:val="clear" w:color="auto" w:fill="FFFFFF"/>
              <w:spacing w:before="0" w:beforeAutospacing="0" w:after="0" w:afterAutospacing="0"/>
              <w:ind w:left="-110"/>
              <w:rPr>
                <w:color w:val="000000" w:themeColor="text1"/>
              </w:rPr>
            </w:pPr>
            <w:r w:rsidRPr="000E662F">
              <w:rPr>
                <w:color w:val="000000" w:themeColor="text1"/>
              </w:rPr>
              <w:t xml:space="preserve">        2.10. garsiakalbio diapazonas – 20 - 17000 Hz;</w:t>
            </w:r>
          </w:p>
          <w:p w:rsidR="000E662F" w:rsidRPr="000E662F" w:rsidRDefault="000E662F" w:rsidP="000E662F">
            <w:pPr>
              <w:pStyle w:val="ListParagraph"/>
              <w:tabs>
                <w:tab w:val="left" w:pos="271"/>
                <w:tab w:val="left" w:pos="464"/>
              </w:tabs>
              <w:spacing w:after="0" w:line="240" w:lineRule="auto"/>
              <w:ind w:left="0"/>
              <w:jc w:val="both"/>
            </w:pPr>
            <w:r w:rsidRPr="000E662F">
              <w:rPr>
                <w:color w:val="000000" w:themeColor="text1"/>
              </w:rPr>
              <w:t xml:space="preserve">      </w:t>
            </w:r>
            <w:r w:rsidRPr="000E662F">
              <w:rPr>
                <w:color w:val="000000" w:themeColor="text1"/>
              </w:rPr>
              <w:t>2.11. silikoniniai ausų kištukai</w:t>
            </w:r>
          </w:p>
        </w:tc>
        <w:tc>
          <w:tcPr>
            <w:tcW w:w="7087" w:type="dxa"/>
            <w:shd w:val="clear" w:color="auto" w:fill="FFFFFF"/>
          </w:tcPr>
          <w:p w:rsidR="000E662F" w:rsidRPr="00C26C75" w:rsidRDefault="000E662F" w:rsidP="007B6338">
            <w:pPr>
              <w:ind w:firstLine="0"/>
              <w:rPr>
                <w:color w:val="000000"/>
                <w:szCs w:val="24"/>
                <w:lang w:eastAsia="lt-LT"/>
              </w:rPr>
            </w:pPr>
          </w:p>
        </w:tc>
      </w:tr>
    </w:tbl>
    <w:p w:rsidR="00BB4DE6" w:rsidRDefault="00BB4DE6"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8F7D79" w:rsidRDefault="008F7D79" w:rsidP="00BF3559">
      <w:pPr>
        <w:ind w:right="284"/>
      </w:pPr>
    </w:p>
    <w:p w:rsidR="00163EF3" w:rsidRPr="008F3AC6" w:rsidRDefault="00163EF3" w:rsidP="008F3AC6">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8F3AC6" w:rsidSect="00D94AAA">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AE8" w:rsidRDefault="00FC5AE8">
      <w:r>
        <w:separator/>
      </w:r>
    </w:p>
  </w:endnote>
  <w:endnote w:type="continuationSeparator" w:id="0">
    <w:p w:rsidR="00FC5AE8" w:rsidRDefault="00F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AE8" w:rsidRDefault="00FC5AE8">
      <w:r>
        <w:separator/>
      </w:r>
    </w:p>
  </w:footnote>
  <w:footnote w:type="continuationSeparator" w:id="0">
    <w:p w:rsidR="00FC5AE8" w:rsidRDefault="00F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662F">
      <w:rPr>
        <w:rStyle w:val="PageNumber"/>
      </w:rPr>
      <w:t>5</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1"/>
  </w:num>
  <w:num w:numId="3">
    <w:abstractNumId w:val="14"/>
  </w:num>
  <w:num w:numId="4">
    <w:abstractNumId w:val="10"/>
  </w:num>
  <w:num w:numId="5">
    <w:abstractNumId w:val="9"/>
  </w:num>
  <w:num w:numId="6">
    <w:abstractNumId w:val="12"/>
  </w:num>
  <w:num w:numId="7">
    <w:abstractNumId w:val="4"/>
  </w:num>
  <w:num w:numId="8">
    <w:abstractNumId w:val="0"/>
  </w:num>
  <w:num w:numId="9">
    <w:abstractNumId w:val="3"/>
  </w:num>
  <w:num w:numId="10">
    <w:abstractNumId w:val="7"/>
  </w:num>
  <w:num w:numId="11">
    <w:abstractNumId w:val="2"/>
  </w:num>
  <w:num w:numId="12">
    <w:abstractNumId w:val="5"/>
  </w:num>
  <w:num w:numId="13">
    <w:abstractNumId w:val="8"/>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2EFF"/>
    <w:rsid w:val="0009518A"/>
    <w:rsid w:val="000A58AE"/>
    <w:rsid w:val="000B1B20"/>
    <w:rsid w:val="000B776D"/>
    <w:rsid w:val="000C2588"/>
    <w:rsid w:val="000E14C9"/>
    <w:rsid w:val="000E2B61"/>
    <w:rsid w:val="000E662F"/>
    <w:rsid w:val="00112439"/>
    <w:rsid w:val="0011268C"/>
    <w:rsid w:val="0011346A"/>
    <w:rsid w:val="00120487"/>
    <w:rsid w:val="00130B79"/>
    <w:rsid w:val="00140D7D"/>
    <w:rsid w:val="00142C1C"/>
    <w:rsid w:val="00142F6E"/>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93797"/>
    <w:rsid w:val="002947CC"/>
    <w:rsid w:val="002963D1"/>
    <w:rsid w:val="00296872"/>
    <w:rsid w:val="002A2C8B"/>
    <w:rsid w:val="002A5FF0"/>
    <w:rsid w:val="002B1550"/>
    <w:rsid w:val="002B414E"/>
    <w:rsid w:val="002C3CD7"/>
    <w:rsid w:val="002C498F"/>
    <w:rsid w:val="002C6F0F"/>
    <w:rsid w:val="002F0E0C"/>
    <w:rsid w:val="00300B57"/>
    <w:rsid w:val="0030399A"/>
    <w:rsid w:val="00305195"/>
    <w:rsid w:val="003132A6"/>
    <w:rsid w:val="003153EC"/>
    <w:rsid w:val="003222BF"/>
    <w:rsid w:val="00327285"/>
    <w:rsid w:val="0033269E"/>
    <w:rsid w:val="003335B1"/>
    <w:rsid w:val="003347CC"/>
    <w:rsid w:val="003370D7"/>
    <w:rsid w:val="0034218F"/>
    <w:rsid w:val="00345020"/>
    <w:rsid w:val="003770CE"/>
    <w:rsid w:val="00384E2B"/>
    <w:rsid w:val="00391CB6"/>
    <w:rsid w:val="00393E0A"/>
    <w:rsid w:val="00397106"/>
    <w:rsid w:val="003B23B9"/>
    <w:rsid w:val="003B32AF"/>
    <w:rsid w:val="003B37CC"/>
    <w:rsid w:val="003C057C"/>
    <w:rsid w:val="003C27C5"/>
    <w:rsid w:val="003D16F7"/>
    <w:rsid w:val="003D48D0"/>
    <w:rsid w:val="003D4B97"/>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342"/>
    <w:rsid w:val="005D44BC"/>
    <w:rsid w:val="005D58A4"/>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47857"/>
    <w:rsid w:val="00854582"/>
    <w:rsid w:val="00855805"/>
    <w:rsid w:val="00857606"/>
    <w:rsid w:val="00862560"/>
    <w:rsid w:val="00864E38"/>
    <w:rsid w:val="00865AED"/>
    <w:rsid w:val="0087026D"/>
    <w:rsid w:val="00877B1B"/>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902F3"/>
    <w:rsid w:val="00991090"/>
    <w:rsid w:val="009A3B1D"/>
    <w:rsid w:val="009A6180"/>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3CED"/>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1674"/>
    <w:rsid w:val="00C65885"/>
    <w:rsid w:val="00C70E86"/>
    <w:rsid w:val="00C8119A"/>
    <w:rsid w:val="00C87178"/>
    <w:rsid w:val="00C87CC3"/>
    <w:rsid w:val="00CA0EC3"/>
    <w:rsid w:val="00CA42B4"/>
    <w:rsid w:val="00CA6469"/>
    <w:rsid w:val="00CB7612"/>
    <w:rsid w:val="00CC0A9D"/>
    <w:rsid w:val="00CE0F68"/>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1BDC"/>
    <w:rsid w:val="00D94AAA"/>
    <w:rsid w:val="00D94F55"/>
    <w:rsid w:val="00D95006"/>
    <w:rsid w:val="00D968C3"/>
    <w:rsid w:val="00DB34EC"/>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33F17"/>
    <w:rsid w:val="00F424C8"/>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5AE8"/>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BFF5F"/>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styleId="NormalWeb">
    <w:name w:val="Normal (Web)"/>
    <w:basedOn w:val="Normal"/>
    <w:uiPriority w:val="99"/>
    <w:unhideWhenUsed/>
    <w:rsid w:val="000E662F"/>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065D-EA39-4206-89CB-C4617843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4835</Words>
  <Characters>2757</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7577</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Akademijos Budėtojas</cp:lastModifiedBy>
  <cp:revision>8</cp:revision>
  <cp:lastPrinted>2023-07-25T10:01:00Z</cp:lastPrinted>
  <dcterms:created xsi:type="dcterms:W3CDTF">2024-11-08T10:15:00Z</dcterms:created>
  <dcterms:modified xsi:type="dcterms:W3CDTF">2025-02-25T20:42:00Z</dcterms:modified>
</cp:coreProperties>
</file>