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87D2" w14:textId="45424A52" w:rsidR="00C972F0" w:rsidRDefault="00405A21" w:rsidP="00405A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VšĮ </w:t>
      </w:r>
      <w:r w:rsidR="00970041">
        <w:rPr>
          <w:rFonts w:ascii="Times New Roman" w:hAnsi="Times New Roman" w:cs="Times New Roman"/>
          <w:b/>
          <w:bCs/>
          <w:sz w:val="24"/>
          <w:szCs w:val="24"/>
        </w:rPr>
        <w:t>Karoliniškių poliklinikos</w:t>
      </w:r>
      <w:r>
        <w:rPr>
          <w:rFonts w:ascii="Times New Roman" w:hAnsi="Times New Roman" w:cs="Times New Roman"/>
          <w:b/>
          <w:bCs/>
          <w:sz w:val="24"/>
          <w:szCs w:val="24"/>
        </w:rPr>
        <w:t xml:space="preserve"> planuojamo pirkimo „</w:t>
      </w:r>
      <w:r w:rsidR="00C972F0" w:rsidRPr="00C972F0">
        <w:rPr>
          <w:rFonts w:ascii="Times New Roman" w:hAnsi="Times New Roman" w:cs="Times New Roman"/>
          <w:b/>
          <w:bCs/>
          <w:sz w:val="24"/>
          <w:szCs w:val="24"/>
        </w:rPr>
        <w:t>KP-3701 REAGENTAI IR EKSPLOATACINĖS MEDŽIAGOS BIOCHEMINIŲ TYRIMŲ ATLIKIMUI BEI ANALIZATORIAUS ĮSIGIJIMAS PANAUDOS BŪDU</w:t>
      </w:r>
      <w:r>
        <w:rPr>
          <w:rFonts w:ascii="Times New Roman" w:hAnsi="Times New Roman" w:cs="Times New Roman"/>
          <w:b/>
          <w:bCs/>
          <w:sz w:val="24"/>
          <w:szCs w:val="24"/>
        </w:rPr>
        <w:t xml:space="preserve">“ pirkimo dokumentų projektas </w:t>
      </w:r>
    </w:p>
    <w:p w14:paraId="38FC88C4" w14:textId="1B2A16B7" w:rsidR="00405A21" w:rsidRDefault="00405A21" w:rsidP="00405A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(CVP IS ID </w:t>
      </w:r>
      <w:r w:rsidR="00C972F0" w:rsidRPr="00C972F0">
        <w:rPr>
          <w:rFonts w:ascii="Times New Roman" w:hAnsi="Times New Roman" w:cs="Times New Roman"/>
          <w:b/>
          <w:bCs/>
          <w:sz w:val="24"/>
          <w:szCs w:val="24"/>
        </w:rPr>
        <w:t>1108199</w:t>
      </w:r>
      <w:r>
        <w:rPr>
          <w:rFonts w:ascii="Times New Roman" w:hAnsi="Times New Roman" w:cs="Times New Roman"/>
          <w:b/>
          <w:bCs/>
          <w:sz w:val="24"/>
          <w:szCs w:val="24"/>
        </w:rPr>
        <w:t>)</w:t>
      </w:r>
    </w:p>
    <w:p w14:paraId="4B17895D" w14:textId="77777777" w:rsidR="00405A21" w:rsidRDefault="00405A21" w:rsidP="00405A21">
      <w:pPr>
        <w:spacing w:after="0" w:line="240" w:lineRule="auto"/>
        <w:jc w:val="center"/>
        <w:rPr>
          <w:rFonts w:ascii="Times New Roman" w:hAnsi="Times New Roman" w:cs="Times New Roman"/>
          <w:b/>
          <w:bCs/>
          <w:sz w:val="24"/>
          <w:szCs w:val="24"/>
        </w:rPr>
      </w:pPr>
    </w:p>
    <w:p w14:paraId="24BB0B9C" w14:textId="77777777" w:rsidR="00405A21" w:rsidRDefault="00405A21"/>
    <w:p w14:paraId="6CA38813" w14:textId="77777777" w:rsidR="00405A21" w:rsidRPr="005125FB" w:rsidRDefault="00405A21" w:rsidP="00405A21">
      <w:pPr>
        <w:spacing w:after="0" w:line="240" w:lineRule="auto"/>
        <w:jc w:val="both"/>
        <w:rPr>
          <w:rFonts w:ascii="Times New Roman" w:hAnsi="Times New Roman" w:cs="Times New Roman"/>
          <w:b/>
          <w:bCs/>
          <w:sz w:val="24"/>
          <w:szCs w:val="24"/>
        </w:rPr>
      </w:pPr>
      <w:r w:rsidRPr="005125FB">
        <w:rPr>
          <w:rFonts w:ascii="Times New Roman" w:hAnsi="Times New Roman" w:cs="Times New Roman"/>
          <w:b/>
          <w:bCs/>
          <w:sz w:val="24"/>
          <w:szCs w:val="24"/>
        </w:rPr>
        <w:t>Gauti tiekėjų pasiūlymai / klausimai / pastabos dėl planuojamo pirkimo dokumentų projekto</w:t>
      </w:r>
      <w:r>
        <w:rPr>
          <w:rFonts w:ascii="Times New Roman" w:hAnsi="Times New Roman" w:cs="Times New Roman"/>
          <w:b/>
          <w:bCs/>
          <w:sz w:val="24"/>
          <w:szCs w:val="24"/>
        </w:rPr>
        <w:t xml:space="preserve"> ir atsakymai į juos</w:t>
      </w:r>
    </w:p>
    <w:p w14:paraId="58A83CC2" w14:textId="77777777" w:rsidR="00405A21" w:rsidRDefault="00405A21" w:rsidP="00405A21">
      <w:pPr>
        <w:spacing w:after="0" w:line="240" w:lineRule="auto"/>
        <w:ind w:firstLine="426"/>
        <w:jc w:val="both"/>
        <w:rPr>
          <w:rFonts w:ascii="Times New Roman" w:hAnsi="Times New Roman" w:cs="Times New Roman"/>
          <w:sz w:val="24"/>
          <w:szCs w:val="24"/>
        </w:rPr>
      </w:pPr>
    </w:p>
    <w:p w14:paraId="492FC20E" w14:textId="46E38FAD"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Vilniaus miesto savivaldybės administracija (toliau – CPO Vilnius) teikia atsakymus į Tiekėjų pateiktas pastabas ir rekomendacijas koreguoti </w:t>
      </w:r>
      <w:r w:rsidRPr="00405A21">
        <w:rPr>
          <w:rFonts w:ascii="Times New Roman" w:hAnsi="Times New Roman" w:cs="Times New Roman"/>
          <w:sz w:val="24"/>
          <w:szCs w:val="24"/>
        </w:rPr>
        <w:t xml:space="preserve">VšĮ </w:t>
      </w:r>
      <w:r w:rsidR="00C972F0">
        <w:rPr>
          <w:rFonts w:ascii="Times New Roman" w:hAnsi="Times New Roman" w:cs="Times New Roman"/>
          <w:sz w:val="24"/>
          <w:szCs w:val="24"/>
        </w:rPr>
        <w:t>Karoliniškių poliklinikos</w:t>
      </w:r>
      <w:r w:rsidRPr="00405A21">
        <w:rPr>
          <w:rFonts w:ascii="Times New Roman" w:hAnsi="Times New Roman" w:cs="Times New Roman"/>
          <w:sz w:val="24"/>
          <w:szCs w:val="24"/>
        </w:rPr>
        <w:t xml:space="preserve"> </w:t>
      </w:r>
      <w:r w:rsidRPr="005125FB">
        <w:rPr>
          <w:rFonts w:ascii="Times New Roman" w:hAnsi="Times New Roman" w:cs="Times New Roman"/>
          <w:sz w:val="24"/>
          <w:szCs w:val="24"/>
        </w:rPr>
        <w:t xml:space="preserve">(toliau – perkančioji organizacija/PO) perkamų </w:t>
      </w:r>
      <w:r w:rsidR="00851E03" w:rsidRPr="00851E03">
        <w:rPr>
          <w:rFonts w:ascii="Times New Roman" w:hAnsi="Times New Roman" w:cs="Times New Roman"/>
          <w:b/>
          <w:sz w:val="24"/>
          <w:szCs w:val="24"/>
        </w:rPr>
        <w:t>reagent</w:t>
      </w:r>
      <w:r w:rsidR="00851E03">
        <w:rPr>
          <w:rFonts w:ascii="Times New Roman" w:hAnsi="Times New Roman" w:cs="Times New Roman"/>
          <w:b/>
          <w:sz w:val="24"/>
          <w:szCs w:val="24"/>
        </w:rPr>
        <w:t>ų</w:t>
      </w:r>
      <w:r w:rsidR="00851E03" w:rsidRPr="00851E03">
        <w:rPr>
          <w:rFonts w:ascii="Times New Roman" w:hAnsi="Times New Roman" w:cs="Times New Roman"/>
          <w:b/>
          <w:sz w:val="24"/>
          <w:szCs w:val="24"/>
        </w:rPr>
        <w:t xml:space="preserve"> ir eksploatacin</w:t>
      </w:r>
      <w:r w:rsidR="00851E03">
        <w:rPr>
          <w:rFonts w:ascii="Times New Roman" w:hAnsi="Times New Roman" w:cs="Times New Roman"/>
          <w:b/>
          <w:sz w:val="24"/>
          <w:szCs w:val="24"/>
        </w:rPr>
        <w:t>ių</w:t>
      </w:r>
      <w:r w:rsidR="00851E03" w:rsidRPr="00851E03">
        <w:rPr>
          <w:rFonts w:ascii="Times New Roman" w:hAnsi="Times New Roman" w:cs="Times New Roman"/>
          <w:b/>
          <w:sz w:val="24"/>
          <w:szCs w:val="24"/>
        </w:rPr>
        <w:t xml:space="preserve"> medžiag</w:t>
      </w:r>
      <w:r w:rsidR="00851E03">
        <w:rPr>
          <w:rFonts w:ascii="Times New Roman" w:hAnsi="Times New Roman" w:cs="Times New Roman"/>
          <w:b/>
          <w:sz w:val="24"/>
          <w:szCs w:val="24"/>
        </w:rPr>
        <w:t>ų</w:t>
      </w:r>
      <w:r w:rsidR="00851E03" w:rsidRPr="00851E03">
        <w:rPr>
          <w:rFonts w:ascii="Times New Roman" w:hAnsi="Times New Roman" w:cs="Times New Roman"/>
          <w:b/>
          <w:sz w:val="24"/>
          <w:szCs w:val="24"/>
        </w:rPr>
        <w:t xml:space="preserve"> biocheminių tyrimų atlikimui (toliau – prekės, tyrimai, pirkimo objektas) bei analizatoriaus įsigijim</w:t>
      </w:r>
      <w:r w:rsidR="00851E03">
        <w:rPr>
          <w:rFonts w:ascii="Times New Roman" w:hAnsi="Times New Roman" w:cs="Times New Roman"/>
          <w:b/>
          <w:sz w:val="24"/>
          <w:szCs w:val="24"/>
        </w:rPr>
        <w:t>o</w:t>
      </w:r>
      <w:r w:rsidR="00851E03" w:rsidRPr="00851E03">
        <w:rPr>
          <w:rFonts w:ascii="Times New Roman" w:hAnsi="Times New Roman" w:cs="Times New Roman"/>
          <w:b/>
          <w:sz w:val="24"/>
          <w:szCs w:val="24"/>
        </w:rPr>
        <w:t xml:space="preserve"> panaudos būdu </w:t>
      </w:r>
      <w:r w:rsidRPr="005125FB">
        <w:rPr>
          <w:rFonts w:ascii="Times New Roman" w:hAnsi="Times New Roman" w:cs="Times New Roman"/>
          <w:sz w:val="24"/>
          <w:szCs w:val="24"/>
        </w:rPr>
        <w:t>techninę specifikaciją (toliau – TS).</w:t>
      </w:r>
    </w:p>
    <w:p w14:paraId="48347C49" w14:textId="77777777"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Pagal Lietuvos Respublikos viešųjų pirkimų įstatymo (toliau - VPĮ) 17 str. 2 dalies 1 punktą pirkimų tikslas – vadovaujantis šio įstatymo reikalavimais sudaryti pirkimo sutartį, leidžiančią perkančiajai organizacijai įsigyti reikalingų prekių, paslaugų ar darbų, racionaliai naudojant tam skirtas lėšas. Siekdama šio tikslo, perkančioji organizacija, vadovaudamasi VPĮ 37 str. 1 dalimi, pirkimo dokumentuose pateikiamoje techninėje specifikacijoje nurodo perkamų prekių, paslaugų ar darbų savybes ir pasirenka </w:t>
      </w:r>
      <w:r w:rsidRPr="005125FB">
        <w:rPr>
          <w:rFonts w:ascii="Times New Roman" w:hAnsi="Times New Roman" w:cs="Times New Roman"/>
          <w:b/>
          <w:bCs/>
          <w:sz w:val="24"/>
          <w:szCs w:val="24"/>
        </w:rPr>
        <w:t>tokius juos apibūdinančius kriterijus, kurie, perkančiosios organizacijos nuomone, yra būtini, kad jos objektyvūs poreikiai būtų patenkinti</w:t>
      </w:r>
      <w:r w:rsidRPr="005125FB">
        <w:rPr>
          <w:rFonts w:ascii="Times New Roman" w:hAnsi="Times New Roman" w:cs="Times New Roman"/>
          <w:sz w:val="24"/>
          <w:szCs w:val="24"/>
        </w:rPr>
        <w:t>. Taigi perkančioji organizacija turi teisę pasirinkti perkamų prekių savybes, tačiau, nustatydama jas apibūdinančius kriterijus, turi užtikrinti konkurenciją ir nediskriminuoti tiekėjų (VPĮ 37 str. 3 d.), nepažeisti VPĮ 17 str. 1 dalyje nustatytų lygiateisiškumo, nediskriminavimo, abipusio pripažinimo, proporcingumo ir skaidrumo principų. Pirkimo dokumentai (įskaitant ir technines specifikacijas) turi būti tikslūs, aiškūs, be dviprasmybių, kad tiekėjai galėtų pateikti pasiūlymus, o perkančioji organizacija nupirkti tai, ko reikia (LAT Senato apžvalga Nr. 31).</w:t>
      </w:r>
    </w:p>
    <w:p w14:paraId="2090D743" w14:textId="77777777"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 xml:space="preserve">Europos Sąjungos Teisingumo Teismas (toliau – </w:t>
      </w:r>
      <w:r w:rsidRPr="005125FB">
        <w:rPr>
          <w:rFonts w:ascii="Times New Roman" w:hAnsi="Times New Roman" w:cs="Times New Roman"/>
          <w:bCs/>
          <w:sz w:val="24"/>
          <w:szCs w:val="24"/>
        </w:rPr>
        <w:t>ESTT</w:t>
      </w:r>
      <w:r w:rsidRPr="005125FB">
        <w:rPr>
          <w:rFonts w:ascii="Times New Roman" w:hAnsi="Times New Roman" w:cs="Times New Roman"/>
          <w:sz w:val="24"/>
          <w:szCs w:val="24"/>
        </w:rPr>
        <w:t xml:space="preserve">) nurodo, kad techninė specifikacija yra apibrėžiama kaip ,,[...] </w:t>
      </w:r>
      <w:r w:rsidRPr="005125FB">
        <w:rPr>
          <w:rFonts w:ascii="Times New Roman" w:hAnsi="Times New Roman" w:cs="Times New Roman"/>
          <w:i/>
          <w:sz w:val="24"/>
          <w:szCs w:val="24"/>
        </w:rPr>
        <w:t>techniniai reikalavimai, nustatantys darbų, medžiagų, prekių tiekimo arba paslaugos ypatumus, leidžiantys objektyviai apibūdinti viso numatomo darbo, prekių tiekimo arba paslaugos teikimo charakteristikas taip, kad šis apibūdinimas leistų objektyviai atspindėti bet kurią perkamo darbo, prekių, arba paslaugos dalį, parodant jos tinkamumą tam panaudojimui, kurio siekia sutartį sudarantis ūkio subjektas</w:t>
      </w:r>
      <w:r w:rsidRPr="005125FB">
        <w:rPr>
          <w:rFonts w:ascii="Times New Roman" w:hAnsi="Times New Roman" w:cs="Times New Roman"/>
          <w:sz w:val="24"/>
          <w:szCs w:val="24"/>
        </w:rPr>
        <w:t>“</w:t>
      </w:r>
      <w:r w:rsidRPr="005125FB">
        <w:rPr>
          <w:rStyle w:val="Puslapioinaosnuoroda"/>
          <w:rFonts w:ascii="Times New Roman" w:hAnsi="Times New Roman" w:cs="Times New Roman"/>
          <w:sz w:val="24"/>
          <w:szCs w:val="24"/>
        </w:rPr>
        <w:t xml:space="preserve"> </w:t>
      </w:r>
      <w:r w:rsidRPr="005125FB">
        <w:rPr>
          <w:rStyle w:val="Puslapioinaosnuoroda"/>
          <w:rFonts w:ascii="Times New Roman" w:hAnsi="Times New Roman" w:cs="Times New Roman"/>
          <w:sz w:val="24"/>
          <w:szCs w:val="24"/>
        </w:rPr>
        <w:footnoteReference w:id="2"/>
      </w:r>
      <w:r w:rsidRPr="005125FB">
        <w:rPr>
          <w:rFonts w:ascii="Times New Roman" w:hAnsi="Times New Roman" w:cs="Times New Roman"/>
          <w:sz w:val="24"/>
          <w:szCs w:val="24"/>
        </w:rPr>
        <w:t xml:space="preserve">. Techninėje specifikacijoje turi būti tiksliai, aiškiai ir nedviprasmiškai apibrėžtas sutarties objektas, nes tai leidžia suinteresuotiems tiekėjams nuspręsti, ar teikti pasiūlymą, o sutartį sudarančioms perkančiosioms organizacijoms, atsižvelgiant į savo poreikius, - įvertinti pateiktus pasiūlymus (ESTT byla C-174/03 </w:t>
      </w:r>
      <w:proofErr w:type="spellStart"/>
      <w:r w:rsidRPr="005125FB">
        <w:rPr>
          <w:rFonts w:ascii="Times New Roman" w:hAnsi="Times New Roman" w:cs="Times New Roman"/>
          <w:sz w:val="24"/>
          <w:szCs w:val="24"/>
        </w:rPr>
        <w:t>Impresa</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Portuale</w:t>
      </w:r>
      <w:proofErr w:type="spellEnd"/>
      <w:r w:rsidRPr="005125FB">
        <w:rPr>
          <w:rFonts w:ascii="Times New Roman" w:hAnsi="Times New Roman" w:cs="Times New Roman"/>
          <w:sz w:val="24"/>
          <w:szCs w:val="24"/>
        </w:rPr>
        <w:t xml:space="preserve"> di </w:t>
      </w:r>
      <w:proofErr w:type="spellStart"/>
      <w:r w:rsidRPr="005125FB">
        <w:rPr>
          <w:rFonts w:ascii="Times New Roman" w:hAnsi="Times New Roman" w:cs="Times New Roman"/>
          <w:sz w:val="24"/>
          <w:szCs w:val="24"/>
        </w:rPr>
        <w:t>Cagliari</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Srl</w:t>
      </w:r>
      <w:proofErr w:type="spellEnd"/>
      <w:r w:rsidRPr="005125FB">
        <w:rPr>
          <w:rFonts w:ascii="Times New Roman" w:hAnsi="Times New Roman" w:cs="Times New Roman"/>
          <w:sz w:val="24"/>
          <w:szCs w:val="24"/>
        </w:rPr>
        <w:t xml:space="preserve"> v. </w:t>
      </w:r>
      <w:proofErr w:type="spellStart"/>
      <w:r w:rsidRPr="005125FB">
        <w:rPr>
          <w:rFonts w:ascii="Times New Roman" w:hAnsi="Times New Roman" w:cs="Times New Roman"/>
          <w:sz w:val="24"/>
          <w:szCs w:val="24"/>
        </w:rPr>
        <w:t>Tirrenia</w:t>
      </w:r>
      <w:proofErr w:type="spellEnd"/>
      <w:r w:rsidRPr="005125FB">
        <w:rPr>
          <w:rFonts w:ascii="Times New Roman" w:hAnsi="Times New Roman" w:cs="Times New Roman"/>
          <w:sz w:val="24"/>
          <w:szCs w:val="24"/>
        </w:rPr>
        <w:t xml:space="preserve"> di </w:t>
      </w:r>
      <w:proofErr w:type="spellStart"/>
      <w:r w:rsidRPr="005125FB">
        <w:rPr>
          <w:rFonts w:ascii="Times New Roman" w:hAnsi="Times New Roman" w:cs="Times New Roman"/>
          <w:sz w:val="24"/>
          <w:szCs w:val="24"/>
        </w:rPr>
        <w:t>Navigazione</w:t>
      </w:r>
      <w:proofErr w:type="spellEnd"/>
      <w:r w:rsidRPr="005125FB">
        <w:rPr>
          <w:rFonts w:ascii="Times New Roman" w:hAnsi="Times New Roman" w:cs="Times New Roman"/>
          <w:sz w:val="24"/>
          <w:szCs w:val="24"/>
        </w:rPr>
        <w:t xml:space="preserve"> </w:t>
      </w:r>
      <w:proofErr w:type="spellStart"/>
      <w:r w:rsidRPr="005125FB">
        <w:rPr>
          <w:rFonts w:ascii="Times New Roman" w:hAnsi="Times New Roman" w:cs="Times New Roman"/>
          <w:sz w:val="24"/>
          <w:szCs w:val="24"/>
        </w:rPr>
        <w:t>SpA</w:t>
      </w:r>
      <w:proofErr w:type="spellEnd"/>
      <w:r w:rsidRPr="005125FB">
        <w:rPr>
          <w:rFonts w:ascii="Times New Roman" w:hAnsi="Times New Roman" w:cs="Times New Roman"/>
          <w:sz w:val="24"/>
          <w:szCs w:val="24"/>
        </w:rPr>
        <w:t>).</w:t>
      </w:r>
    </w:p>
    <w:p w14:paraId="3BBFBDCC" w14:textId="77777777"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Atsižvelgus į aukščiau išdėstytą informuojame, kad techninių specifikacijų parametrų visuma</w:t>
      </w:r>
      <w:r>
        <w:rPr>
          <w:rFonts w:ascii="Times New Roman" w:hAnsi="Times New Roman" w:cs="Times New Roman"/>
          <w:sz w:val="24"/>
          <w:szCs w:val="24"/>
        </w:rPr>
        <w:t xml:space="preserve">, </w:t>
      </w:r>
      <w:r w:rsidRPr="005125FB">
        <w:rPr>
          <w:rFonts w:ascii="Times New Roman" w:hAnsi="Times New Roman" w:cs="Times New Roman"/>
          <w:sz w:val="24"/>
          <w:szCs w:val="24"/>
        </w:rPr>
        <w:t xml:space="preserve">atlikus rinkos konsultaciją buvo </w:t>
      </w:r>
      <w:r>
        <w:rPr>
          <w:rFonts w:ascii="Times New Roman" w:hAnsi="Times New Roman" w:cs="Times New Roman"/>
          <w:sz w:val="24"/>
          <w:szCs w:val="24"/>
        </w:rPr>
        <w:t xml:space="preserve">parengta ir </w:t>
      </w:r>
      <w:r w:rsidRPr="005125FB">
        <w:rPr>
          <w:rFonts w:ascii="Times New Roman" w:hAnsi="Times New Roman" w:cs="Times New Roman"/>
          <w:sz w:val="24"/>
          <w:szCs w:val="24"/>
        </w:rPr>
        <w:t>pakoreguot</w:t>
      </w:r>
      <w:r>
        <w:rPr>
          <w:rFonts w:ascii="Times New Roman" w:hAnsi="Times New Roman" w:cs="Times New Roman"/>
          <w:sz w:val="24"/>
          <w:szCs w:val="24"/>
        </w:rPr>
        <w:t>a</w:t>
      </w:r>
      <w:r w:rsidRPr="005125FB">
        <w:rPr>
          <w:rFonts w:ascii="Times New Roman" w:hAnsi="Times New Roman" w:cs="Times New Roman"/>
          <w:sz w:val="24"/>
          <w:szCs w:val="24"/>
        </w:rPr>
        <w:t xml:space="preserve"> atsižvelgus į konkrečius PO poreikius, bei siekiant užtikrinti realią konkurenciją tarp ne mažiau kaip 3 tiekėjų ir / arba gamintojų.</w:t>
      </w:r>
    </w:p>
    <w:p w14:paraId="45E10DE8" w14:textId="1CCACC34" w:rsidR="00405A21" w:rsidRPr="005125FB" w:rsidRDefault="00405A21" w:rsidP="00405A21">
      <w:pPr>
        <w:spacing w:after="0"/>
        <w:ind w:firstLine="284"/>
        <w:jc w:val="both"/>
        <w:rPr>
          <w:rFonts w:ascii="Times New Roman" w:hAnsi="Times New Roman" w:cs="Times New Roman"/>
          <w:sz w:val="24"/>
          <w:szCs w:val="24"/>
        </w:rPr>
      </w:pPr>
      <w:r w:rsidRPr="005125FB">
        <w:rPr>
          <w:rFonts w:ascii="Times New Roman" w:hAnsi="Times New Roman" w:cs="Times New Roman"/>
          <w:sz w:val="24"/>
          <w:szCs w:val="24"/>
        </w:rPr>
        <w:t>Žemiau atskirai pasisakome dėl visų rinkos konsultacijos metu gautų tiekėjų rekomendacijų koreguoti TS reikalavimus</w:t>
      </w:r>
      <w:r w:rsidR="00615369">
        <w:rPr>
          <w:rFonts w:ascii="Times New Roman" w:hAnsi="Times New Roman" w:cs="Times New Roman"/>
          <w:sz w:val="24"/>
          <w:szCs w:val="24"/>
        </w:rPr>
        <w:t>:</w:t>
      </w:r>
    </w:p>
    <w:p w14:paraId="022B8641" w14:textId="77777777" w:rsidR="00405A21" w:rsidRDefault="00405A21"/>
    <w:p w14:paraId="0F2BB705" w14:textId="77777777" w:rsidR="00550F32" w:rsidRPr="00550F32" w:rsidRDefault="00550F32" w:rsidP="00550F32">
      <w:pPr>
        <w:spacing w:line="360" w:lineRule="auto"/>
        <w:rPr>
          <w:rFonts w:ascii="Times New Roman" w:hAnsi="Times New Roman" w:cs="Times New Roman"/>
          <w:b/>
          <w:noProof/>
          <w:sz w:val="24"/>
          <w:szCs w:val="24"/>
        </w:rPr>
      </w:pPr>
      <w:bookmarkStart w:id="0" w:name="_Hlk162257548"/>
      <w:r w:rsidRPr="00550F32">
        <w:rPr>
          <w:rFonts w:ascii="Times New Roman" w:hAnsi="Times New Roman" w:cs="Times New Roman"/>
          <w:b/>
          <w:noProof/>
          <w:sz w:val="24"/>
          <w:szCs w:val="24"/>
        </w:rPr>
        <w:lastRenderedPageBreak/>
        <w:t>I. Bendrieji reikalavimai</w:t>
      </w:r>
    </w:p>
    <w:p w14:paraId="1B18F5A3" w14:textId="77777777" w:rsidR="00550F32" w:rsidRPr="00550F32" w:rsidRDefault="00550F32" w:rsidP="00550F32">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Tiekėjas savo sąskaita pristato įrangą / analizatorių Pirkėjui adresu Loretos Asanavičiūtės g. 27 a, Vilnius.</w:t>
      </w:r>
    </w:p>
    <w:p w14:paraId="2794383F" w14:textId="77777777" w:rsidR="00550F32" w:rsidRPr="00550F32" w:rsidRDefault="00550F32" w:rsidP="00550F32">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b/>
          <w:sz w:val="24"/>
          <w:szCs w:val="24"/>
        </w:rPr>
        <w:t xml:space="preserve">Su analizatoriaus pristatymu </w:t>
      </w:r>
      <w:proofErr w:type="spellStart"/>
      <w:r w:rsidRPr="00550F32">
        <w:rPr>
          <w:rFonts w:ascii="Times New Roman" w:hAnsi="Times New Roman" w:cs="Times New Roman"/>
          <w:b/>
          <w:sz w:val="24"/>
          <w:szCs w:val="24"/>
        </w:rPr>
        <w:t>teiktinų</w:t>
      </w:r>
      <w:proofErr w:type="spellEnd"/>
      <w:r w:rsidRPr="00550F32">
        <w:rPr>
          <w:rFonts w:ascii="Times New Roman" w:hAnsi="Times New Roman" w:cs="Times New Roman"/>
          <w:b/>
          <w:sz w:val="24"/>
          <w:szCs w:val="24"/>
        </w:rPr>
        <w:t xml:space="preserve"> paslaugų pobūdis</w:t>
      </w:r>
      <w:r w:rsidRPr="00550F32">
        <w:rPr>
          <w:rFonts w:ascii="Times New Roman" w:hAnsi="Times New Roman" w:cs="Times New Roman"/>
          <w:sz w:val="24"/>
          <w:szCs w:val="24"/>
        </w:rPr>
        <w:t xml:space="preserve">: transportavimas, iškrovimas, išpakavimas, tikrinimas, panaudai perduotos ir pristatytos įrangos surinkimas, sumontavimas, įdiegimas Pirkėjo nurodytu adresu, įrangos paruošimas darbui ir suderinimas, išbandymas, metodų verifikavimas, medicinos prietaiso paso (-ų) užpildymas, Pirkėjo personalo apmokymas dirbti su įranga, konsultacijų, susijusių su įrangos naudojimu, teikimas lietuvių kalba. </w:t>
      </w:r>
    </w:p>
    <w:p w14:paraId="7C3E8E0B" w14:textId="77777777" w:rsidR="00550F32" w:rsidRPr="00550F32" w:rsidRDefault="00550F32" w:rsidP="00550F32">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įgalioto specialisto, turinčio tai patvirtinančius mokymų sertifikatus.</w:t>
      </w:r>
    </w:p>
    <w:p w14:paraId="06DC2EF1" w14:textId="77777777" w:rsidR="00550F32" w:rsidRPr="00550F32" w:rsidRDefault="00550F32" w:rsidP="00550F32">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Tiekėjas turi užtikrinti, kad įrangos techninį aptarnavimą atliekantys specialistai turės galimybę nuotoliniu būdu prisijungti prie įrangos. Prisijungus turėtų būti galima perduoti analizatoriui informaciją, atlikti prevencinius ar diagnostinius veiksmus. Šio reikalavimo atitikimui įrodyti tiekėjas kartu su pasiūlymu turi pateikti savo ir/ar nuotolinės pagalbos teikimo centro patvirtinimą, kad toks pagalbos teikimo centras egzistuoja ir funkcionuoja.</w:t>
      </w:r>
    </w:p>
    <w:p w14:paraId="4801793D" w14:textId="77777777" w:rsidR="00550F32" w:rsidRPr="00550F32" w:rsidRDefault="00550F32" w:rsidP="00550F32">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Siūlomas analizatorius pristatomas kartu su visa reikalinga papildoma įranga: brūkšninių kodų skaitytuvu, nepertraukiamo maitinimo šaltiniu, vandens gryninimo sistema (</w:t>
      </w:r>
      <w:r w:rsidRPr="00550F32">
        <w:rPr>
          <w:rFonts w:ascii="Times New Roman" w:hAnsi="Times New Roman" w:cs="Times New Roman"/>
          <w:i/>
          <w:sz w:val="24"/>
          <w:szCs w:val="24"/>
        </w:rPr>
        <w:t>jeigu yra būtinas vandens tiekimas</w:t>
      </w:r>
      <w:r w:rsidRPr="00550F32">
        <w:rPr>
          <w:rFonts w:ascii="Times New Roman" w:hAnsi="Times New Roman" w:cs="Times New Roman"/>
          <w:sz w:val="24"/>
          <w:szCs w:val="24"/>
        </w:rPr>
        <w:t>), spausdintuvu ir reikalinga programine įranga. Jeigu analizatorius valdomas išorinio kompiuterio pagalba, komplektuojamas su kompiuteriu. Jei analizatoriui reikalingas stalas, spintelė ar kitas pagrindas, ant kurio jis statomas / montuojamas, tiekėjas su įranga pristato visus reikiamus priedus.</w:t>
      </w:r>
    </w:p>
    <w:p w14:paraId="7B950102" w14:textId="77777777" w:rsidR="00550F32" w:rsidRPr="00550F32" w:rsidRDefault="00550F32" w:rsidP="00550F32">
      <w:pPr>
        <w:pStyle w:val="Sraopastraipa"/>
        <w:numPr>
          <w:ilvl w:val="0"/>
          <w:numId w:val="8"/>
        </w:numPr>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Tiekėjas įsipareigoja lietuvių kalba supažindinti / apmokyti Pirkėjo darbuotojus (skyriaus, kuriam perduodama medicininė įranga 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1E54A07E" w14:textId="77777777" w:rsidR="00550F32" w:rsidRPr="00550F32" w:rsidRDefault="00550F32" w:rsidP="00550F32">
      <w:pPr>
        <w:pStyle w:val="Sraopastraipa"/>
        <w:numPr>
          <w:ilvl w:val="0"/>
          <w:numId w:val="8"/>
        </w:numPr>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Visas bendravimas ir susirašinėjimas tarp Tiekėjo ir Pirkėjo, įskaitant bet neapsiribojant Pirkėjo personalo apmokymu dirbti su įranga, konsultacijų teikimu, bendravimu visais įrangos remonto ir techninės priežiūros klausimais, turi vykti lietuvių kalba.</w:t>
      </w:r>
    </w:p>
    <w:p w14:paraId="2F9DB181" w14:textId="77777777" w:rsidR="00550F32" w:rsidRPr="00550F32" w:rsidRDefault="00550F32" w:rsidP="00550F32">
      <w:pPr>
        <w:pStyle w:val="Sraopastraipa"/>
        <w:numPr>
          <w:ilvl w:val="0"/>
          <w:numId w:val="8"/>
        </w:numPr>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 xml:space="preserve">Tiekėjas privalo užtikrinti, kad siūloma įranga turėtų technines galimybes būti prijungta prie laboratorinės informacinės sistemos (toliau – LIS) </w:t>
      </w:r>
      <w:proofErr w:type="spellStart"/>
      <w:r w:rsidRPr="00550F32">
        <w:rPr>
          <w:rFonts w:ascii="Times New Roman" w:hAnsi="Times New Roman" w:cs="Times New Roman"/>
          <w:sz w:val="24"/>
          <w:szCs w:val="24"/>
        </w:rPr>
        <w:t>OpenLims</w:t>
      </w:r>
      <w:proofErr w:type="spellEnd"/>
      <w:r w:rsidRPr="00550F32">
        <w:rPr>
          <w:rFonts w:ascii="Times New Roman" w:hAnsi="Times New Roman" w:cs="Times New Roman"/>
          <w:sz w:val="24"/>
          <w:szCs w:val="24"/>
        </w:rPr>
        <w:t xml:space="preserve">, </w:t>
      </w:r>
      <w:proofErr w:type="spellStart"/>
      <w:r w:rsidRPr="00550F32">
        <w:rPr>
          <w:rFonts w:ascii="Times New Roman" w:hAnsi="Times New Roman" w:cs="Times New Roman"/>
          <w:sz w:val="24"/>
          <w:szCs w:val="24"/>
        </w:rPr>
        <w:t>Stapro</w:t>
      </w:r>
      <w:proofErr w:type="spellEnd"/>
      <w:r w:rsidRPr="00550F32">
        <w:rPr>
          <w:rFonts w:ascii="Times New Roman" w:hAnsi="Times New Roman" w:cs="Times New Roman"/>
          <w:sz w:val="24"/>
          <w:szCs w:val="24"/>
        </w:rPr>
        <w:t xml:space="preserve"> s. r. o., Čekija (Oficialus atstovas Lietuvoje UAB „</w:t>
      </w:r>
      <w:proofErr w:type="spellStart"/>
      <w:r w:rsidRPr="00550F32">
        <w:rPr>
          <w:rFonts w:ascii="Times New Roman" w:hAnsi="Times New Roman" w:cs="Times New Roman"/>
          <w:sz w:val="24"/>
          <w:szCs w:val="24"/>
        </w:rPr>
        <w:t>Limeta</w:t>
      </w:r>
      <w:proofErr w:type="spellEnd"/>
      <w:r w:rsidRPr="00550F32">
        <w:rPr>
          <w:rFonts w:ascii="Times New Roman" w:hAnsi="Times New Roman" w:cs="Times New Roman"/>
          <w:sz w:val="24"/>
          <w:szCs w:val="24"/>
        </w:rPr>
        <w:t xml:space="preserve">“). Tiekėjas įsipareigoja pateikti visą reikiamą informaciją analizatoriaus tinkamam pajungimui į LIS dvikrypčiu ryšiu (į analizatorių ateina užsakymas su paciento duomenimis (vardas, pavardė, gimimo data, lytis ir atsakymas grįžta į LIS) ir patvirtina, kad jo siūlomas analizatorius visiškai suderinamas su Pirkėjo naudojama LIS, bei užtikrina, jog, jungiant siūlomą analizatorių prie LIS, tarpininkaus siekiant, kad nekiltų  techninių kliūčių pajungimui. Kartu su pasiūlymu turi būti pateiktas gamintojo parengtas techninis aprašas, kuriame aiškiai nurodyta įrangos sąsajos su LIS galimybė.  </w:t>
      </w:r>
    </w:p>
    <w:p w14:paraId="4FAF7063" w14:textId="77777777" w:rsidR="00550F32" w:rsidRPr="00550F32" w:rsidRDefault="00550F32" w:rsidP="00550F32">
      <w:pPr>
        <w:numPr>
          <w:ilvl w:val="0"/>
          <w:numId w:val="8"/>
        </w:numPr>
        <w:tabs>
          <w:tab w:val="left" w:pos="993"/>
        </w:tabs>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 xml:space="preserve">Kartu su pasiūlymu turi būti pateikiamos įrangos naudojimosi instrukcijos ir gamintojo parengti techniniai aprašai anglų ir lietuvių kalba, ar kiti dokumentai, patvirtinantys atitiktį techniniams reikalavimams. Pasiūlymo formoje ir Techninių reikalavimų įrangai lentelėje turi būti pateiktos aiškios nuorodos į dokumentus, techninės specifikacijos atitiktį pagrindžiančiuose dokumentuose turi būti paženklintas konkretų </w:t>
      </w:r>
      <w:r w:rsidRPr="00550F32">
        <w:rPr>
          <w:rFonts w:ascii="Times New Roman" w:hAnsi="Times New Roman" w:cs="Times New Roman"/>
          <w:sz w:val="24"/>
          <w:szCs w:val="24"/>
        </w:rPr>
        <w:lastRenderedPageBreak/>
        <w:t>techninės specifikacijos punktą atitinkantis tekstą.</w:t>
      </w:r>
      <w:bookmarkStart w:id="1" w:name="_Hlk114648879"/>
      <w:r w:rsidRPr="00550F32">
        <w:rPr>
          <w:rFonts w:ascii="Times New Roman" w:hAnsi="Times New Roman" w:cs="Times New Roman"/>
          <w:sz w:val="24"/>
          <w:szCs w:val="24"/>
        </w:rPr>
        <w:t xml:space="preserve"> </w:t>
      </w:r>
      <w:r w:rsidRPr="00550F32">
        <w:rPr>
          <w:rFonts w:ascii="Times New Roman" w:hAnsi="Times New Roman" w:cs="Times New Roman"/>
          <w:b/>
          <w:sz w:val="24"/>
          <w:szCs w:val="24"/>
        </w:rPr>
        <w:t>Gamintojo deklaracijos dėl atitikties techniniams reikalavimams, kurių negalima objektyviai patikrinti, nebus vertinamos</w:t>
      </w:r>
      <w:bookmarkEnd w:id="1"/>
      <w:r w:rsidRPr="00550F32">
        <w:rPr>
          <w:rFonts w:ascii="Times New Roman" w:hAnsi="Times New Roman" w:cs="Times New Roman"/>
          <w:sz w:val="24"/>
          <w:szCs w:val="24"/>
        </w:rPr>
        <w:t>.</w:t>
      </w:r>
    </w:p>
    <w:p w14:paraId="18776D98" w14:textId="77777777" w:rsidR="00550F32" w:rsidRPr="00550F32" w:rsidRDefault="00550F32" w:rsidP="00550F32">
      <w:pPr>
        <w:pStyle w:val="Sraopastraipa"/>
        <w:numPr>
          <w:ilvl w:val="0"/>
          <w:numId w:val="8"/>
        </w:numPr>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Įranga, reagentai ir kitos eksploatacinės medžiagos turi būti paženklintos CE arba lygiaverčiu ženklu. Su pasiūlymu pateikti įrangos CE ženklinimo ar lygiavertį sertifikatą originalo ir lietuvių kalba. Reagentai ir eksploatacinės medžiagos turi būti originalios, patvirtintos analizatoriaus gamintojo, kaip tinkamos tiekėjo siūlomam analizatoriui. Po sutarties pasirašymo, prekių pristatymo metu turi būti pateikiamos anglų ir lietuvių kalba reagentų ir eksploatacinių medžiagų instrukcijos, saugos duomenų lapai, CE arba lygiaverčiai sertifikatai.</w:t>
      </w:r>
    </w:p>
    <w:p w14:paraId="38B41BB6" w14:textId="77777777" w:rsidR="00550F32" w:rsidRPr="00550F32" w:rsidRDefault="00550F32" w:rsidP="00550F32">
      <w:pPr>
        <w:pStyle w:val="Sraopastraipa"/>
        <w:numPr>
          <w:ilvl w:val="0"/>
          <w:numId w:val="8"/>
        </w:numPr>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 xml:space="preserve">Į vieno tyrimo kainą pacientui turi būti įskaičiuota reagentų, kontrolinių medžiagų (kasdien, t. y. 5 dienas per savaitę,  atliekama dviejų lygių kontrolė – norma ir patologija), </w:t>
      </w:r>
      <w:proofErr w:type="spellStart"/>
      <w:r w:rsidRPr="00550F32">
        <w:rPr>
          <w:rFonts w:ascii="Times New Roman" w:hAnsi="Times New Roman" w:cs="Times New Roman"/>
          <w:sz w:val="24"/>
          <w:szCs w:val="24"/>
        </w:rPr>
        <w:t>kalibracinių</w:t>
      </w:r>
      <w:proofErr w:type="spellEnd"/>
      <w:r w:rsidRPr="00550F32">
        <w:rPr>
          <w:rFonts w:ascii="Times New Roman" w:hAnsi="Times New Roman" w:cs="Times New Roman"/>
          <w:sz w:val="24"/>
          <w:szCs w:val="24"/>
        </w:rPr>
        <w:t xml:space="preserve"> bei eksploatacinių medžiagų kaina. Teikiant pasiūlymą turi būti įvertintas reagentų, kontrolinių, </w:t>
      </w:r>
      <w:proofErr w:type="spellStart"/>
      <w:r w:rsidRPr="00550F32">
        <w:rPr>
          <w:rFonts w:ascii="Times New Roman" w:hAnsi="Times New Roman" w:cs="Times New Roman"/>
          <w:sz w:val="24"/>
          <w:szCs w:val="24"/>
        </w:rPr>
        <w:t>kalibracinių</w:t>
      </w:r>
      <w:proofErr w:type="spellEnd"/>
      <w:r w:rsidRPr="00550F32">
        <w:rPr>
          <w:rFonts w:ascii="Times New Roman" w:hAnsi="Times New Roman" w:cs="Times New Roman"/>
          <w:sz w:val="24"/>
          <w:szCs w:val="24"/>
        </w:rPr>
        <w:t xml:space="preserve"> bei kitų eksploatacinių medžiagų galiojimo laikas, medžiagų galiojimo trukmė atidarius pakuotę, prietaisų matavimų paklaidos, medžiagų nepaimamas kiekis (</w:t>
      </w:r>
      <w:proofErr w:type="spellStart"/>
      <w:r w:rsidRPr="00550F32">
        <w:rPr>
          <w:rFonts w:ascii="Times New Roman" w:hAnsi="Times New Roman" w:cs="Times New Roman"/>
          <w:i/>
          <w:sz w:val="24"/>
          <w:szCs w:val="24"/>
        </w:rPr>
        <w:t>dead</w:t>
      </w:r>
      <w:proofErr w:type="spellEnd"/>
      <w:r w:rsidRPr="00550F32">
        <w:rPr>
          <w:rFonts w:ascii="Times New Roman" w:hAnsi="Times New Roman" w:cs="Times New Roman"/>
          <w:i/>
          <w:sz w:val="24"/>
          <w:szCs w:val="24"/>
        </w:rPr>
        <w:t xml:space="preserve"> </w:t>
      </w:r>
      <w:proofErr w:type="spellStart"/>
      <w:r w:rsidRPr="00550F32">
        <w:rPr>
          <w:rFonts w:ascii="Times New Roman" w:hAnsi="Times New Roman" w:cs="Times New Roman"/>
          <w:i/>
          <w:sz w:val="24"/>
          <w:szCs w:val="24"/>
        </w:rPr>
        <w:t>volume</w:t>
      </w:r>
      <w:proofErr w:type="spellEnd"/>
      <w:r w:rsidRPr="00550F32">
        <w:rPr>
          <w:rFonts w:ascii="Times New Roman" w:hAnsi="Times New Roman" w:cs="Times New Roman"/>
          <w:sz w:val="24"/>
          <w:szCs w:val="24"/>
        </w:rPr>
        <w:t xml:space="preserve">), sutarties galiojimo trukmė (60 mėn.). </w:t>
      </w:r>
      <w:bookmarkStart w:id="2" w:name="_Hlk159937235"/>
      <w:r w:rsidRPr="00550F32">
        <w:rPr>
          <w:rFonts w:ascii="Times New Roman" w:hAnsi="Times New Roman" w:cs="Times New Roman"/>
          <w:sz w:val="24"/>
          <w:szCs w:val="24"/>
        </w:rPr>
        <w:t xml:space="preserve">Daryti prielaidą, kad tyrimai bus atliekami lygiomis dalimis visu sutarties laikotarpiu. </w:t>
      </w:r>
      <w:bookmarkStart w:id="3" w:name="_Hlk159937305"/>
      <w:r w:rsidRPr="00550F32">
        <w:rPr>
          <w:rFonts w:ascii="Times New Roman" w:hAnsi="Times New Roman" w:cs="Times New Roman"/>
          <w:sz w:val="24"/>
          <w:szCs w:val="24"/>
        </w:rPr>
        <w:t xml:space="preserve">Kasdien atliekamos kokybės kontrolės, </w:t>
      </w:r>
      <w:proofErr w:type="spellStart"/>
      <w:r w:rsidRPr="00550F32">
        <w:rPr>
          <w:rFonts w:ascii="Times New Roman" w:hAnsi="Times New Roman" w:cs="Times New Roman"/>
          <w:sz w:val="24"/>
          <w:szCs w:val="24"/>
        </w:rPr>
        <w:t>kalibracijų</w:t>
      </w:r>
      <w:proofErr w:type="spellEnd"/>
      <w:r w:rsidRPr="00550F32">
        <w:rPr>
          <w:rFonts w:ascii="Times New Roman" w:hAnsi="Times New Roman" w:cs="Times New Roman"/>
          <w:sz w:val="24"/>
          <w:szCs w:val="24"/>
        </w:rPr>
        <w:t>, metodų verifikavimo, įrangos priežiūros sąnaudas įskaičiuoti į vieno tyrimo kainą pacientui.</w:t>
      </w:r>
      <w:bookmarkEnd w:id="2"/>
      <w:bookmarkEnd w:id="3"/>
    </w:p>
    <w:p w14:paraId="7097F77F" w14:textId="77777777" w:rsidR="00550F32" w:rsidRPr="00550F32" w:rsidRDefault="00550F32" w:rsidP="00550F32">
      <w:pPr>
        <w:pStyle w:val="Sraopastraipa"/>
        <w:numPr>
          <w:ilvl w:val="0"/>
          <w:numId w:val="8"/>
        </w:numPr>
        <w:spacing w:after="0" w:line="240" w:lineRule="auto"/>
        <w:ind w:left="0" w:firstLine="567"/>
        <w:jc w:val="both"/>
        <w:rPr>
          <w:rFonts w:ascii="Times New Roman" w:hAnsi="Times New Roman" w:cs="Times New Roman"/>
          <w:sz w:val="24"/>
          <w:szCs w:val="24"/>
        </w:rPr>
      </w:pPr>
      <w:r w:rsidRPr="00550F32">
        <w:rPr>
          <w:rFonts w:ascii="Times New Roman" w:hAnsi="Times New Roman" w:cs="Times New Roman"/>
          <w:sz w:val="24"/>
          <w:szCs w:val="24"/>
        </w:rPr>
        <w:t>Tiekėjas privalo įvertinti visas reikiamas sudedamąsias dalis nurodytiems laboratoriniams tyrimams atlikti, kad būtų užtikrintas kokybiškas tyrimų atlikimas ir sklandus analizatoriaus darbas. Įvertinęs visas sąnaudas, tiekėjas nurodo vieno tyrimo kainą pacientui be PVM.</w:t>
      </w:r>
      <w:r w:rsidRPr="00550F32">
        <w:rPr>
          <w:rFonts w:ascii="Times New Roman" w:hAnsi="Times New Roman" w:cs="Times New Roman"/>
          <w:sz w:val="24"/>
          <w:szCs w:val="24"/>
        </w:rPr>
        <w:tab/>
      </w:r>
      <w:bookmarkEnd w:id="0"/>
      <w:r w:rsidRPr="00550F32">
        <w:rPr>
          <w:rFonts w:ascii="Times New Roman" w:hAnsi="Times New Roman" w:cs="Times New Roman"/>
          <w:sz w:val="24"/>
          <w:szCs w:val="24"/>
        </w:rPr>
        <w:tab/>
      </w:r>
      <w:r w:rsidRPr="00550F32">
        <w:rPr>
          <w:rFonts w:ascii="Times New Roman" w:hAnsi="Times New Roman" w:cs="Times New Roman"/>
          <w:sz w:val="24"/>
          <w:szCs w:val="24"/>
        </w:rPr>
        <w:tab/>
      </w:r>
      <w:r w:rsidRPr="00550F32">
        <w:rPr>
          <w:rFonts w:ascii="Times New Roman" w:hAnsi="Times New Roman" w:cs="Times New Roman"/>
          <w:sz w:val="24"/>
          <w:szCs w:val="24"/>
        </w:rPr>
        <w:tab/>
      </w:r>
    </w:p>
    <w:p w14:paraId="10FEAFF0" w14:textId="77777777" w:rsidR="00550F32" w:rsidRPr="00550F32" w:rsidRDefault="00550F32" w:rsidP="00550F32">
      <w:pPr>
        <w:rPr>
          <w:rFonts w:ascii="Times New Roman" w:hAnsi="Times New Roman" w:cs="Times New Roman"/>
          <w:b/>
          <w:noProof/>
          <w:sz w:val="24"/>
          <w:szCs w:val="24"/>
          <w:lang w:val="pt-BR"/>
        </w:rPr>
      </w:pPr>
    </w:p>
    <w:p w14:paraId="15B033C7" w14:textId="77777777" w:rsidR="00550F32" w:rsidRPr="00550F32" w:rsidRDefault="00550F32" w:rsidP="00550F32">
      <w:pPr>
        <w:spacing w:line="360" w:lineRule="auto"/>
        <w:rPr>
          <w:rFonts w:ascii="Times New Roman" w:hAnsi="Times New Roman" w:cs="Times New Roman"/>
          <w:b/>
          <w:noProof/>
          <w:sz w:val="24"/>
          <w:szCs w:val="24"/>
        </w:rPr>
      </w:pPr>
      <w:r w:rsidRPr="00550F32">
        <w:rPr>
          <w:rFonts w:ascii="Times New Roman" w:hAnsi="Times New Roman" w:cs="Times New Roman"/>
          <w:b/>
          <w:noProof/>
          <w:sz w:val="24"/>
          <w:szCs w:val="24"/>
        </w:rPr>
        <w:t>II. Techniniai reikalavimai</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2463"/>
        <w:gridCol w:w="4901"/>
        <w:gridCol w:w="3428"/>
        <w:gridCol w:w="3428"/>
      </w:tblGrid>
      <w:tr w:rsidR="00550F32" w:rsidRPr="00550F32" w14:paraId="5F578880" w14:textId="77777777" w:rsidTr="004B1DA2">
        <w:trPr>
          <w:trHeight w:val="386"/>
        </w:trPr>
        <w:tc>
          <w:tcPr>
            <w:tcW w:w="566" w:type="dxa"/>
            <w:vAlign w:val="center"/>
          </w:tcPr>
          <w:p w14:paraId="23BF0581" w14:textId="77777777" w:rsidR="00550F32" w:rsidRPr="00550F32" w:rsidRDefault="00550F32" w:rsidP="004B1DA2">
            <w:pPr>
              <w:spacing w:before="120" w:after="120"/>
              <w:jc w:val="center"/>
              <w:rPr>
                <w:rFonts w:ascii="Times New Roman" w:hAnsi="Times New Roman" w:cs="Times New Roman"/>
                <w:b/>
                <w:sz w:val="24"/>
                <w:szCs w:val="24"/>
              </w:rPr>
            </w:pPr>
            <w:r w:rsidRPr="00550F32">
              <w:rPr>
                <w:rFonts w:ascii="Times New Roman" w:hAnsi="Times New Roman" w:cs="Times New Roman"/>
                <w:b/>
                <w:sz w:val="24"/>
                <w:szCs w:val="24"/>
              </w:rPr>
              <w:t>Nr.</w:t>
            </w:r>
          </w:p>
        </w:tc>
        <w:tc>
          <w:tcPr>
            <w:tcW w:w="2463" w:type="dxa"/>
            <w:vAlign w:val="center"/>
          </w:tcPr>
          <w:p w14:paraId="7242DFC8" w14:textId="77777777" w:rsidR="00550F32" w:rsidRPr="00550F32" w:rsidRDefault="00550F32" w:rsidP="004B1DA2">
            <w:pPr>
              <w:spacing w:before="120" w:after="120"/>
              <w:jc w:val="center"/>
              <w:rPr>
                <w:rFonts w:ascii="Times New Roman" w:hAnsi="Times New Roman" w:cs="Times New Roman"/>
                <w:b/>
                <w:sz w:val="24"/>
                <w:szCs w:val="24"/>
              </w:rPr>
            </w:pPr>
            <w:r w:rsidRPr="00550F32">
              <w:rPr>
                <w:rFonts w:ascii="Times New Roman" w:hAnsi="Times New Roman" w:cs="Times New Roman"/>
                <w:b/>
                <w:sz w:val="24"/>
                <w:szCs w:val="24"/>
              </w:rPr>
              <w:t>Reikalavimai</w:t>
            </w:r>
          </w:p>
        </w:tc>
        <w:tc>
          <w:tcPr>
            <w:tcW w:w="4901" w:type="dxa"/>
          </w:tcPr>
          <w:p w14:paraId="0A8FE529" w14:textId="77777777" w:rsidR="00550F32" w:rsidRPr="00550F32" w:rsidRDefault="00550F32" w:rsidP="004B1DA2">
            <w:pPr>
              <w:spacing w:before="120" w:after="120"/>
              <w:jc w:val="center"/>
              <w:rPr>
                <w:rFonts w:ascii="Times New Roman" w:hAnsi="Times New Roman" w:cs="Times New Roman"/>
                <w:b/>
                <w:sz w:val="24"/>
                <w:szCs w:val="24"/>
              </w:rPr>
            </w:pPr>
            <w:r w:rsidRPr="00550F32">
              <w:rPr>
                <w:rFonts w:ascii="Times New Roman" w:hAnsi="Times New Roman" w:cs="Times New Roman"/>
                <w:b/>
                <w:sz w:val="24"/>
                <w:szCs w:val="24"/>
              </w:rPr>
              <w:t>Reikalaujami techniniai parametrai</w:t>
            </w:r>
          </w:p>
        </w:tc>
        <w:tc>
          <w:tcPr>
            <w:tcW w:w="3428" w:type="dxa"/>
          </w:tcPr>
          <w:p w14:paraId="1D9F63BD" w14:textId="4C19D86E" w:rsidR="00550F32" w:rsidRPr="00550F32" w:rsidRDefault="00421A8B" w:rsidP="004B1DA2">
            <w:pPr>
              <w:spacing w:before="120" w:after="120"/>
              <w:jc w:val="center"/>
              <w:rPr>
                <w:rFonts w:ascii="Times New Roman" w:hAnsi="Times New Roman" w:cs="Times New Roman"/>
                <w:b/>
                <w:sz w:val="24"/>
                <w:szCs w:val="24"/>
              </w:rPr>
            </w:pPr>
            <w:r>
              <w:rPr>
                <w:rFonts w:ascii="Times New Roman" w:hAnsi="Times New Roman" w:cs="Times New Roman"/>
                <w:b/>
                <w:sz w:val="24"/>
                <w:szCs w:val="24"/>
              </w:rPr>
              <w:t>Tiekėjų pastabos / siūlymai</w:t>
            </w:r>
          </w:p>
        </w:tc>
        <w:tc>
          <w:tcPr>
            <w:tcW w:w="3428" w:type="dxa"/>
          </w:tcPr>
          <w:p w14:paraId="06C21976" w14:textId="2D2E316E" w:rsidR="00550F32" w:rsidRPr="00550F32" w:rsidRDefault="00421A8B" w:rsidP="004B1DA2">
            <w:pPr>
              <w:spacing w:before="120" w:after="120"/>
              <w:jc w:val="center"/>
              <w:rPr>
                <w:rFonts w:ascii="Times New Roman" w:hAnsi="Times New Roman" w:cs="Times New Roman"/>
                <w:b/>
                <w:sz w:val="24"/>
                <w:szCs w:val="24"/>
              </w:rPr>
            </w:pPr>
            <w:r>
              <w:rPr>
                <w:rFonts w:ascii="Times New Roman" w:hAnsi="Times New Roman" w:cs="Times New Roman"/>
                <w:b/>
                <w:bCs/>
                <w:iCs/>
                <w:sz w:val="24"/>
                <w:szCs w:val="24"/>
              </w:rPr>
              <w:t>Perkančiosios organizacijos atsakymas</w:t>
            </w:r>
          </w:p>
        </w:tc>
      </w:tr>
      <w:tr w:rsidR="002A721F" w:rsidRPr="00550F32" w14:paraId="5B5A5E6C" w14:textId="77777777" w:rsidTr="004B1DA2">
        <w:trPr>
          <w:trHeight w:val="386"/>
        </w:trPr>
        <w:tc>
          <w:tcPr>
            <w:tcW w:w="566" w:type="dxa"/>
            <w:vAlign w:val="center"/>
          </w:tcPr>
          <w:p w14:paraId="7C7B10AB" w14:textId="77777777" w:rsidR="002A721F" w:rsidRPr="00550F32" w:rsidRDefault="002A721F" w:rsidP="004B1DA2">
            <w:pPr>
              <w:spacing w:before="120" w:after="120"/>
              <w:jc w:val="center"/>
              <w:rPr>
                <w:rFonts w:ascii="Times New Roman" w:hAnsi="Times New Roman" w:cs="Times New Roman"/>
                <w:b/>
                <w:sz w:val="24"/>
                <w:szCs w:val="24"/>
              </w:rPr>
            </w:pPr>
          </w:p>
        </w:tc>
        <w:tc>
          <w:tcPr>
            <w:tcW w:w="2463" w:type="dxa"/>
            <w:vAlign w:val="center"/>
          </w:tcPr>
          <w:p w14:paraId="183B7353" w14:textId="77777777" w:rsidR="002A721F" w:rsidRPr="00550F32" w:rsidRDefault="002A721F" w:rsidP="004B1DA2">
            <w:pPr>
              <w:spacing w:before="120" w:after="120"/>
              <w:jc w:val="center"/>
              <w:rPr>
                <w:rFonts w:ascii="Times New Roman" w:hAnsi="Times New Roman" w:cs="Times New Roman"/>
                <w:b/>
                <w:sz w:val="24"/>
                <w:szCs w:val="24"/>
              </w:rPr>
            </w:pPr>
          </w:p>
        </w:tc>
        <w:tc>
          <w:tcPr>
            <w:tcW w:w="4901" w:type="dxa"/>
          </w:tcPr>
          <w:p w14:paraId="3BC3ECBA" w14:textId="77777777" w:rsidR="002A721F" w:rsidRPr="00550F32" w:rsidRDefault="002A721F" w:rsidP="004B1DA2">
            <w:pPr>
              <w:spacing w:before="120" w:after="120"/>
              <w:jc w:val="center"/>
              <w:rPr>
                <w:rFonts w:ascii="Times New Roman" w:hAnsi="Times New Roman" w:cs="Times New Roman"/>
                <w:b/>
                <w:sz w:val="24"/>
                <w:szCs w:val="24"/>
              </w:rPr>
            </w:pPr>
          </w:p>
        </w:tc>
        <w:tc>
          <w:tcPr>
            <w:tcW w:w="3428" w:type="dxa"/>
          </w:tcPr>
          <w:p w14:paraId="28F48DC9" w14:textId="50D2243D" w:rsidR="00B929D7" w:rsidRPr="00B929D7" w:rsidRDefault="00B929D7" w:rsidP="00B929D7">
            <w:pPr>
              <w:rPr>
                <w:rFonts w:ascii="Times New Roman" w:eastAsia="Calibri" w:hAnsi="Times New Roman" w:cs="Times New Roman"/>
                <w:iCs/>
                <w:sz w:val="24"/>
                <w:szCs w:val="24"/>
              </w:rPr>
            </w:pPr>
            <w:r w:rsidRPr="00B929D7">
              <w:rPr>
                <w:rFonts w:ascii="Times New Roman" w:hAnsi="Times New Roman" w:cs="Times New Roman"/>
                <w:b/>
                <w:sz w:val="24"/>
                <w:szCs w:val="24"/>
              </w:rPr>
              <w:t xml:space="preserve">Tiekėjas siūlo </w:t>
            </w:r>
            <w:r w:rsidRPr="00B929D7">
              <w:rPr>
                <w:rFonts w:ascii="Times New Roman" w:eastAsia="Calibri" w:hAnsi="Times New Roman" w:cs="Times New Roman"/>
                <w:iCs/>
                <w:sz w:val="24"/>
                <w:szCs w:val="24"/>
              </w:rPr>
              <w:t>įtraukti papildomą punktą:</w:t>
            </w:r>
          </w:p>
          <w:p w14:paraId="48F02FC3" w14:textId="77777777" w:rsidR="00B929D7" w:rsidRPr="00B929D7" w:rsidRDefault="00B929D7" w:rsidP="00B929D7">
            <w:pPr>
              <w:rPr>
                <w:rFonts w:ascii="Times New Roman" w:eastAsia="Calibri" w:hAnsi="Times New Roman" w:cs="Times New Roman"/>
                <w:iCs/>
                <w:sz w:val="24"/>
                <w:szCs w:val="24"/>
              </w:rPr>
            </w:pPr>
            <w:r w:rsidRPr="00B929D7">
              <w:rPr>
                <w:rFonts w:ascii="Times New Roman" w:eastAsia="Calibri" w:hAnsi="Times New Roman" w:cs="Times New Roman"/>
                <w:i/>
                <w:iCs/>
                <w:sz w:val="24"/>
                <w:szCs w:val="24"/>
              </w:rPr>
              <w:t>Reagentų pakuotės - ne mažesnės kaip 200 tyrimų reagentų pakuotės.</w:t>
            </w:r>
            <w:r w:rsidRPr="00B929D7">
              <w:rPr>
                <w:rFonts w:ascii="Times New Roman" w:eastAsia="Calibri" w:hAnsi="Times New Roman" w:cs="Times New Roman"/>
                <w:iCs/>
                <w:sz w:val="24"/>
                <w:szCs w:val="24"/>
              </w:rPr>
              <w:t xml:space="preserve"> Didesnės pakuotės užtikrina mažesnį atliekų kiekį ir užtikrina efektyvesnį reagentų naudojimą. </w:t>
            </w:r>
          </w:p>
          <w:p w14:paraId="665D7089" w14:textId="41651A37" w:rsidR="002A721F" w:rsidRPr="00B929D7" w:rsidRDefault="002A721F" w:rsidP="00B929D7">
            <w:pPr>
              <w:spacing w:before="120" w:after="120"/>
              <w:rPr>
                <w:rFonts w:ascii="Times New Roman" w:hAnsi="Times New Roman" w:cs="Times New Roman"/>
                <w:b/>
                <w:sz w:val="24"/>
                <w:szCs w:val="24"/>
              </w:rPr>
            </w:pPr>
          </w:p>
        </w:tc>
        <w:tc>
          <w:tcPr>
            <w:tcW w:w="3428" w:type="dxa"/>
          </w:tcPr>
          <w:p w14:paraId="29B33739" w14:textId="591B482F" w:rsidR="002A721F" w:rsidRPr="00A22515" w:rsidRDefault="00A22515" w:rsidP="00A22515">
            <w:pPr>
              <w:spacing w:before="120" w:after="120"/>
              <w:jc w:val="both"/>
              <w:rPr>
                <w:rFonts w:ascii="Times New Roman" w:hAnsi="Times New Roman" w:cs="Times New Roman"/>
                <w:b/>
                <w:bCs/>
                <w:iCs/>
                <w:sz w:val="24"/>
                <w:szCs w:val="24"/>
              </w:rPr>
            </w:pPr>
            <w:r w:rsidRPr="00A22515">
              <w:rPr>
                <w:rFonts w:ascii="Times New Roman" w:hAnsi="Times New Roman" w:cs="Times New Roman"/>
                <w:i/>
                <w:color w:val="00B050"/>
                <w:sz w:val="24"/>
                <w:szCs w:val="24"/>
              </w:rPr>
              <w:t xml:space="preserve">PO neturi duomenų, kiek rinkoje esančių skirtingų gamintojų atitiktų </w:t>
            </w:r>
            <w:r>
              <w:rPr>
                <w:rFonts w:ascii="Times New Roman" w:hAnsi="Times New Roman" w:cs="Times New Roman"/>
                <w:i/>
                <w:color w:val="00B050"/>
                <w:sz w:val="24"/>
                <w:szCs w:val="24"/>
              </w:rPr>
              <w:t>siūlomus</w:t>
            </w:r>
            <w:r w:rsidRPr="00A22515">
              <w:rPr>
                <w:rFonts w:ascii="Times New Roman" w:hAnsi="Times New Roman" w:cs="Times New Roman"/>
                <w:i/>
                <w:color w:val="00B050"/>
                <w:sz w:val="24"/>
                <w:szCs w:val="24"/>
              </w:rPr>
              <w:t xml:space="preserve"> reikalavimus</w:t>
            </w:r>
            <w:r>
              <w:rPr>
                <w:rFonts w:ascii="Times New Roman" w:hAnsi="Times New Roman" w:cs="Times New Roman"/>
                <w:i/>
                <w:color w:val="00B050"/>
                <w:sz w:val="24"/>
                <w:szCs w:val="24"/>
              </w:rPr>
              <w:t xml:space="preserve"> dėl reagentų pakuočių</w:t>
            </w:r>
            <w:r w:rsidRPr="00A22515">
              <w:rPr>
                <w:rFonts w:ascii="Times New Roman" w:hAnsi="Times New Roman" w:cs="Times New Roman"/>
                <w:i/>
                <w:color w:val="00B050"/>
                <w:sz w:val="24"/>
                <w:szCs w:val="24"/>
              </w:rPr>
              <w:t xml:space="preserve">. </w:t>
            </w:r>
            <w:r>
              <w:rPr>
                <w:rFonts w:ascii="Times New Roman" w:hAnsi="Times New Roman" w:cs="Times New Roman"/>
                <w:i/>
                <w:color w:val="00B050"/>
                <w:sz w:val="24"/>
                <w:szCs w:val="24"/>
              </w:rPr>
              <w:t xml:space="preserve">Techninėje specifikacijoje </w:t>
            </w:r>
            <w:r w:rsidR="00D809F9">
              <w:rPr>
                <w:rFonts w:ascii="Times New Roman" w:hAnsi="Times New Roman" w:cs="Times New Roman"/>
                <w:i/>
                <w:color w:val="00B050"/>
                <w:sz w:val="24"/>
                <w:szCs w:val="24"/>
              </w:rPr>
              <w:t>n</w:t>
            </w:r>
            <w:r w:rsidRPr="00A22515">
              <w:rPr>
                <w:rFonts w:ascii="Times New Roman" w:hAnsi="Times New Roman" w:cs="Times New Roman"/>
                <w:i/>
                <w:color w:val="00B050"/>
                <w:sz w:val="24"/>
                <w:szCs w:val="24"/>
              </w:rPr>
              <w:t>urodžius tyrimų skaičių pakuotėje galimai būtų ribojama konkurencij</w:t>
            </w:r>
            <w:r w:rsidR="00D809F9">
              <w:rPr>
                <w:rFonts w:ascii="Times New Roman" w:hAnsi="Times New Roman" w:cs="Times New Roman"/>
                <w:i/>
                <w:color w:val="00B050"/>
                <w:sz w:val="24"/>
                <w:szCs w:val="24"/>
              </w:rPr>
              <w:t>a</w:t>
            </w:r>
            <w:r w:rsidRPr="00A22515">
              <w:rPr>
                <w:rFonts w:ascii="Times New Roman" w:hAnsi="Times New Roman" w:cs="Times New Roman"/>
                <w:i/>
                <w:color w:val="00B050"/>
                <w:sz w:val="24"/>
                <w:szCs w:val="24"/>
              </w:rPr>
              <w:t>.</w:t>
            </w:r>
          </w:p>
        </w:tc>
      </w:tr>
      <w:tr w:rsidR="00550F32" w:rsidRPr="00550F32" w14:paraId="469D1349" w14:textId="77777777" w:rsidTr="004B1DA2">
        <w:tc>
          <w:tcPr>
            <w:tcW w:w="566" w:type="dxa"/>
          </w:tcPr>
          <w:p w14:paraId="3C1C7F07"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2C41F1EE"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Įranga</w:t>
            </w:r>
          </w:p>
        </w:tc>
        <w:tc>
          <w:tcPr>
            <w:tcW w:w="4901" w:type="dxa"/>
          </w:tcPr>
          <w:p w14:paraId="78EB0EC0"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noProof/>
                <w:sz w:val="24"/>
                <w:szCs w:val="24"/>
              </w:rPr>
              <w:t xml:space="preserve">Automatinis biocheminis analizatorius su ISE moduliu – 1 vnt. Nurodyti </w:t>
            </w:r>
            <w:r w:rsidRPr="00550F32">
              <w:rPr>
                <w:rFonts w:ascii="Times New Roman" w:hAnsi="Times New Roman" w:cs="Times New Roman"/>
                <w:sz w:val="24"/>
                <w:szCs w:val="24"/>
              </w:rPr>
              <w:t>siūlomo analizatorių gamintoją, modelį.</w:t>
            </w:r>
          </w:p>
        </w:tc>
        <w:tc>
          <w:tcPr>
            <w:tcW w:w="3428" w:type="dxa"/>
          </w:tcPr>
          <w:p w14:paraId="6CA1CD0A" w14:textId="77777777" w:rsidR="00550F32" w:rsidRPr="00550F32" w:rsidRDefault="00550F32" w:rsidP="004B1DA2">
            <w:pPr>
              <w:rPr>
                <w:rFonts w:ascii="Times New Roman" w:hAnsi="Times New Roman" w:cs="Times New Roman"/>
                <w:noProof/>
                <w:sz w:val="24"/>
                <w:szCs w:val="24"/>
              </w:rPr>
            </w:pPr>
          </w:p>
        </w:tc>
        <w:tc>
          <w:tcPr>
            <w:tcW w:w="3428" w:type="dxa"/>
          </w:tcPr>
          <w:p w14:paraId="1643EB0D" w14:textId="77777777" w:rsidR="00550F32" w:rsidRPr="00550F32" w:rsidRDefault="00550F32" w:rsidP="004B1DA2">
            <w:pPr>
              <w:rPr>
                <w:rFonts w:ascii="Times New Roman" w:hAnsi="Times New Roman" w:cs="Times New Roman"/>
                <w:noProof/>
                <w:sz w:val="24"/>
                <w:szCs w:val="24"/>
              </w:rPr>
            </w:pPr>
          </w:p>
        </w:tc>
      </w:tr>
      <w:tr w:rsidR="00550F32" w:rsidRPr="00550F32" w14:paraId="6020F722" w14:textId="77777777" w:rsidTr="004B1DA2">
        <w:tc>
          <w:tcPr>
            <w:tcW w:w="566" w:type="dxa"/>
          </w:tcPr>
          <w:p w14:paraId="12F9AEE4"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0FB70C5D"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Tiriamoji medžiaga</w:t>
            </w:r>
          </w:p>
        </w:tc>
        <w:tc>
          <w:tcPr>
            <w:tcW w:w="4901" w:type="dxa"/>
          </w:tcPr>
          <w:p w14:paraId="7C6213B7"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Serumas, plazma, šlapimas, kraujas</w:t>
            </w:r>
          </w:p>
        </w:tc>
        <w:tc>
          <w:tcPr>
            <w:tcW w:w="3428" w:type="dxa"/>
          </w:tcPr>
          <w:p w14:paraId="599B3BB4" w14:textId="77777777" w:rsidR="00550F32" w:rsidRPr="00550F32" w:rsidRDefault="00550F32" w:rsidP="004B1DA2">
            <w:pPr>
              <w:rPr>
                <w:rFonts w:ascii="Times New Roman" w:hAnsi="Times New Roman" w:cs="Times New Roman"/>
                <w:sz w:val="24"/>
                <w:szCs w:val="24"/>
              </w:rPr>
            </w:pPr>
          </w:p>
        </w:tc>
        <w:tc>
          <w:tcPr>
            <w:tcW w:w="3428" w:type="dxa"/>
          </w:tcPr>
          <w:p w14:paraId="334E5BB5" w14:textId="77777777" w:rsidR="00550F32" w:rsidRPr="00550F32" w:rsidRDefault="00550F32" w:rsidP="004B1DA2">
            <w:pPr>
              <w:rPr>
                <w:rFonts w:ascii="Times New Roman" w:hAnsi="Times New Roman" w:cs="Times New Roman"/>
                <w:sz w:val="24"/>
                <w:szCs w:val="24"/>
              </w:rPr>
            </w:pPr>
          </w:p>
        </w:tc>
      </w:tr>
      <w:tr w:rsidR="00550F32" w:rsidRPr="00550F32" w14:paraId="771D7B2C" w14:textId="77777777" w:rsidTr="004B1DA2">
        <w:trPr>
          <w:trHeight w:val="295"/>
        </w:trPr>
        <w:tc>
          <w:tcPr>
            <w:tcW w:w="566" w:type="dxa"/>
          </w:tcPr>
          <w:p w14:paraId="6BB5BF05"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366E23B2"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Našumas </w:t>
            </w:r>
          </w:p>
        </w:tc>
        <w:tc>
          <w:tcPr>
            <w:tcW w:w="4901" w:type="dxa"/>
          </w:tcPr>
          <w:p w14:paraId="3A5C2753" w14:textId="77777777" w:rsidR="00550F32" w:rsidRPr="00550F32" w:rsidRDefault="00550F32" w:rsidP="004B1DA2">
            <w:pPr>
              <w:rPr>
                <w:rFonts w:ascii="Times New Roman" w:hAnsi="Times New Roman" w:cs="Times New Roman"/>
                <w:color w:val="FF0000"/>
                <w:sz w:val="24"/>
                <w:szCs w:val="24"/>
              </w:rPr>
            </w:pPr>
            <w:r w:rsidRPr="00550F32">
              <w:rPr>
                <w:rFonts w:ascii="Times New Roman" w:hAnsi="Times New Roman" w:cs="Times New Roman"/>
                <w:sz w:val="24"/>
                <w:szCs w:val="24"/>
              </w:rPr>
              <w:t xml:space="preserve">Ne mažiau kaip 1000 </w:t>
            </w:r>
            <w:proofErr w:type="spellStart"/>
            <w:r w:rsidRPr="00550F32">
              <w:rPr>
                <w:rFonts w:ascii="Times New Roman" w:hAnsi="Times New Roman" w:cs="Times New Roman"/>
                <w:sz w:val="24"/>
                <w:szCs w:val="24"/>
              </w:rPr>
              <w:t>fotometrinių</w:t>
            </w:r>
            <w:proofErr w:type="spellEnd"/>
            <w:r w:rsidRPr="00550F32">
              <w:rPr>
                <w:rFonts w:ascii="Times New Roman" w:hAnsi="Times New Roman" w:cs="Times New Roman"/>
                <w:sz w:val="24"/>
                <w:szCs w:val="24"/>
              </w:rPr>
              <w:t xml:space="preserve"> tyrimų su ISE per valandą</w:t>
            </w:r>
          </w:p>
        </w:tc>
        <w:tc>
          <w:tcPr>
            <w:tcW w:w="3428" w:type="dxa"/>
          </w:tcPr>
          <w:p w14:paraId="79C19C4C" w14:textId="08F023A0" w:rsidR="002E1D2B" w:rsidRPr="002E1D2B" w:rsidRDefault="002E1D2B" w:rsidP="002E1D2B">
            <w:pPr>
              <w:jc w:val="both"/>
              <w:rPr>
                <w:rFonts w:ascii="Times New Roman" w:hAnsi="Times New Roman" w:cs="Times New Roman"/>
                <w:sz w:val="24"/>
                <w:szCs w:val="24"/>
              </w:rPr>
            </w:pPr>
            <w:r>
              <w:rPr>
                <w:rFonts w:ascii="Times New Roman" w:hAnsi="Times New Roman" w:cs="Times New Roman"/>
                <w:sz w:val="24"/>
                <w:szCs w:val="24"/>
              </w:rPr>
              <w:t xml:space="preserve">Tiekėjas siūlo </w:t>
            </w:r>
            <w:r w:rsidRPr="002E1D2B">
              <w:rPr>
                <w:rFonts w:ascii="Times New Roman" w:hAnsi="Times New Roman" w:cs="Times New Roman"/>
                <w:sz w:val="24"/>
                <w:szCs w:val="24"/>
              </w:rPr>
              <w:t xml:space="preserve">išskirti </w:t>
            </w:r>
            <w:proofErr w:type="spellStart"/>
            <w:r w:rsidRPr="002E1D2B">
              <w:rPr>
                <w:rFonts w:ascii="Times New Roman" w:hAnsi="Times New Roman" w:cs="Times New Roman"/>
                <w:sz w:val="24"/>
                <w:szCs w:val="24"/>
              </w:rPr>
              <w:t>fotometrinių</w:t>
            </w:r>
            <w:proofErr w:type="spellEnd"/>
            <w:r w:rsidRPr="002E1D2B">
              <w:rPr>
                <w:rFonts w:ascii="Times New Roman" w:hAnsi="Times New Roman" w:cs="Times New Roman"/>
                <w:sz w:val="24"/>
                <w:szCs w:val="24"/>
              </w:rPr>
              <w:t xml:space="preserve"> tyrimų ir ISE tyrimų skaičių. </w:t>
            </w:r>
          </w:p>
          <w:p w14:paraId="7C5D75D0" w14:textId="52B2AEB2" w:rsidR="00550F32" w:rsidRPr="00550F32" w:rsidRDefault="002E1D2B" w:rsidP="002E1D2B">
            <w:pPr>
              <w:jc w:val="both"/>
              <w:rPr>
                <w:rFonts w:ascii="Times New Roman" w:hAnsi="Times New Roman" w:cs="Times New Roman"/>
                <w:sz w:val="24"/>
                <w:szCs w:val="24"/>
              </w:rPr>
            </w:pPr>
            <w:r w:rsidRPr="002E1D2B">
              <w:rPr>
                <w:rFonts w:ascii="Times New Roman" w:hAnsi="Times New Roman" w:cs="Times New Roman"/>
                <w:sz w:val="24"/>
                <w:szCs w:val="24"/>
              </w:rPr>
              <w:t>Pavy</w:t>
            </w:r>
            <w:r>
              <w:rPr>
                <w:rFonts w:ascii="Times New Roman" w:hAnsi="Times New Roman" w:cs="Times New Roman"/>
                <w:sz w:val="24"/>
                <w:szCs w:val="24"/>
              </w:rPr>
              <w:t>z</w:t>
            </w:r>
            <w:r w:rsidRPr="002E1D2B">
              <w:rPr>
                <w:rFonts w:ascii="Times New Roman" w:hAnsi="Times New Roman" w:cs="Times New Roman"/>
                <w:sz w:val="24"/>
                <w:szCs w:val="24"/>
              </w:rPr>
              <w:t xml:space="preserve">džiui: </w:t>
            </w:r>
            <w:r w:rsidRPr="002E1D2B">
              <w:rPr>
                <w:rFonts w:ascii="Times New Roman" w:hAnsi="Times New Roman" w:cs="Times New Roman"/>
                <w:i/>
                <w:iCs/>
                <w:sz w:val="24"/>
                <w:szCs w:val="24"/>
              </w:rPr>
              <w:t xml:space="preserve">800 </w:t>
            </w:r>
            <w:proofErr w:type="spellStart"/>
            <w:r w:rsidRPr="002E1D2B">
              <w:rPr>
                <w:rFonts w:ascii="Times New Roman" w:hAnsi="Times New Roman" w:cs="Times New Roman"/>
                <w:i/>
                <w:iCs/>
                <w:sz w:val="24"/>
                <w:szCs w:val="24"/>
              </w:rPr>
              <w:t>fotometrinių</w:t>
            </w:r>
            <w:proofErr w:type="spellEnd"/>
            <w:r w:rsidRPr="002E1D2B">
              <w:rPr>
                <w:rFonts w:ascii="Times New Roman" w:hAnsi="Times New Roman" w:cs="Times New Roman"/>
                <w:i/>
                <w:iCs/>
                <w:sz w:val="24"/>
                <w:szCs w:val="24"/>
              </w:rPr>
              <w:t xml:space="preserve"> tyrimų per valandą, o su ISE 1200 tyrimų per valandą.</w:t>
            </w:r>
            <w:r w:rsidRPr="002E1D2B">
              <w:rPr>
                <w:rFonts w:ascii="Times New Roman" w:hAnsi="Times New Roman" w:cs="Times New Roman"/>
                <w:sz w:val="24"/>
                <w:szCs w:val="24"/>
              </w:rPr>
              <w:t xml:space="preserve"> Greitesnis vieno tyrimo atlikimas.</w:t>
            </w:r>
          </w:p>
        </w:tc>
        <w:tc>
          <w:tcPr>
            <w:tcW w:w="3428" w:type="dxa"/>
          </w:tcPr>
          <w:p w14:paraId="287DA486" w14:textId="6C877200" w:rsidR="00550F32" w:rsidRPr="008D355A" w:rsidRDefault="008D355A" w:rsidP="008D355A">
            <w:pPr>
              <w:jc w:val="both"/>
              <w:rPr>
                <w:rFonts w:ascii="Times New Roman" w:hAnsi="Times New Roman" w:cs="Times New Roman"/>
                <w:sz w:val="24"/>
                <w:szCs w:val="24"/>
              </w:rPr>
            </w:pPr>
            <w:r w:rsidRPr="008D355A">
              <w:rPr>
                <w:rFonts w:ascii="Times New Roman" w:hAnsi="Times New Roman" w:cs="Times New Roman"/>
                <w:i/>
                <w:iCs/>
                <w:color w:val="00B050"/>
                <w:sz w:val="24"/>
                <w:szCs w:val="24"/>
              </w:rPr>
              <w:t xml:space="preserve">Atsižvelgiant į tai, kad kiekvienas gamintojas skirtingai pateikia informaciją apie analizatorių našumą, bus vertinamas bendras analizatoriaus našumas per valandą atliekant </w:t>
            </w:r>
            <w:proofErr w:type="spellStart"/>
            <w:r w:rsidRPr="008D355A">
              <w:rPr>
                <w:rFonts w:ascii="Times New Roman" w:hAnsi="Times New Roman" w:cs="Times New Roman"/>
                <w:i/>
                <w:iCs/>
                <w:color w:val="00B050"/>
                <w:sz w:val="24"/>
                <w:szCs w:val="24"/>
              </w:rPr>
              <w:t>fotometrinius</w:t>
            </w:r>
            <w:proofErr w:type="spellEnd"/>
            <w:r w:rsidRPr="008D355A">
              <w:rPr>
                <w:rFonts w:ascii="Times New Roman" w:hAnsi="Times New Roman" w:cs="Times New Roman"/>
                <w:i/>
                <w:iCs/>
                <w:color w:val="00B050"/>
                <w:sz w:val="24"/>
                <w:szCs w:val="24"/>
              </w:rPr>
              <w:t xml:space="preserve"> ir ISE tyrimus.</w:t>
            </w:r>
          </w:p>
        </w:tc>
      </w:tr>
      <w:tr w:rsidR="00550F32" w:rsidRPr="00550F32" w14:paraId="74E84818" w14:textId="77777777" w:rsidTr="004B1DA2">
        <w:tc>
          <w:tcPr>
            <w:tcW w:w="566" w:type="dxa"/>
          </w:tcPr>
          <w:p w14:paraId="410B46AA"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68A2AF03"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Matavimo metodai</w:t>
            </w:r>
          </w:p>
        </w:tc>
        <w:tc>
          <w:tcPr>
            <w:tcW w:w="4901" w:type="dxa"/>
          </w:tcPr>
          <w:p w14:paraId="4420FC54" w14:textId="77777777" w:rsidR="00550F32" w:rsidRPr="00550F32" w:rsidRDefault="00550F32" w:rsidP="004B1DA2">
            <w:pPr>
              <w:rPr>
                <w:rFonts w:ascii="Times New Roman" w:hAnsi="Times New Roman" w:cs="Times New Roman"/>
                <w:sz w:val="24"/>
                <w:szCs w:val="24"/>
              </w:rPr>
            </w:pPr>
            <w:bookmarkStart w:id="4" w:name="_Hlk179295559"/>
            <w:proofErr w:type="spellStart"/>
            <w:r w:rsidRPr="00550F32">
              <w:rPr>
                <w:rFonts w:ascii="Times New Roman" w:hAnsi="Times New Roman" w:cs="Times New Roman"/>
                <w:sz w:val="24"/>
                <w:szCs w:val="24"/>
              </w:rPr>
              <w:t>Fotometrinis</w:t>
            </w:r>
            <w:proofErr w:type="spellEnd"/>
            <w:r w:rsidRPr="00550F32">
              <w:rPr>
                <w:rFonts w:ascii="Times New Roman" w:hAnsi="Times New Roman" w:cs="Times New Roman"/>
                <w:sz w:val="24"/>
                <w:szCs w:val="24"/>
              </w:rPr>
              <w:t xml:space="preserve">, ISE ir / arba </w:t>
            </w:r>
            <w:proofErr w:type="spellStart"/>
            <w:r w:rsidRPr="00550F32">
              <w:rPr>
                <w:rFonts w:ascii="Times New Roman" w:hAnsi="Times New Roman" w:cs="Times New Roman"/>
                <w:sz w:val="24"/>
                <w:szCs w:val="24"/>
              </w:rPr>
              <w:t>turbidimetrinis</w:t>
            </w:r>
            <w:bookmarkEnd w:id="4"/>
            <w:proofErr w:type="spellEnd"/>
          </w:p>
        </w:tc>
        <w:tc>
          <w:tcPr>
            <w:tcW w:w="3428" w:type="dxa"/>
          </w:tcPr>
          <w:p w14:paraId="407CEE1E" w14:textId="77777777" w:rsidR="00550F32" w:rsidRPr="00550F32" w:rsidRDefault="00550F32" w:rsidP="004B1DA2">
            <w:pPr>
              <w:rPr>
                <w:rFonts w:ascii="Times New Roman" w:hAnsi="Times New Roman" w:cs="Times New Roman"/>
                <w:sz w:val="24"/>
                <w:szCs w:val="24"/>
              </w:rPr>
            </w:pPr>
          </w:p>
        </w:tc>
        <w:tc>
          <w:tcPr>
            <w:tcW w:w="3428" w:type="dxa"/>
          </w:tcPr>
          <w:p w14:paraId="13C7D94E" w14:textId="77777777" w:rsidR="00550F32" w:rsidRPr="00550F32" w:rsidRDefault="00550F32" w:rsidP="004B1DA2">
            <w:pPr>
              <w:rPr>
                <w:rFonts w:ascii="Times New Roman" w:hAnsi="Times New Roman" w:cs="Times New Roman"/>
                <w:sz w:val="24"/>
                <w:szCs w:val="24"/>
              </w:rPr>
            </w:pPr>
          </w:p>
        </w:tc>
      </w:tr>
      <w:tr w:rsidR="00550F32" w:rsidRPr="00550F32" w14:paraId="33CF5898" w14:textId="77777777" w:rsidTr="004B1DA2">
        <w:tc>
          <w:tcPr>
            <w:tcW w:w="566" w:type="dxa"/>
          </w:tcPr>
          <w:p w14:paraId="0E22BADB"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65671A08"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Mėginio tūris</w:t>
            </w:r>
          </w:p>
        </w:tc>
        <w:tc>
          <w:tcPr>
            <w:tcW w:w="4901" w:type="dxa"/>
          </w:tcPr>
          <w:p w14:paraId="3F5E80C5"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 ne daugiau 70 µl serumo, plazmos</w:t>
            </w:r>
          </w:p>
          <w:p w14:paraId="277ED392"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b) ne daugiau 100 µl kraujo, šlapimo</w:t>
            </w:r>
          </w:p>
        </w:tc>
        <w:tc>
          <w:tcPr>
            <w:tcW w:w="3428" w:type="dxa"/>
          </w:tcPr>
          <w:p w14:paraId="47873EE3" w14:textId="77777777" w:rsidR="00550F32" w:rsidRPr="00550F32" w:rsidRDefault="00550F32" w:rsidP="004B1DA2">
            <w:pPr>
              <w:rPr>
                <w:rFonts w:ascii="Times New Roman" w:hAnsi="Times New Roman" w:cs="Times New Roman"/>
                <w:sz w:val="24"/>
                <w:szCs w:val="24"/>
              </w:rPr>
            </w:pPr>
          </w:p>
        </w:tc>
        <w:tc>
          <w:tcPr>
            <w:tcW w:w="3428" w:type="dxa"/>
          </w:tcPr>
          <w:p w14:paraId="2A8462CF" w14:textId="77777777" w:rsidR="00550F32" w:rsidRPr="00550F32" w:rsidRDefault="00550F32" w:rsidP="004B1DA2">
            <w:pPr>
              <w:rPr>
                <w:rFonts w:ascii="Times New Roman" w:hAnsi="Times New Roman" w:cs="Times New Roman"/>
                <w:sz w:val="24"/>
                <w:szCs w:val="24"/>
              </w:rPr>
            </w:pPr>
          </w:p>
        </w:tc>
      </w:tr>
      <w:tr w:rsidR="00550F32" w:rsidRPr="00550F32" w14:paraId="38766494" w14:textId="77777777" w:rsidTr="004B1DA2">
        <w:tc>
          <w:tcPr>
            <w:tcW w:w="566" w:type="dxa"/>
          </w:tcPr>
          <w:p w14:paraId="34869E4E"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2B73DD12"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Nepasiekiamas (liekamasis) mėginio tūris</w:t>
            </w:r>
          </w:p>
          <w:p w14:paraId="16F4C100" w14:textId="77777777" w:rsidR="00550F32" w:rsidRPr="00550F32" w:rsidRDefault="00550F32" w:rsidP="004B1DA2">
            <w:pPr>
              <w:rPr>
                <w:rFonts w:ascii="Times New Roman" w:hAnsi="Times New Roman" w:cs="Times New Roman"/>
                <w:sz w:val="24"/>
                <w:szCs w:val="24"/>
              </w:rPr>
            </w:pPr>
          </w:p>
        </w:tc>
        <w:tc>
          <w:tcPr>
            <w:tcW w:w="4901" w:type="dxa"/>
          </w:tcPr>
          <w:p w14:paraId="469CDF16"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 pirminiuose (13x75 mm, 13x100 mm) mėgintuvėliuose – ne daugiau nei 1 ml / 1 cm</w:t>
            </w:r>
          </w:p>
          <w:p w14:paraId="0B2730C7"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b) antriniuose (13x75 mm, 16x100 mm) mėgintuvėliuose - ne daugiau nei 1 ml / 1 cm</w:t>
            </w:r>
          </w:p>
          <w:p w14:paraId="7986F757"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c) </w:t>
            </w:r>
            <w:proofErr w:type="spellStart"/>
            <w:r w:rsidRPr="00550F32">
              <w:rPr>
                <w:rFonts w:ascii="Times New Roman" w:hAnsi="Times New Roman" w:cs="Times New Roman"/>
                <w:sz w:val="24"/>
                <w:szCs w:val="24"/>
              </w:rPr>
              <w:t>mikromėgintuvėliuose</w:t>
            </w:r>
            <w:proofErr w:type="spellEnd"/>
            <w:r w:rsidRPr="00550F32">
              <w:rPr>
                <w:rFonts w:ascii="Times New Roman" w:hAnsi="Times New Roman" w:cs="Times New Roman"/>
                <w:sz w:val="24"/>
                <w:szCs w:val="24"/>
              </w:rPr>
              <w:t xml:space="preserve"> - ne daugiau nei 150 µl</w:t>
            </w:r>
          </w:p>
        </w:tc>
        <w:tc>
          <w:tcPr>
            <w:tcW w:w="3428" w:type="dxa"/>
          </w:tcPr>
          <w:p w14:paraId="49CBB586" w14:textId="77777777" w:rsidR="00550F32" w:rsidRPr="00550F32" w:rsidRDefault="00550F32" w:rsidP="004B1DA2">
            <w:pPr>
              <w:rPr>
                <w:rFonts w:ascii="Times New Roman" w:hAnsi="Times New Roman" w:cs="Times New Roman"/>
                <w:sz w:val="24"/>
                <w:szCs w:val="24"/>
              </w:rPr>
            </w:pPr>
          </w:p>
        </w:tc>
        <w:tc>
          <w:tcPr>
            <w:tcW w:w="3428" w:type="dxa"/>
          </w:tcPr>
          <w:p w14:paraId="26FFA555" w14:textId="77777777" w:rsidR="00550F32" w:rsidRPr="00550F32" w:rsidRDefault="00550F32" w:rsidP="004B1DA2">
            <w:pPr>
              <w:rPr>
                <w:rFonts w:ascii="Times New Roman" w:hAnsi="Times New Roman" w:cs="Times New Roman"/>
                <w:sz w:val="24"/>
                <w:szCs w:val="24"/>
              </w:rPr>
            </w:pPr>
          </w:p>
        </w:tc>
      </w:tr>
      <w:tr w:rsidR="00550F32" w:rsidRPr="00550F32" w14:paraId="2567A7F2" w14:textId="77777777" w:rsidTr="004B1DA2">
        <w:tc>
          <w:tcPr>
            <w:tcW w:w="566" w:type="dxa"/>
          </w:tcPr>
          <w:p w14:paraId="30FD4C2C"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005FF5A0"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Mėginių talpa </w:t>
            </w:r>
          </w:p>
        </w:tc>
        <w:tc>
          <w:tcPr>
            <w:tcW w:w="4901" w:type="dxa"/>
          </w:tcPr>
          <w:p w14:paraId="7C5EB318"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ne mažiau kaip 150 mėginių</w:t>
            </w:r>
          </w:p>
        </w:tc>
        <w:tc>
          <w:tcPr>
            <w:tcW w:w="3428" w:type="dxa"/>
          </w:tcPr>
          <w:p w14:paraId="580993DC" w14:textId="77777777" w:rsidR="00550F32" w:rsidRPr="00550F32" w:rsidRDefault="00550F32" w:rsidP="004B1DA2">
            <w:pPr>
              <w:rPr>
                <w:rFonts w:ascii="Times New Roman" w:hAnsi="Times New Roman" w:cs="Times New Roman"/>
                <w:sz w:val="24"/>
                <w:szCs w:val="24"/>
              </w:rPr>
            </w:pPr>
          </w:p>
        </w:tc>
        <w:tc>
          <w:tcPr>
            <w:tcW w:w="3428" w:type="dxa"/>
          </w:tcPr>
          <w:p w14:paraId="027A359E" w14:textId="77777777" w:rsidR="00550F32" w:rsidRPr="00550F32" w:rsidRDefault="00550F32" w:rsidP="004B1DA2">
            <w:pPr>
              <w:rPr>
                <w:rFonts w:ascii="Times New Roman" w:hAnsi="Times New Roman" w:cs="Times New Roman"/>
                <w:sz w:val="24"/>
                <w:szCs w:val="24"/>
              </w:rPr>
            </w:pPr>
          </w:p>
        </w:tc>
      </w:tr>
      <w:tr w:rsidR="00550F32" w:rsidRPr="00550F32" w14:paraId="044B00EC" w14:textId="77777777" w:rsidTr="004B1DA2">
        <w:tc>
          <w:tcPr>
            <w:tcW w:w="566" w:type="dxa"/>
          </w:tcPr>
          <w:p w14:paraId="14A2B594"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411C9DE5"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Skubių mėginių (STAT) matavimo funkcija</w:t>
            </w:r>
          </w:p>
        </w:tc>
        <w:tc>
          <w:tcPr>
            <w:tcW w:w="4901" w:type="dxa"/>
          </w:tcPr>
          <w:p w14:paraId="01E23DB3"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Privaloma</w:t>
            </w:r>
          </w:p>
        </w:tc>
        <w:tc>
          <w:tcPr>
            <w:tcW w:w="3428" w:type="dxa"/>
          </w:tcPr>
          <w:p w14:paraId="5F65B7E5" w14:textId="77777777" w:rsidR="00550F32" w:rsidRPr="00550F32" w:rsidRDefault="00550F32" w:rsidP="004B1DA2">
            <w:pPr>
              <w:rPr>
                <w:rFonts w:ascii="Times New Roman" w:hAnsi="Times New Roman" w:cs="Times New Roman"/>
                <w:sz w:val="24"/>
                <w:szCs w:val="24"/>
              </w:rPr>
            </w:pPr>
          </w:p>
        </w:tc>
        <w:tc>
          <w:tcPr>
            <w:tcW w:w="3428" w:type="dxa"/>
          </w:tcPr>
          <w:p w14:paraId="5C4CAB0D" w14:textId="77777777" w:rsidR="00550F32" w:rsidRPr="00550F32" w:rsidRDefault="00550F32" w:rsidP="004B1DA2">
            <w:pPr>
              <w:rPr>
                <w:rFonts w:ascii="Times New Roman" w:hAnsi="Times New Roman" w:cs="Times New Roman"/>
                <w:sz w:val="24"/>
                <w:szCs w:val="24"/>
              </w:rPr>
            </w:pPr>
          </w:p>
        </w:tc>
      </w:tr>
      <w:tr w:rsidR="00550F32" w:rsidRPr="00550F32" w14:paraId="1E72F555" w14:textId="77777777" w:rsidTr="004B1DA2">
        <w:tc>
          <w:tcPr>
            <w:tcW w:w="566" w:type="dxa"/>
          </w:tcPr>
          <w:p w14:paraId="4C6F0020"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5964B3C6"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Tiriamų analičių skaičius </w:t>
            </w:r>
          </w:p>
        </w:tc>
        <w:tc>
          <w:tcPr>
            <w:tcW w:w="4901" w:type="dxa"/>
          </w:tcPr>
          <w:p w14:paraId="07519F34"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Ne mažiau kaip 30 analičių vienu metu vienam pacientui</w:t>
            </w:r>
          </w:p>
        </w:tc>
        <w:tc>
          <w:tcPr>
            <w:tcW w:w="3428" w:type="dxa"/>
          </w:tcPr>
          <w:p w14:paraId="6155536C" w14:textId="77777777" w:rsidR="00550F32" w:rsidRPr="00550F32" w:rsidRDefault="00550F32" w:rsidP="004B1DA2">
            <w:pPr>
              <w:rPr>
                <w:rFonts w:ascii="Times New Roman" w:hAnsi="Times New Roman" w:cs="Times New Roman"/>
                <w:sz w:val="24"/>
                <w:szCs w:val="24"/>
              </w:rPr>
            </w:pPr>
          </w:p>
        </w:tc>
        <w:tc>
          <w:tcPr>
            <w:tcW w:w="3428" w:type="dxa"/>
          </w:tcPr>
          <w:p w14:paraId="216E45A8" w14:textId="77777777" w:rsidR="00550F32" w:rsidRPr="00550F32" w:rsidRDefault="00550F32" w:rsidP="004B1DA2">
            <w:pPr>
              <w:rPr>
                <w:rFonts w:ascii="Times New Roman" w:hAnsi="Times New Roman" w:cs="Times New Roman"/>
                <w:sz w:val="24"/>
                <w:szCs w:val="24"/>
              </w:rPr>
            </w:pPr>
          </w:p>
        </w:tc>
      </w:tr>
      <w:tr w:rsidR="00550F32" w:rsidRPr="00550F32" w14:paraId="64832D65" w14:textId="77777777" w:rsidTr="004B1DA2">
        <w:tc>
          <w:tcPr>
            <w:tcW w:w="566" w:type="dxa"/>
          </w:tcPr>
          <w:p w14:paraId="3B3A734E"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4C663E5E"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Mėgintuvėliai</w:t>
            </w:r>
          </w:p>
        </w:tc>
        <w:tc>
          <w:tcPr>
            <w:tcW w:w="4901" w:type="dxa"/>
          </w:tcPr>
          <w:p w14:paraId="09737D7C"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Galimybė matuoti iš:</w:t>
            </w:r>
          </w:p>
          <w:p w14:paraId="2EA1AFA7"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 pirminių mėgintuvėlių (13x75 mm, 13x100 mm)</w:t>
            </w:r>
          </w:p>
          <w:p w14:paraId="0BDC5697"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b) antrinių mėgintuvėlių (13x75 mm, 16x100 mm)</w:t>
            </w:r>
          </w:p>
          <w:p w14:paraId="1EF285D2"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c) </w:t>
            </w:r>
            <w:proofErr w:type="spellStart"/>
            <w:r w:rsidRPr="00550F32">
              <w:rPr>
                <w:rFonts w:ascii="Times New Roman" w:hAnsi="Times New Roman" w:cs="Times New Roman"/>
                <w:sz w:val="24"/>
                <w:szCs w:val="24"/>
              </w:rPr>
              <w:t>mikromėgintuvėlių</w:t>
            </w:r>
            <w:proofErr w:type="spellEnd"/>
          </w:p>
        </w:tc>
        <w:tc>
          <w:tcPr>
            <w:tcW w:w="3428" w:type="dxa"/>
          </w:tcPr>
          <w:p w14:paraId="59048E26" w14:textId="77777777" w:rsidR="00550F32" w:rsidRPr="00550F32" w:rsidRDefault="00550F32" w:rsidP="004B1DA2">
            <w:pPr>
              <w:rPr>
                <w:rFonts w:ascii="Times New Roman" w:hAnsi="Times New Roman" w:cs="Times New Roman"/>
                <w:sz w:val="24"/>
                <w:szCs w:val="24"/>
              </w:rPr>
            </w:pPr>
          </w:p>
        </w:tc>
        <w:tc>
          <w:tcPr>
            <w:tcW w:w="3428" w:type="dxa"/>
          </w:tcPr>
          <w:p w14:paraId="1ECE1EE0" w14:textId="77777777" w:rsidR="00550F32" w:rsidRPr="00550F32" w:rsidRDefault="00550F32" w:rsidP="004B1DA2">
            <w:pPr>
              <w:rPr>
                <w:rFonts w:ascii="Times New Roman" w:hAnsi="Times New Roman" w:cs="Times New Roman"/>
                <w:sz w:val="24"/>
                <w:szCs w:val="24"/>
              </w:rPr>
            </w:pPr>
          </w:p>
        </w:tc>
      </w:tr>
      <w:tr w:rsidR="00550F32" w:rsidRPr="00550F32" w14:paraId="4003B091" w14:textId="77777777" w:rsidTr="004B1DA2">
        <w:tc>
          <w:tcPr>
            <w:tcW w:w="566" w:type="dxa"/>
          </w:tcPr>
          <w:p w14:paraId="17717A79"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77743451"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Nepertraukiamas mėginių talpinimas</w:t>
            </w:r>
          </w:p>
        </w:tc>
        <w:tc>
          <w:tcPr>
            <w:tcW w:w="4901" w:type="dxa"/>
          </w:tcPr>
          <w:p w14:paraId="400808C1"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Privaloma</w:t>
            </w:r>
          </w:p>
        </w:tc>
        <w:tc>
          <w:tcPr>
            <w:tcW w:w="3428" w:type="dxa"/>
          </w:tcPr>
          <w:p w14:paraId="0F449B60" w14:textId="77777777" w:rsidR="00550F32" w:rsidRPr="00550F32" w:rsidRDefault="00550F32" w:rsidP="004B1DA2">
            <w:pPr>
              <w:rPr>
                <w:rFonts w:ascii="Times New Roman" w:hAnsi="Times New Roman" w:cs="Times New Roman"/>
                <w:sz w:val="24"/>
                <w:szCs w:val="24"/>
              </w:rPr>
            </w:pPr>
          </w:p>
        </w:tc>
        <w:tc>
          <w:tcPr>
            <w:tcW w:w="3428" w:type="dxa"/>
          </w:tcPr>
          <w:p w14:paraId="56095B62" w14:textId="77777777" w:rsidR="00550F32" w:rsidRPr="00550F32" w:rsidRDefault="00550F32" w:rsidP="004B1DA2">
            <w:pPr>
              <w:rPr>
                <w:rFonts w:ascii="Times New Roman" w:hAnsi="Times New Roman" w:cs="Times New Roman"/>
                <w:sz w:val="24"/>
                <w:szCs w:val="24"/>
              </w:rPr>
            </w:pPr>
          </w:p>
        </w:tc>
      </w:tr>
      <w:tr w:rsidR="00550F32" w:rsidRPr="00550F32" w14:paraId="0F5B5699" w14:textId="77777777" w:rsidTr="004B1DA2">
        <w:tc>
          <w:tcPr>
            <w:tcW w:w="566" w:type="dxa"/>
          </w:tcPr>
          <w:p w14:paraId="68998F14"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6612DB63"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Mėginių identifikavimas</w:t>
            </w:r>
          </w:p>
          <w:p w14:paraId="7C775F18" w14:textId="77777777" w:rsidR="00550F32" w:rsidRPr="00550F32" w:rsidRDefault="00550F32" w:rsidP="004B1DA2">
            <w:pPr>
              <w:rPr>
                <w:rFonts w:ascii="Times New Roman" w:hAnsi="Times New Roman" w:cs="Times New Roman"/>
                <w:sz w:val="24"/>
                <w:szCs w:val="24"/>
              </w:rPr>
            </w:pPr>
          </w:p>
        </w:tc>
        <w:tc>
          <w:tcPr>
            <w:tcW w:w="4901" w:type="dxa"/>
          </w:tcPr>
          <w:p w14:paraId="0A881EC6"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a) integruotas brūkšninio kodo skaitytuvas            </w:t>
            </w:r>
          </w:p>
          <w:p w14:paraId="23113992"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b) mėgintuvėlio pozicijos atpažinimas</w:t>
            </w:r>
          </w:p>
        </w:tc>
        <w:tc>
          <w:tcPr>
            <w:tcW w:w="3428" w:type="dxa"/>
          </w:tcPr>
          <w:p w14:paraId="66DA4CE2" w14:textId="77777777" w:rsidR="00550F32" w:rsidRPr="00550F32" w:rsidRDefault="00550F32" w:rsidP="004B1DA2">
            <w:pPr>
              <w:rPr>
                <w:rFonts w:ascii="Times New Roman" w:hAnsi="Times New Roman" w:cs="Times New Roman"/>
                <w:sz w:val="24"/>
                <w:szCs w:val="24"/>
              </w:rPr>
            </w:pPr>
          </w:p>
        </w:tc>
        <w:tc>
          <w:tcPr>
            <w:tcW w:w="3428" w:type="dxa"/>
          </w:tcPr>
          <w:p w14:paraId="5FC478CE" w14:textId="77777777" w:rsidR="00550F32" w:rsidRPr="00550F32" w:rsidRDefault="00550F32" w:rsidP="004B1DA2">
            <w:pPr>
              <w:rPr>
                <w:rFonts w:ascii="Times New Roman" w:hAnsi="Times New Roman" w:cs="Times New Roman"/>
                <w:sz w:val="24"/>
                <w:szCs w:val="24"/>
              </w:rPr>
            </w:pPr>
          </w:p>
        </w:tc>
      </w:tr>
      <w:tr w:rsidR="00550F32" w:rsidRPr="00550F32" w14:paraId="7FA98B85" w14:textId="77777777" w:rsidTr="004B1DA2">
        <w:tc>
          <w:tcPr>
            <w:tcW w:w="566" w:type="dxa"/>
          </w:tcPr>
          <w:p w14:paraId="3E15E44E"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68E44B11"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Mėginių paėmimo adata su funkcijomis </w:t>
            </w:r>
          </w:p>
        </w:tc>
        <w:tc>
          <w:tcPr>
            <w:tcW w:w="4901" w:type="dxa"/>
          </w:tcPr>
          <w:p w14:paraId="1920B700"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 skysčio lygio nustatymas;</w:t>
            </w:r>
          </w:p>
          <w:p w14:paraId="17193D17"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b) kliūties aptikimas.</w:t>
            </w:r>
          </w:p>
        </w:tc>
        <w:tc>
          <w:tcPr>
            <w:tcW w:w="3428" w:type="dxa"/>
          </w:tcPr>
          <w:p w14:paraId="3E4956C6" w14:textId="77777777" w:rsidR="00550F32" w:rsidRPr="00550F32" w:rsidRDefault="00550F32" w:rsidP="004B1DA2">
            <w:pPr>
              <w:rPr>
                <w:rFonts w:ascii="Times New Roman" w:hAnsi="Times New Roman" w:cs="Times New Roman"/>
                <w:sz w:val="24"/>
                <w:szCs w:val="24"/>
              </w:rPr>
            </w:pPr>
          </w:p>
        </w:tc>
        <w:tc>
          <w:tcPr>
            <w:tcW w:w="3428" w:type="dxa"/>
          </w:tcPr>
          <w:p w14:paraId="1E92C558" w14:textId="77777777" w:rsidR="00550F32" w:rsidRPr="00550F32" w:rsidRDefault="00550F32" w:rsidP="004B1DA2">
            <w:pPr>
              <w:rPr>
                <w:rFonts w:ascii="Times New Roman" w:hAnsi="Times New Roman" w:cs="Times New Roman"/>
                <w:sz w:val="24"/>
                <w:szCs w:val="24"/>
              </w:rPr>
            </w:pPr>
          </w:p>
        </w:tc>
      </w:tr>
      <w:tr w:rsidR="00550F32" w:rsidRPr="00550F32" w14:paraId="27FBC4F0" w14:textId="77777777" w:rsidTr="004B1DA2">
        <w:tc>
          <w:tcPr>
            <w:tcW w:w="566" w:type="dxa"/>
          </w:tcPr>
          <w:p w14:paraId="265A6341"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749E8ADA"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Skiedimas</w:t>
            </w:r>
          </w:p>
        </w:tc>
        <w:tc>
          <w:tcPr>
            <w:tcW w:w="4901" w:type="dxa"/>
          </w:tcPr>
          <w:p w14:paraId="0141D006"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Automatinis mėginio praskiedimas ir automatinis tyrimo kartojimas viršijus matavimo ribas</w:t>
            </w:r>
          </w:p>
        </w:tc>
        <w:tc>
          <w:tcPr>
            <w:tcW w:w="3428" w:type="dxa"/>
          </w:tcPr>
          <w:p w14:paraId="54D62F59" w14:textId="77777777" w:rsidR="00550F32" w:rsidRPr="00550F32" w:rsidRDefault="00550F32" w:rsidP="004B1DA2">
            <w:pPr>
              <w:rPr>
                <w:rFonts w:ascii="Times New Roman" w:hAnsi="Times New Roman" w:cs="Times New Roman"/>
                <w:sz w:val="24"/>
                <w:szCs w:val="24"/>
              </w:rPr>
            </w:pPr>
          </w:p>
        </w:tc>
        <w:tc>
          <w:tcPr>
            <w:tcW w:w="3428" w:type="dxa"/>
          </w:tcPr>
          <w:p w14:paraId="37E359E0" w14:textId="77777777" w:rsidR="00550F32" w:rsidRPr="00550F32" w:rsidRDefault="00550F32" w:rsidP="004B1DA2">
            <w:pPr>
              <w:rPr>
                <w:rFonts w:ascii="Times New Roman" w:hAnsi="Times New Roman" w:cs="Times New Roman"/>
                <w:sz w:val="24"/>
                <w:szCs w:val="24"/>
              </w:rPr>
            </w:pPr>
          </w:p>
        </w:tc>
      </w:tr>
      <w:tr w:rsidR="00550F32" w:rsidRPr="00550F32" w14:paraId="4B362784" w14:textId="77777777" w:rsidTr="004B1DA2">
        <w:tc>
          <w:tcPr>
            <w:tcW w:w="566" w:type="dxa"/>
          </w:tcPr>
          <w:p w14:paraId="00BEE782"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36C4222C"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Reagentų talpa</w:t>
            </w:r>
          </w:p>
          <w:p w14:paraId="1D5FB174" w14:textId="77777777" w:rsidR="00550F32" w:rsidRPr="00550F32" w:rsidRDefault="00550F32" w:rsidP="004B1DA2">
            <w:pPr>
              <w:rPr>
                <w:rFonts w:ascii="Times New Roman" w:hAnsi="Times New Roman" w:cs="Times New Roman"/>
                <w:sz w:val="24"/>
                <w:szCs w:val="24"/>
              </w:rPr>
            </w:pPr>
          </w:p>
        </w:tc>
        <w:tc>
          <w:tcPr>
            <w:tcW w:w="4901" w:type="dxa"/>
          </w:tcPr>
          <w:p w14:paraId="7B27684F"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a) ne mažiau kaip 50 padėčių </w:t>
            </w:r>
            <w:proofErr w:type="spellStart"/>
            <w:r w:rsidRPr="00550F32">
              <w:rPr>
                <w:rFonts w:ascii="Times New Roman" w:hAnsi="Times New Roman" w:cs="Times New Roman"/>
                <w:sz w:val="24"/>
                <w:szCs w:val="24"/>
              </w:rPr>
              <w:t>fotometrinių</w:t>
            </w:r>
            <w:proofErr w:type="spellEnd"/>
            <w:r w:rsidRPr="00550F32">
              <w:rPr>
                <w:rFonts w:ascii="Times New Roman" w:hAnsi="Times New Roman" w:cs="Times New Roman"/>
                <w:sz w:val="24"/>
                <w:szCs w:val="24"/>
              </w:rPr>
              <w:t xml:space="preserve"> tyrimų reagentams</w:t>
            </w:r>
          </w:p>
          <w:p w14:paraId="31D98F3E"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b) papildomos padėtys ISE reagentams</w:t>
            </w:r>
          </w:p>
        </w:tc>
        <w:tc>
          <w:tcPr>
            <w:tcW w:w="3428" w:type="dxa"/>
          </w:tcPr>
          <w:p w14:paraId="025910C6" w14:textId="77777777" w:rsidR="00550F32" w:rsidRPr="00550F32" w:rsidRDefault="00550F32" w:rsidP="004B1DA2">
            <w:pPr>
              <w:rPr>
                <w:rFonts w:ascii="Times New Roman" w:hAnsi="Times New Roman" w:cs="Times New Roman"/>
                <w:sz w:val="24"/>
                <w:szCs w:val="24"/>
              </w:rPr>
            </w:pPr>
          </w:p>
        </w:tc>
        <w:tc>
          <w:tcPr>
            <w:tcW w:w="3428" w:type="dxa"/>
          </w:tcPr>
          <w:p w14:paraId="2DE527D7" w14:textId="77777777" w:rsidR="00550F32" w:rsidRPr="00550F32" w:rsidRDefault="00550F32" w:rsidP="004B1DA2">
            <w:pPr>
              <w:rPr>
                <w:rFonts w:ascii="Times New Roman" w:hAnsi="Times New Roman" w:cs="Times New Roman"/>
                <w:sz w:val="24"/>
                <w:szCs w:val="24"/>
              </w:rPr>
            </w:pPr>
          </w:p>
        </w:tc>
      </w:tr>
      <w:tr w:rsidR="00550F32" w:rsidRPr="00550F32" w14:paraId="5DB03647" w14:textId="77777777" w:rsidTr="004B1DA2">
        <w:tc>
          <w:tcPr>
            <w:tcW w:w="566" w:type="dxa"/>
          </w:tcPr>
          <w:p w14:paraId="7796DD93"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71BF3C72"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bCs/>
                <w:sz w:val="24"/>
                <w:szCs w:val="24"/>
              </w:rPr>
              <w:t>Reagentų indentifikavimas</w:t>
            </w:r>
          </w:p>
        </w:tc>
        <w:tc>
          <w:tcPr>
            <w:tcW w:w="4901" w:type="dxa"/>
          </w:tcPr>
          <w:p w14:paraId="507EDEEB" w14:textId="77777777" w:rsidR="00550F32" w:rsidRPr="00550F32" w:rsidRDefault="00550F32" w:rsidP="004B1DA2">
            <w:pPr>
              <w:rPr>
                <w:rFonts w:ascii="Times New Roman" w:hAnsi="Times New Roman" w:cs="Times New Roman"/>
                <w:bCs/>
                <w:sz w:val="24"/>
                <w:szCs w:val="24"/>
              </w:rPr>
            </w:pPr>
            <w:r w:rsidRPr="00550F32">
              <w:rPr>
                <w:rFonts w:ascii="Times New Roman" w:hAnsi="Times New Roman" w:cs="Times New Roman"/>
                <w:bCs/>
                <w:sz w:val="24"/>
                <w:szCs w:val="24"/>
              </w:rPr>
              <w:t>i</w:t>
            </w:r>
            <w:r w:rsidRPr="00550F32">
              <w:rPr>
                <w:rFonts w:ascii="Times New Roman" w:hAnsi="Times New Roman" w:cs="Times New Roman"/>
                <w:sz w:val="24"/>
                <w:szCs w:val="24"/>
              </w:rPr>
              <w:t>ntegruoto brūkšninio kodo skaitytuvu arba atpažinimas integruotu radijo dažnio skaitytuvu (RFID)</w:t>
            </w:r>
          </w:p>
        </w:tc>
        <w:tc>
          <w:tcPr>
            <w:tcW w:w="3428" w:type="dxa"/>
          </w:tcPr>
          <w:p w14:paraId="2E3AC0CD" w14:textId="77777777" w:rsidR="00550F32" w:rsidRPr="00550F32" w:rsidRDefault="00550F32" w:rsidP="004B1DA2">
            <w:pPr>
              <w:rPr>
                <w:rFonts w:ascii="Times New Roman" w:hAnsi="Times New Roman" w:cs="Times New Roman"/>
                <w:bCs/>
                <w:sz w:val="24"/>
                <w:szCs w:val="24"/>
              </w:rPr>
            </w:pPr>
          </w:p>
        </w:tc>
        <w:tc>
          <w:tcPr>
            <w:tcW w:w="3428" w:type="dxa"/>
          </w:tcPr>
          <w:p w14:paraId="1F0353BD" w14:textId="77777777" w:rsidR="00550F32" w:rsidRPr="00550F32" w:rsidRDefault="00550F32" w:rsidP="004B1DA2">
            <w:pPr>
              <w:rPr>
                <w:rFonts w:ascii="Times New Roman" w:hAnsi="Times New Roman" w:cs="Times New Roman"/>
                <w:bCs/>
                <w:sz w:val="24"/>
                <w:szCs w:val="24"/>
              </w:rPr>
            </w:pPr>
          </w:p>
        </w:tc>
      </w:tr>
      <w:tr w:rsidR="00550F32" w:rsidRPr="00550F32" w14:paraId="75C67381" w14:textId="77777777" w:rsidTr="004B1DA2">
        <w:tc>
          <w:tcPr>
            <w:tcW w:w="566" w:type="dxa"/>
            <w:shd w:val="clear" w:color="auto" w:fill="auto"/>
          </w:tcPr>
          <w:p w14:paraId="4C1F199C"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shd w:val="clear" w:color="auto" w:fill="auto"/>
          </w:tcPr>
          <w:p w14:paraId="60264B03"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bCs/>
                <w:sz w:val="24"/>
                <w:szCs w:val="24"/>
              </w:rPr>
              <w:t>Reagentų naudojimas</w:t>
            </w:r>
          </w:p>
        </w:tc>
        <w:tc>
          <w:tcPr>
            <w:tcW w:w="4901" w:type="dxa"/>
            <w:shd w:val="clear" w:color="auto" w:fill="auto"/>
          </w:tcPr>
          <w:p w14:paraId="3818AE06"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Pasibaigus reagentui, analizatorius automatiškai pradeda naudoti papildomą reagentą.</w:t>
            </w:r>
          </w:p>
        </w:tc>
        <w:tc>
          <w:tcPr>
            <w:tcW w:w="3428" w:type="dxa"/>
          </w:tcPr>
          <w:p w14:paraId="25D8E04B" w14:textId="77777777" w:rsidR="00550F32" w:rsidRPr="00550F32" w:rsidRDefault="00550F32" w:rsidP="004B1DA2">
            <w:pPr>
              <w:rPr>
                <w:rFonts w:ascii="Times New Roman" w:hAnsi="Times New Roman" w:cs="Times New Roman"/>
                <w:sz w:val="24"/>
                <w:szCs w:val="24"/>
              </w:rPr>
            </w:pPr>
          </w:p>
        </w:tc>
        <w:tc>
          <w:tcPr>
            <w:tcW w:w="3428" w:type="dxa"/>
          </w:tcPr>
          <w:p w14:paraId="0C2154FF" w14:textId="77777777" w:rsidR="00550F32" w:rsidRPr="00550F32" w:rsidRDefault="00550F32" w:rsidP="004B1DA2">
            <w:pPr>
              <w:rPr>
                <w:rFonts w:ascii="Times New Roman" w:hAnsi="Times New Roman" w:cs="Times New Roman"/>
                <w:sz w:val="24"/>
                <w:szCs w:val="24"/>
              </w:rPr>
            </w:pPr>
          </w:p>
        </w:tc>
      </w:tr>
      <w:tr w:rsidR="00550F32" w:rsidRPr="00550F32" w14:paraId="61D412EF" w14:textId="77777777" w:rsidTr="004B1DA2">
        <w:tc>
          <w:tcPr>
            <w:tcW w:w="566" w:type="dxa"/>
          </w:tcPr>
          <w:p w14:paraId="594A16E5"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0A5D32ED"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Nepertraukiamas reagentų laikymas analizatoriuje</w:t>
            </w:r>
          </w:p>
        </w:tc>
        <w:tc>
          <w:tcPr>
            <w:tcW w:w="4901" w:type="dxa"/>
          </w:tcPr>
          <w:p w14:paraId="34775882"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Naudojamų reagentų nereikia išimti darbo dienos pabaigoje ar savaitgaliais</w:t>
            </w:r>
          </w:p>
        </w:tc>
        <w:tc>
          <w:tcPr>
            <w:tcW w:w="3428" w:type="dxa"/>
          </w:tcPr>
          <w:p w14:paraId="618B45B9" w14:textId="77777777" w:rsidR="00550F32" w:rsidRPr="00550F32" w:rsidRDefault="00550F32" w:rsidP="004B1DA2">
            <w:pPr>
              <w:rPr>
                <w:rFonts w:ascii="Times New Roman" w:hAnsi="Times New Roman" w:cs="Times New Roman"/>
                <w:sz w:val="24"/>
                <w:szCs w:val="24"/>
              </w:rPr>
            </w:pPr>
          </w:p>
        </w:tc>
        <w:tc>
          <w:tcPr>
            <w:tcW w:w="3428" w:type="dxa"/>
          </w:tcPr>
          <w:p w14:paraId="36FEA386" w14:textId="77777777" w:rsidR="00550F32" w:rsidRPr="00550F32" w:rsidRDefault="00550F32" w:rsidP="004B1DA2">
            <w:pPr>
              <w:rPr>
                <w:rFonts w:ascii="Times New Roman" w:hAnsi="Times New Roman" w:cs="Times New Roman"/>
                <w:sz w:val="24"/>
                <w:szCs w:val="24"/>
              </w:rPr>
            </w:pPr>
          </w:p>
        </w:tc>
      </w:tr>
      <w:tr w:rsidR="00550F32" w:rsidRPr="00550F32" w14:paraId="04E3F6C6" w14:textId="77777777" w:rsidTr="004B1DA2">
        <w:tc>
          <w:tcPr>
            <w:tcW w:w="566" w:type="dxa"/>
          </w:tcPr>
          <w:p w14:paraId="1FE75110"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081D9E6B"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Automatinis reagentų, medžiagų monitoringas</w:t>
            </w:r>
            <w:r w:rsidRPr="00550F32">
              <w:rPr>
                <w:rFonts w:ascii="Times New Roman" w:hAnsi="Times New Roman" w:cs="Times New Roman"/>
                <w:sz w:val="24"/>
                <w:szCs w:val="24"/>
              </w:rPr>
              <w:br/>
            </w:r>
          </w:p>
          <w:p w14:paraId="73532CE9" w14:textId="77777777" w:rsidR="00550F32" w:rsidRPr="00550F32" w:rsidRDefault="00550F32" w:rsidP="004B1DA2">
            <w:pPr>
              <w:rPr>
                <w:rFonts w:ascii="Times New Roman" w:hAnsi="Times New Roman" w:cs="Times New Roman"/>
                <w:sz w:val="24"/>
                <w:szCs w:val="24"/>
              </w:rPr>
            </w:pPr>
          </w:p>
        </w:tc>
        <w:tc>
          <w:tcPr>
            <w:tcW w:w="4901" w:type="dxa"/>
          </w:tcPr>
          <w:p w14:paraId="58EECFC5"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 reagentų likučio skaičiavimas;</w:t>
            </w:r>
          </w:p>
          <w:p w14:paraId="5CA58C69"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b) automatinis reagentų stabilumo / galiojimo laiko stebėjimas;</w:t>
            </w:r>
          </w:p>
          <w:p w14:paraId="56087BCC"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c) papildomų medžiagų likučio stebėjimas;</w:t>
            </w:r>
          </w:p>
          <w:p w14:paraId="1E823148" w14:textId="77777777" w:rsidR="00550F32" w:rsidRPr="00550F32" w:rsidRDefault="00550F32" w:rsidP="004B1DA2">
            <w:pPr>
              <w:rPr>
                <w:rFonts w:ascii="Times New Roman" w:hAnsi="Times New Roman" w:cs="Times New Roman"/>
                <w:sz w:val="24"/>
                <w:szCs w:val="24"/>
                <w:lang w:val="pt-BR"/>
              </w:rPr>
            </w:pPr>
            <w:r w:rsidRPr="00550F32">
              <w:rPr>
                <w:rFonts w:ascii="Times New Roman" w:hAnsi="Times New Roman" w:cs="Times New Roman"/>
                <w:sz w:val="24"/>
                <w:szCs w:val="24"/>
              </w:rPr>
              <w:t xml:space="preserve">d) atliekų kiekio stebėjimas </w:t>
            </w:r>
            <w:r w:rsidRPr="00550F32">
              <w:rPr>
                <w:rFonts w:ascii="Times New Roman" w:hAnsi="Times New Roman" w:cs="Times New Roman"/>
                <w:i/>
                <w:iCs/>
                <w:sz w:val="24"/>
                <w:szCs w:val="24"/>
                <w:lang w:val="pt-BR"/>
              </w:rPr>
              <w:t>(jei analizatorius nejungiamas prie nuotekų sistemos)</w:t>
            </w:r>
            <w:r w:rsidRPr="00550F32">
              <w:rPr>
                <w:rFonts w:ascii="Times New Roman" w:hAnsi="Times New Roman" w:cs="Times New Roman"/>
                <w:sz w:val="24"/>
                <w:szCs w:val="24"/>
                <w:lang w:val="pt-BR"/>
              </w:rPr>
              <w:t>.</w:t>
            </w:r>
          </w:p>
        </w:tc>
        <w:tc>
          <w:tcPr>
            <w:tcW w:w="3428" w:type="dxa"/>
          </w:tcPr>
          <w:p w14:paraId="03A9476A" w14:textId="77777777" w:rsidR="00550F32" w:rsidRPr="00550F32" w:rsidRDefault="00550F32" w:rsidP="004B1DA2">
            <w:pPr>
              <w:rPr>
                <w:rFonts w:ascii="Times New Roman" w:hAnsi="Times New Roman" w:cs="Times New Roman"/>
                <w:sz w:val="24"/>
                <w:szCs w:val="24"/>
              </w:rPr>
            </w:pPr>
          </w:p>
        </w:tc>
        <w:tc>
          <w:tcPr>
            <w:tcW w:w="3428" w:type="dxa"/>
          </w:tcPr>
          <w:p w14:paraId="10256016" w14:textId="77777777" w:rsidR="00550F32" w:rsidRPr="00550F32" w:rsidRDefault="00550F32" w:rsidP="004B1DA2">
            <w:pPr>
              <w:rPr>
                <w:rFonts w:ascii="Times New Roman" w:hAnsi="Times New Roman" w:cs="Times New Roman"/>
                <w:sz w:val="24"/>
                <w:szCs w:val="24"/>
              </w:rPr>
            </w:pPr>
          </w:p>
        </w:tc>
      </w:tr>
      <w:tr w:rsidR="00550F32" w:rsidRPr="00550F32" w14:paraId="39EEED8A" w14:textId="77777777" w:rsidTr="004B1DA2">
        <w:tc>
          <w:tcPr>
            <w:tcW w:w="566" w:type="dxa"/>
          </w:tcPr>
          <w:p w14:paraId="387EC80C"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72CD3E16"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Reakcijos kiuvetės</w:t>
            </w:r>
          </w:p>
        </w:tc>
        <w:tc>
          <w:tcPr>
            <w:tcW w:w="4901" w:type="dxa"/>
          </w:tcPr>
          <w:p w14:paraId="46D3C801"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 vienkartinės arba daugkartinės (užtikrinama sauga nuo medžiagų pernešimo)</w:t>
            </w:r>
          </w:p>
          <w:p w14:paraId="45ACAB80"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b) keičiamos arba plaunamos automatiškai</w:t>
            </w:r>
          </w:p>
        </w:tc>
        <w:tc>
          <w:tcPr>
            <w:tcW w:w="3428" w:type="dxa"/>
          </w:tcPr>
          <w:p w14:paraId="0C3C1EE0" w14:textId="77777777" w:rsidR="00550F32" w:rsidRPr="00550F32" w:rsidRDefault="00550F32" w:rsidP="004B1DA2">
            <w:pPr>
              <w:rPr>
                <w:rFonts w:ascii="Times New Roman" w:hAnsi="Times New Roman" w:cs="Times New Roman"/>
                <w:sz w:val="24"/>
                <w:szCs w:val="24"/>
              </w:rPr>
            </w:pPr>
          </w:p>
        </w:tc>
        <w:tc>
          <w:tcPr>
            <w:tcW w:w="3428" w:type="dxa"/>
          </w:tcPr>
          <w:p w14:paraId="797934E3" w14:textId="77777777" w:rsidR="00550F32" w:rsidRPr="00550F32" w:rsidRDefault="00550F32" w:rsidP="004B1DA2">
            <w:pPr>
              <w:rPr>
                <w:rFonts w:ascii="Times New Roman" w:hAnsi="Times New Roman" w:cs="Times New Roman"/>
                <w:sz w:val="24"/>
                <w:szCs w:val="24"/>
              </w:rPr>
            </w:pPr>
          </w:p>
        </w:tc>
      </w:tr>
      <w:tr w:rsidR="00550F32" w:rsidRPr="00550F32" w14:paraId="564E7AFC" w14:textId="77777777" w:rsidTr="004B1DA2">
        <w:tc>
          <w:tcPr>
            <w:tcW w:w="566" w:type="dxa"/>
          </w:tcPr>
          <w:p w14:paraId="1E1B9164"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22A55D08"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Atmintis</w:t>
            </w:r>
          </w:p>
        </w:tc>
        <w:tc>
          <w:tcPr>
            <w:tcW w:w="4901" w:type="dxa"/>
          </w:tcPr>
          <w:p w14:paraId="3CEEBC1F"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ne mažiau kaip 10 000 pacientų rezultatų</w:t>
            </w:r>
          </w:p>
        </w:tc>
        <w:tc>
          <w:tcPr>
            <w:tcW w:w="3428" w:type="dxa"/>
          </w:tcPr>
          <w:p w14:paraId="2DB3BE4A" w14:textId="77777777" w:rsidR="00550F32" w:rsidRPr="00550F32" w:rsidRDefault="00550F32" w:rsidP="004B1DA2">
            <w:pPr>
              <w:rPr>
                <w:rFonts w:ascii="Times New Roman" w:hAnsi="Times New Roman" w:cs="Times New Roman"/>
                <w:sz w:val="24"/>
                <w:szCs w:val="24"/>
              </w:rPr>
            </w:pPr>
          </w:p>
        </w:tc>
        <w:tc>
          <w:tcPr>
            <w:tcW w:w="3428" w:type="dxa"/>
          </w:tcPr>
          <w:p w14:paraId="6397EC3B" w14:textId="77777777" w:rsidR="00550F32" w:rsidRPr="00550F32" w:rsidRDefault="00550F32" w:rsidP="004B1DA2">
            <w:pPr>
              <w:rPr>
                <w:rFonts w:ascii="Times New Roman" w:hAnsi="Times New Roman" w:cs="Times New Roman"/>
                <w:sz w:val="24"/>
                <w:szCs w:val="24"/>
              </w:rPr>
            </w:pPr>
          </w:p>
        </w:tc>
      </w:tr>
      <w:tr w:rsidR="00550F32" w:rsidRPr="00550F32" w14:paraId="7FD92EDB" w14:textId="77777777" w:rsidTr="004B1DA2">
        <w:tc>
          <w:tcPr>
            <w:tcW w:w="566" w:type="dxa"/>
          </w:tcPr>
          <w:p w14:paraId="1BD0F070" w14:textId="77777777" w:rsidR="00550F32" w:rsidRPr="00550F32" w:rsidRDefault="00550F32" w:rsidP="00550F32">
            <w:pPr>
              <w:numPr>
                <w:ilvl w:val="0"/>
                <w:numId w:val="7"/>
              </w:numPr>
              <w:spacing w:after="0" w:line="240" w:lineRule="auto"/>
              <w:ind w:left="0" w:firstLine="0"/>
              <w:jc w:val="center"/>
              <w:rPr>
                <w:rFonts w:ascii="Times New Roman" w:hAnsi="Times New Roman" w:cs="Times New Roman"/>
                <w:sz w:val="24"/>
                <w:szCs w:val="24"/>
              </w:rPr>
            </w:pPr>
          </w:p>
        </w:tc>
        <w:tc>
          <w:tcPr>
            <w:tcW w:w="2463" w:type="dxa"/>
          </w:tcPr>
          <w:p w14:paraId="39A4B8D4"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Kokybės kontrolė </w:t>
            </w:r>
          </w:p>
        </w:tc>
        <w:tc>
          <w:tcPr>
            <w:tcW w:w="4901" w:type="dxa"/>
          </w:tcPr>
          <w:p w14:paraId="7F536312"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a) kasdien atliekama dviejų lygių kokybės kontrolė (norma ir patologija).</w:t>
            </w:r>
          </w:p>
          <w:p w14:paraId="3D0CA35F"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b) rezultatai pagal </w:t>
            </w:r>
            <w:proofErr w:type="spellStart"/>
            <w:r w:rsidRPr="00550F32">
              <w:rPr>
                <w:rFonts w:ascii="Times New Roman" w:hAnsi="Times New Roman" w:cs="Times New Roman"/>
                <w:sz w:val="24"/>
                <w:szCs w:val="24"/>
              </w:rPr>
              <w:t>Westergard</w:t>
            </w:r>
            <w:proofErr w:type="spellEnd"/>
            <w:r w:rsidRPr="00550F32">
              <w:rPr>
                <w:rFonts w:ascii="Times New Roman" w:hAnsi="Times New Roman" w:cs="Times New Roman"/>
                <w:sz w:val="24"/>
                <w:szCs w:val="24"/>
              </w:rPr>
              <w:t xml:space="preserve"> taisykles, </w:t>
            </w:r>
            <w:proofErr w:type="spellStart"/>
            <w:r w:rsidRPr="00550F32">
              <w:rPr>
                <w:rFonts w:ascii="Times New Roman" w:hAnsi="Times New Roman" w:cs="Times New Roman"/>
                <w:sz w:val="24"/>
                <w:szCs w:val="24"/>
              </w:rPr>
              <w:t>Levey-Jennings</w:t>
            </w:r>
            <w:proofErr w:type="spellEnd"/>
            <w:r w:rsidRPr="00550F32">
              <w:rPr>
                <w:rFonts w:ascii="Times New Roman" w:hAnsi="Times New Roman" w:cs="Times New Roman"/>
                <w:sz w:val="24"/>
                <w:szCs w:val="24"/>
              </w:rPr>
              <w:t xml:space="preserve"> grafikai.</w:t>
            </w:r>
          </w:p>
        </w:tc>
        <w:tc>
          <w:tcPr>
            <w:tcW w:w="3428" w:type="dxa"/>
          </w:tcPr>
          <w:p w14:paraId="28E45AD7" w14:textId="77777777" w:rsidR="00550F32" w:rsidRPr="00550F32" w:rsidRDefault="00550F32" w:rsidP="004B1DA2">
            <w:pPr>
              <w:rPr>
                <w:rFonts w:ascii="Times New Roman" w:hAnsi="Times New Roman" w:cs="Times New Roman"/>
                <w:sz w:val="24"/>
                <w:szCs w:val="24"/>
              </w:rPr>
            </w:pPr>
          </w:p>
        </w:tc>
        <w:tc>
          <w:tcPr>
            <w:tcW w:w="3428" w:type="dxa"/>
          </w:tcPr>
          <w:p w14:paraId="5B7DB016" w14:textId="77777777" w:rsidR="00550F32" w:rsidRPr="00550F32" w:rsidRDefault="00550F32" w:rsidP="004B1DA2">
            <w:pPr>
              <w:rPr>
                <w:rFonts w:ascii="Times New Roman" w:hAnsi="Times New Roman" w:cs="Times New Roman"/>
                <w:sz w:val="24"/>
                <w:szCs w:val="24"/>
              </w:rPr>
            </w:pPr>
          </w:p>
        </w:tc>
      </w:tr>
      <w:tr w:rsidR="00550F32" w:rsidRPr="00550F32" w14:paraId="068EE1F3" w14:textId="77777777" w:rsidTr="004B1DA2">
        <w:tc>
          <w:tcPr>
            <w:tcW w:w="566" w:type="dxa"/>
          </w:tcPr>
          <w:p w14:paraId="49E772DB"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24.</w:t>
            </w:r>
          </w:p>
        </w:tc>
        <w:tc>
          <w:tcPr>
            <w:tcW w:w="7364" w:type="dxa"/>
            <w:gridSpan w:val="2"/>
          </w:tcPr>
          <w:p w14:paraId="4F2E1998"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Mėginio </w:t>
            </w:r>
            <w:proofErr w:type="spellStart"/>
            <w:r w:rsidRPr="00550F32">
              <w:rPr>
                <w:rFonts w:ascii="Times New Roman" w:hAnsi="Times New Roman" w:cs="Times New Roman"/>
                <w:sz w:val="24"/>
                <w:szCs w:val="24"/>
              </w:rPr>
              <w:t>lipemijos</w:t>
            </w:r>
            <w:proofErr w:type="spellEnd"/>
            <w:r w:rsidRPr="00550F32">
              <w:rPr>
                <w:rFonts w:ascii="Times New Roman" w:hAnsi="Times New Roman" w:cs="Times New Roman"/>
                <w:sz w:val="24"/>
                <w:szCs w:val="24"/>
              </w:rPr>
              <w:t xml:space="preserve">, </w:t>
            </w:r>
            <w:proofErr w:type="spellStart"/>
            <w:r w:rsidRPr="00550F32">
              <w:rPr>
                <w:rFonts w:ascii="Times New Roman" w:hAnsi="Times New Roman" w:cs="Times New Roman"/>
                <w:sz w:val="24"/>
                <w:szCs w:val="24"/>
              </w:rPr>
              <w:t>hemolizės</w:t>
            </w:r>
            <w:proofErr w:type="spellEnd"/>
            <w:r w:rsidRPr="00550F32">
              <w:rPr>
                <w:rFonts w:ascii="Times New Roman" w:hAnsi="Times New Roman" w:cs="Times New Roman"/>
                <w:sz w:val="24"/>
                <w:szCs w:val="24"/>
              </w:rPr>
              <w:t xml:space="preserve">, </w:t>
            </w:r>
            <w:proofErr w:type="spellStart"/>
            <w:r w:rsidRPr="00550F32">
              <w:rPr>
                <w:rFonts w:ascii="Times New Roman" w:hAnsi="Times New Roman" w:cs="Times New Roman"/>
                <w:sz w:val="24"/>
                <w:szCs w:val="24"/>
              </w:rPr>
              <w:t>ikterijos</w:t>
            </w:r>
            <w:proofErr w:type="spellEnd"/>
            <w:r w:rsidRPr="00550F32">
              <w:rPr>
                <w:rFonts w:ascii="Times New Roman" w:hAnsi="Times New Roman" w:cs="Times New Roman"/>
                <w:sz w:val="24"/>
                <w:szCs w:val="24"/>
              </w:rPr>
              <w:t xml:space="preserve"> indekso matavimas </w:t>
            </w:r>
            <w:proofErr w:type="spellStart"/>
            <w:r w:rsidRPr="00550F32">
              <w:rPr>
                <w:rFonts w:ascii="Times New Roman" w:hAnsi="Times New Roman" w:cs="Times New Roman"/>
                <w:sz w:val="24"/>
                <w:szCs w:val="24"/>
              </w:rPr>
              <w:t>fotometriniams</w:t>
            </w:r>
            <w:proofErr w:type="spellEnd"/>
            <w:r w:rsidRPr="00550F32">
              <w:rPr>
                <w:rFonts w:ascii="Times New Roman" w:hAnsi="Times New Roman" w:cs="Times New Roman"/>
                <w:sz w:val="24"/>
                <w:szCs w:val="24"/>
              </w:rPr>
              <w:t xml:space="preserve"> tyrimams</w:t>
            </w:r>
          </w:p>
        </w:tc>
        <w:tc>
          <w:tcPr>
            <w:tcW w:w="3428" w:type="dxa"/>
          </w:tcPr>
          <w:p w14:paraId="3698B47C" w14:textId="77777777" w:rsidR="00550F32" w:rsidRPr="00550F32" w:rsidRDefault="00550F32" w:rsidP="004B1DA2">
            <w:pPr>
              <w:rPr>
                <w:rFonts w:ascii="Times New Roman" w:hAnsi="Times New Roman" w:cs="Times New Roman"/>
                <w:sz w:val="24"/>
                <w:szCs w:val="24"/>
              </w:rPr>
            </w:pPr>
          </w:p>
        </w:tc>
        <w:tc>
          <w:tcPr>
            <w:tcW w:w="3428" w:type="dxa"/>
          </w:tcPr>
          <w:p w14:paraId="1B50D1D7" w14:textId="77777777" w:rsidR="00550F32" w:rsidRPr="00550F32" w:rsidRDefault="00550F32" w:rsidP="004B1DA2">
            <w:pPr>
              <w:rPr>
                <w:rFonts w:ascii="Times New Roman" w:hAnsi="Times New Roman" w:cs="Times New Roman"/>
                <w:sz w:val="24"/>
                <w:szCs w:val="24"/>
              </w:rPr>
            </w:pPr>
          </w:p>
        </w:tc>
      </w:tr>
      <w:tr w:rsidR="00550F32" w:rsidRPr="00550F32" w14:paraId="3ADC8E40" w14:textId="77777777" w:rsidTr="004B1DA2">
        <w:tc>
          <w:tcPr>
            <w:tcW w:w="566" w:type="dxa"/>
          </w:tcPr>
          <w:p w14:paraId="327EEDA3"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25. </w:t>
            </w:r>
          </w:p>
        </w:tc>
        <w:tc>
          <w:tcPr>
            <w:tcW w:w="7364" w:type="dxa"/>
            <w:gridSpan w:val="2"/>
          </w:tcPr>
          <w:p w14:paraId="4A6F4F32"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Tirti HbA1c iš kraujo (EDTA), be papildomo mėginio paruošimo</w:t>
            </w:r>
          </w:p>
        </w:tc>
        <w:tc>
          <w:tcPr>
            <w:tcW w:w="3428" w:type="dxa"/>
          </w:tcPr>
          <w:p w14:paraId="2B3E07DC" w14:textId="77777777" w:rsidR="00550F32" w:rsidRPr="00550F32" w:rsidRDefault="00550F32" w:rsidP="004B1DA2">
            <w:pPr>
              <w:rPr>
                <w:rFonts w:ascii="Times New Roman" w:hAnsi="Times New Roman" w:cs="Times New Roman"/>
                <w:sz w:val="24"/>
                <w:szCs w:val="24"/>
              </w:rPr>
            </w:pPr>
          </w:p>
        </w:tc>
        <w:tc>
          <w:tcPr>
            <w:tcW w:w="3428" w:type="dxa"/>
          </w:tcPr>
          <w:p w14:paraId="05C03C78" w14:textId="77777777" w:rsidR="00550F32" w:rsidRPr="00550F32" w:rsidRDefault="00550F32" w:rsidP="004B1DA2">
            <w:pPr>
              <w:rPr>
                <w:rFonts w:ascii="Times New Roman" w:hAnsi="Times New Roman" w:cs="Times New Roman"/>
                <w:sz w:val="24"/>
                <w:szCs w:val="24"/>
              </w:rPr>
            </w:pPr>
          </w:p>
        </w:tc>
      </w:tr>
      <w:tr w:rsidR="00550F32" w:rsidRPr="00550F32" w14:paraId="645A04B7" w14:textId="77777777" w:rsidTr="004B1DA2">
        <w:tc>
          <w:tcPr>
            <w:tcW w:w="566" w:type="dxa"/>
          </w:tcPr>
          <w:p w14:paraId="3A4A121B"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26.</w:t>
            </w:r>
          </w:p>
        </w:tc>
        <w:tc>
          <w:tcPr>
            <w:tcW w:w="7364" w:type="dxa"/>
            <w:gridSpan w:val="2"/>
          </w:tcPr>
          <w:p w14:paraId="46A55C04"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 xml:space="preserve">Prietaisas autonominis arba jungiamas prie vandentiekio / nuotekų sistemos. Jei analizatorius jungiamas prie vandentiekio, nuotekų sistemos, </w:t>
            </w:r>
            <w:r w:rsidRPr="00550F32">
              <w:rPr>
                <w:rFonts w:ascii="Times New Roman" w:hAnsi="Times New Roman" w:cs="Times New Roman"/>
                <w:sz w:val="24"/>
                <w:szCs w:val="24"/>
              </w:rPr>
              <w:lastRenderedPageBreak/>
              <w:t>tiekėjas įsipareigoja pristatyti visą reikiamą papildomą įrangą ir pajungia analizatorius savo lėšomis*.</w:t>
            </w:r>
          </w:p>
        </w:tc>
        <w:tc>
          <w:tcPr>
            <w:tcW w:w="3428" w:type="dxa"/>
          </w:tcPr>
          <w:p w14:paraId="50C7E6DC" w14:textId="77777777" w:rsidR="00550F32" w:rsidRPr="00550F32" w:rsidRDefault="00550F32" w:rsidP="004B1DA2">
            <w:pPr>
              <w:rPr>
                <w:rFonts w:ascii="Times New Roman" w:hAnsi="Times New Roman" w:cs="Times New Roman"/>
                <w:sz w:val="24"/>
                <w:szCs w:val="24"/>
              </w:rPr>
            </w:pPr>
          </w:p>
        </w:tc>
        <w:tc>
          <w:tcPr>
            <w:tcW w:w="3428" w:type="dxa"/>
          </w:tcPr>
          <w:p w14:paraId="1FF064DC" w14:textId="77777777" w:rsidR="00550F32" w:rsidRPr="00550F32" w:rsidRDefault="00550F32" w:rsidP="004B1DA2">
            <w:pPr>
              <w:rPr>
                <w:rFonts w:ascii="Times New Roman" w:hAnsi="Times New Roman" w:cs="Times New Roman"/>
                <w:sz w:val="24"/>
                <w:szCs w:val="24"/>
              </w:rPr>
            </w:pPr>
          </w:p>
        </w:tc>
      </w:tr>
      <w:tr w:rsidR="00550F32" w:rsidRPr="00550F32" w14:paraId="6DECDCCA" w14:textId="77777777" w:rsidTr="004B1DA2">
        <w:tc>
          <w:tcPr>
            <w:tcW w:w="566" w:type="dxa"/>
          </w:tcPr>
          <w:p w14:paraId="6C73D48B"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27.</w:t>
            </w:r>
          </w:p>
        </w:tc>
        <w:tc>
          <w:tcPr>
            <w:tcW w:w="7364" w:type="dxa"/>
            <w:gridSpan w:val="2"/>
          </w:tcPr>
          <w:p w14:paraId="32ADC033"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Maksimalus plotas skirtas biocheminių tyrimų analizatoriams – ilgis ne daugiau 4,80 m, plotis – ne daugiau 1,20 m.*</w:t>
            </w:r>
          </w:p>
        </w:tc>
        <w:tc>
          <w:tcPr>
            <w:tcW w:w="3428" w:type="dxa"/>
          </w:tcPr>
          <w:p w14:paraId="4EB326FD" w14:textId="77777777" w:rsidR="00550F32" w:rsidRPr="00550F32" w:rsidRDefault="00550F32" w:rsidP="004B1DA2">
            <w:pPr>
              <w:rPr>
                <w:rFonts w:ascii="Times New Roman" w:hAnsi="Times New Roman" w:cs="Times New Roman"/>
                <w:sz w:val="24"/>
                <w:szCs w:val="24"/>
              </w:rPr>
            </w:pPr>
          </w:p>
        </w:tc>
        <w:tc>
          <w:tcPr>
            <w:tcW w:w="3428" w:type="dxa"/>
          </w:tcPr>
          <w:p w14:paraId="49EB962B" w14:textId="77777777" w:rsidR="00550F32" w:rsidRPr="00550F32" w:rsidRDefault="00550F32" w:rsidP="004B1DA2">
            <w:pPr>
              <w:rPr>
                <w:rFonts w:ascii="Times New Roman" w:hAnsi="Times New Roman" w:cs="Times New Roman"/>
                <w:sz w:val="24"/>
                <w:szCs w:val="24"/>
              </w:rPr>
            </w:pPr>
          </w:p>
        </w:tc>
      </w:tr>
      <w:tr w:rsidR="00550F32" w:rsidRPr="00550F32" w14:paraId="60C88D1B" w14:textId="77777777" w:rsidTr="004B1DA2">
        <w:tc>
          <w:tcPr>
            <w:tcW w:w="566" w:type="dxa"/>
          </w:tcPr>
          <w:p w14:paraId="32DF242D" w14:textId="77777777" w:rsidR="00550F32" w:rsidRPr="00550F32" w:rsidRDefault="00550F32" w:rsidP="004B1DA2">
            <w:pPr>
              <w:rPr>
                <w:rFonts w:ascii="Times New Roman" w:hAnsi="Times New Roman" w:cs="Times New Roman"/>
                <w:sz w:val="24"/>
                <w:szCs w:val="24"/>
              </w:rPr>
            </w:pPr>
            <w:r w:rsidRPr="00550F32">
              <w:rPr>
                <w:rFonts w:ascii="Times New Roman" w:hAnsi="Times New Roman" w:cs="Times New Roman"/>
                <w:sz w:val="24"/>
                <w:szCs w:val="24"/>
              </w:rPr>
              <w:t>28.</w:t>
            </w:r>
          </w:p>
        </w:tc>
        <w:tc>
          <w:tcPr>
            <w:tcW w:w="7364" w:type="dxa"/>
            <w:gridSpan w:val="2"/>
          </w:tcPr>
          <w:p w14:paraId="357B9050" w14:textId="77777777" w:rsidR="00550F32" w:rsidRPr="00550F32" w:rsidRDefault="00550F32" w:rsidP="004B1DA2">
            <w:pPr>
              <w:rPr>
                <w:rFonts w:ascii="Times New Roman" w:hAnsi="Times New Roman" w:cs="Times New Roman"/>
                <w:noProof/>
                <w:sz w:val="24"/>
                <w:szCs w:val="24"/>
                <w:lang w:val="pt-BR"/>
              </w:rPr>
            </w:pPr>
            <w:r w:rsidRPr="00550F32">
              <w:rPr>
                <w:rFonts w:ascii="Times New Roman" w:hAnsi="Times New Roman" w:cs="Times New Roman"/>
                <w:noProof/>
                <w:sz w:val="24"/>
                <w:szCs w:val="24"/>
                <w:lang w:val="pt-BR"/>
              </w:rPr>
              <w:t>Analizatoriai nauji, nenaudoti, pagaminti ne anksčiau kaip 2024 m. Nurodyti analizatorių pagaminimo metus.</w:t>
            </w:r>
          </w:p>
        </w:tc>
        <w:tc>
          <w:tcPr>
            <w:tcW w:w="3428" w:type="dxa"/>
          </w:tcPr>
          <w:p w14:paraId="605C2F38" w14:textId="77777777" w:rsidR="00550F32" w:rsidRPr="00550F32" w:rsidRDefault="00550F32" w:rsidP="004B1DA2">
            <w:pPr>
              <w:rPr>
                <w:rFonts w:ascii="Times New Roman" w:hAnsi="Times New Roman" w:cs="Times New Roman"/>
                <w:noProof/>
                <w:sz w:val="24"/>
                <w:szCs w:val="24"/>
                <w:lang w:val="pt-BR"/>
              </w:rPr>
            </w:pPr>
          </w:p>
        </w:tc>
        <w:tc>
          <w:tcPr>
            <w:tcW w:w="3428" w:type="dxa"/>
          </w:tcPr>
          <w:p w14:paraId="4B8C4F3C" w14:textId="77777777" w:rsidR="00550F32" w:rsidRPr="00550F32" w:rsidRDefault="00550F32" w:rsidP="004B1DA2">
            <w:pPr>
              <w:rPr>
                <w:rFonts w:ascii="Times New Roman" w:hAnsi="Times New Roman" w:cs="Times New Roman"/>
                <w:noProof/>
                <w:sz w:val="24"/>
                <w:szCs w:val="24"/>
                <w:lang w:val="pt-BR"/>
              </w:rPr>
            </w:pPr>
            <w:r w:rsidRPr="00550F32">
              <w:rPr>
                <w:rFonts w:ascii="Times New Roman" w:hAnsi="Times New Roman" w:cs="Times New Roman"/>
                <w:sz w:val="24"/>
                <w:szCs w:val="24"/>
                <w:lang w:val="pt-BR"/>
              </w:rPr>
              <w:t xml:space="preserve">Analizatorių pagaminimo metus pagrindžiančios nuorodos nebūtina pateikti. </w:t>
            </w:r>
            <w:r w:rsidRPr="00550F32">
              <w:rPr>
                <w:rFonts w:ascii="Times New Roman" w:hAnsi="Times New Roman" w:cs="Times New Roman"/>
                <w:sz w:val="24"/>
                <w:szCs w:val="24"/>
              </w:rPr>
              <w:t>Atitiktis tikrinama įrangos pristatymo metu.</w:t>
            </w:r>
          </w:p>
        </w:tc>
      </w:tr>
    </w:tbl>
    <w:p w14:paraId="08DA3C9F" w14:textId="77777777" w:rsidR="00550F32" w:rsidRPr="00550F32" w:rsidRDefault="00550F32" w:rsidP="00550F32">
      <w:pPr>
        <w:jc w:val="both"/>
        <w:rPr>
          <w:rFonts w:ascii="Times New Roman" w:hAnsi="Times New Roman" w:cs="Times New Roman"/>
          <w:b/>
          <w:sz w:val="24"/>
          <w:szCs w:val="24"/>
        </w:rPr>
      </w:pPr>
      <w:r w:rsidRPr="00550F32">
        <w:rPr>
          <w:rFonts w:ascii="Times New Roman" w:hAnsi="Times New Roman" w:cs="Times New Roman"/>
          <w:sz w:val="24"/>
          <w:szCs w:val="24"/>
        </w:rPr>
        <w:t>* Tiekėjams bus suteikiama galimybė iki pasiūlymų pateikimo termino pabaigos apžiūrėti Pirkėjo patalpą, kurioje turės būti sumontuotas panaudai siūlomas analizatorius</w:t>
      </w:r>
      <w:r w:rsidRPr="00550F32">
        <w:rPr>
          <w:rStyle w:val="Dokumentoinaosnumeris"/>
          <w:rFonts w:ascii="Times New Roman" w:hAnsi="Times New Roman" w:cs="Times New Roman"/>
          <w:sz w:val="24"/>
          <w:szCs w:val="24"/>
        </w:rPr>
        <w:endnoteReference w:id="2"/>
      </w:r>
      <w:r w:rsidRPr="00550F32">
        <w:rPr>
          <w:rFonts w:ascii="Times New Roman" w:hAnsi="Times New Roman" w:cs="Times New Roman"/>
          <w:b/>
          <w:sz w:val="24"/>
          <w:szCs w:val="24"/>
        </w:rPr>
        <w:t xml:space="preserve">. </w:t>
      </w:r>
    </w:p>
    <w:p w14:paraId="7EA2F78F" w14:textId="05EDB648" w:rsidR="00350FF5" w:rsidRDefault="00350FF5">
      <w:pPr>
        <w:rPr>
          <w:rFonts w:ascii="Times New Roman" w:hAnsi="Times New Roman" w:cs="Times New Roman"/>
          <w:sz w:val="24"/>
          <w:szCs w:val="24"/>
        </w:rPr>
      </w:pPr>
    </w:p>
    <w:p w14:paraId="63EB09AC" w14:textId="23C45356" w:rsidR="00350FF5" w:rsidRPr="00350FF5" w:rsidRDefault="00350FF5">
      <w:pPr>
        <w:rPr>
          <w:rFonts w:ascii="Times New Roman" w:hAnsi="Times New Roman" w:cs="Times New Roman"/>
          <w:b/>
          <w:bCs/>
          <w:sz w:val="24"/>
          <w:szCs w:val="24"/>
        </w:rPr>
      </w:pPr>
      <w:r w:rsidRPr="00350FF5">
        <w:rPr>
          <w:rFonts w:ascii="Times New Roman" w:hAnsi="Times New Roman" w:cs="Times New Roman"/>
          <w:b/>
          <w:bCs/>
          <w:sz w:val="24"/>
          <w:szCs w:val="24"/>
        </w:rPr>
        <w:t>Tiekėjų pastabos dėl pirkimo sąlygų</w:t>
      </w:r>
    </w:p>
    <w:tbl>
      <w:tblPr>
        <w:tblStyle w:val="Lentelstinklelis"/>
        <w:tblW w:w="0" w:type="auto"/>
        <w:tblLook w:val="04A0" w:firstRow="1" w:lastRow="0" w:firstColumn="1" w:lastColumn="0" w:noHBand="0" w:noVBand="1"/>
      </w:tblPr>
      <w:tblGrid>
        <w:gridCol w:w="4313"/>
        <w:gridCol w:w="4841"/>
        <w:gridCol w:w="4839"/>
      </w:tblGrid>
      <w:tr w:rsidR="00350FF5" w:rsidRPr="00A41C5D" w14:paraId="5D9BB11D" w14:textId="77777777" w:rsidTr="00350FF5">
        <w:tc>
          <w:tcPr>
            <w:tcW w:w="4313" w:type="dxa"/>
          </w:tcPr>
          <w:p w14:paraId="5730D531" w14:textId="5563A900" w:rsidR="00350FF5" w:rsidRPr="00A41C5D" w:rsidRDefault="00350FF5" w:rsidP="00A41C5D">
            <w:pPr>
              <w:jc w:val="center"/>
              <w:rPr>
                <w:rFonts w:ascii="Times New Roman" w:hAnsi="Times New Roman" w:cs="Times New Roman"/>
                <w:b/>
                <w:bCs/>
                <w:sz w:val="24"/>
                <w:szCs w:val="24"/>
              </w:rPr>
            </w:pPr>
            <w:r w:rsidRPr="00A41C5D">
              <w:rPr>
                <w:rFonts w:ascii="Times New Roman" w:hAnsi="Times New Roman" w:cs="Times New Roman"/>
                <w:b/>
                <w:bCs/>
                <w:sz w:val="24"/>
                <w:szCs w:val="24"/>
              </w:rPr>
              <w:t xml:space="preserve">Dabartinė </w:t>
            </w:r>
            <w:r w:rsidR="004F20A2" w:rsidRPr="00A41C5D">
              <w:rPr>
                <w:rFonts w:ascii="Times New Roman" w:hAnsi="Times New Roman" w:cs="Times New Roman"/>
                <w:b/>
                <w:bCs/>
                <w:sz w:val="24"/>
                <w:szCs w:val="24"/>
              </w:rPr>
              <w:t>pirkimo sąlygų formuluotė</w:t>
            </w:r>
          </w:p>
        </w:tc>
        <w:tc>
          <w:tcPr>
            <w:tcW w:w="4841" w:type="dxa"/>
          </w:tcPr>
          <w:p w14:paraId="56ABC055" w14:textId="06571E44" w:rsidR="00350FF5" w:rsidRPr="00A41C5D" w:rsidRDefault="00350FF5" w:rsidP="00A41C5D">
            <w:pPr>
              <w:jc w:val="center"/>
              <w:rPr>
                <w:rFonts w:ascii="Times New Roman" w:hAnsi="Times New Roman" w:cs="Times New Roman"/>
                <w:b/>
                <w:bCs/>
                <w:sz w:val="24"/>
                <w:szCs w:val="24"/>
              </w:rPr>
            </w:pPr>
            <w:r w:rsidRPr="00A41C5D">
              <w:rPr>
                <w:rFonts w:ascii="Times New Roman" w:hAnsi="Times New Roman" w:cs="Times New Roman"/>
                <w:b/>
                <w:bCs/>
                <w:sz w:val="24"/>
                <w:szCs w:val="24"/>
              </w:rPr>
              <w:t>Tiekėjų pastabos / siūlymai</w:t>
            </w:r>
          </w:p>
        </w:tc>
        <w:tc>
          <w:tcPr>
            <w:tcW w:w="4839" w:type="dxa"/>
          </w:tcPr>
          <w:p w14:paraId="15FE7358" w14:textId="1F2F1D63" w:rsidR="00350FF5" w:rsidRPr="00A41C5D" w:rsidRDefault="00350FF5" w:rsidP="00A41C5D">
            <w:pPr>
              <w:jc w:val="center"/>
              <w:rPr>
                <w:rFonts w:ascii="Times New Roman" w:hAnsi="Times New Roman" w:cs="Times New Roman"/>
                <w:b/>
                <w:bCs/>
                <w:sz w:val="24"/>
                <w:szCs w:val="24"/>
              </w:rPr>
            </w:pPr>
            <w:r w:rsidRPr="00A41C5D">
              <w:rPr>
                <w:rFonts w:ascii="Times New Roman" w:hAnsi="Times New Roman" w:cs="Times New Roman"/>
                <w:b/>
                <w:bCs/>
                <w:sz w:val="24"/>
                <w:szCs w:val="24"/>
              </w:rPr>
              <w:t>Perkančiosios organizacijos atsakymas</w:t>
            </w:r>
          </w:p>
        </w:tc>
      </w:tr>
      <w:tr w:rsidR="00647B8D" w:rsidRPr="002132FE" w14:paraId="5B5543A6" w14:textId="77777777" w:rsidTr="00350FF5">
        <w:tc>
          <w:tcPr>
            <w:tcW w:w="4313" w:type="dxa"/>
          </w:tcPr>
          <w:p w14:paraId="55A57D02" w14:textId="77777777" w:rsidR="00611B22" w:rsidRPr="0054347F" w:rsidRDefault="006805F4" w:rsidP="00611B22">
            <w:pPr>
              <w:spacing w:line="240" w:lineRule="auto"/>
              <w:contextualSpacing/>
              <w:jc w:val="both"/>
              <w:rPr>
                <w:rFonts w:ascii="Times New Roman" w:eastAsia="Times New Roman" w:hAnsi="Times New Roman" w:cs="Times New Roman"/>
                <w:sz w:val="24"/>
                <w:szCs w:val="24"/>
              </w:rPr>
            </w:pPr>
            <w:r w:rsidRPr="0054347F">
              <w:rPr>
                <w:rFonts w:ascii="Times New Roman" w:hAnsi="Times New Roman" w:cs="Times New Roman"/>
                <w:sz w:val="24"/>
                <w:szCs w:val="24"/>
              </w:rPr>
              <w:t xml:space="preserve">40. </w:t>
            </w:r>
            <w:r w:rsidR="00611B22" w:rsidRPr="0054347F">
              <w:rPr>
                <w:rFonts w:ascii="Times New Roman" w:eastAsia="Times New Roman" w:hAnsi="Times New Roman" w:cs="Times New Roman"/>
                <w:sz w:val="24"/>
                <w:szCs w:val="24"/>
              </w:rPr>
              <w:t xml:space="preserve">Perkančioji organizacija šiame pirkime nereikalauja, kad tiekėjai laikytųsi kokybės vadybos sistemos ir (arba) aplinkos apsaugos vadybos sistemos standartų. </w:t>
            </w:r>
          </w:p>
          <w:p w14:paraId="1FA35843" w14:textId="48B9A5F8" w:rsidR="00647B8D" w:rsidRPr="0054347F" w:rsidRDefault="00647B8D" w:rsidP="00647B8D">
            <w:pPr>
              <w:rPr>
                <w:rFonts w:ascii="Times New Roman" w:hAnsi="Times New Roman" w:cs="Times New Roman"/>
                <w:sz w:val="24"/>
                <w:szCs w:val="24"/>
              </w:rPr>
            </w:pPr>
          </w:p>
        </w:tc>
        <w:tc>
          <w:tcPr>
            <w:tcW w:w="4841" w:type="dxa"/>
          </w:tcPr>
          <w:p w14:paraId="587DC46D" w14:textId="3A1B4BAF" w:rsidR="00647B8D" w:rsidRPr="0054347F" w:rsidRDefault="00C05059" w:rsidP="00D4790E">
            <w:pPr>
              <w:jc w:val="both"/>
              <w:rPr>
                <w:rFonts w:ascii="Times New Roman" w:hAnsi="Times New Roman" w:cs="Times New Roman"/>
                <w:sz w:val="24"/>
                <w:szCs w:val="24"/>
              </w:rPr>
            </w:pPr>
            <w:r w:rsidRPr="0054347F">
              <w:rPr>
                <w:rFonts w:ascii="Times New Roman" w:hAnsi="Times New Roman" w:cs="Times New Roman"/>
                <w:sz w:val="24"/>
                <w:szCs w:val="24"/>
              </w:rPr>
              <w:t xml:space="preserve">Tiekėjas siūlo </w:t>
            </w:r>
            <w:r w:rsidR="00D4790E" w:rsidRPr="0054347F">
              <w:rPr>
                <w:rFonts w:ascii="Times New Roman" w:hAnsi="Times New Roman" w:cs="Times New Roman"/>
                <w:sz w:val="24"/>
                <w:szCs w:val="24"/>
              </w:rPr>
              <w:t xml:space="preserve">įtraukti </w:t>
            </w:r>
            <w:r w:rsidR="005B5521" w:rsidRPr="0054347F">
              <w:rPr>
                <w:rFonts w:ascii="Times New Roman" w:hAnsi="Times New Roman" w:cs="Times New Roman"/>
                <w:sz w:val="24"/>
                <w:szCs w:val="24"/>
              </w:rPr>
              <w:t xml:space="preserve">reikalavimą dėl </w:t>
            </w:r>
            <w:r w:rsidR="00D4790E" w:rsidRPr="0054347F">
              <w:rPr>
                <w:rFonts w:ascii="Times New Roman" w:hAnsi="Times New Roman" w:cs="Times New Roman"/>
                <w:sz w:val="24"/>
                <w:szCs w:val="24"/>
              </w:rPr>
              <w:t>ISO 14001:2015, todėl, kad įrangą reikia prižiūrėti, remontuoti garantinio metu, o tai yra paslauga, todėl šis ISO yra idealus, kad tiekėjas jį turėtų.</w:t>
            </w:r>
          </w:p>
        </w:tc>
        <w:tc>
          <w:tcPr>
            <w:tcW w:w="4839" w:type="dxa"/>
          </w:tcPr>
          <w:p w14:paraId="2A450489" w14:textId="77777777" w:rsidR="00647B8D" w:rsidRDefault="00CD1C02" w:rsidP="00C43141">
            <w:pPr>
              <w:jc w:val="both"/>
              <w:rPr>
                <w:rFonts w:ascii="Times New Roman" w:hAnsi="Times New Roman" w:cs="Times New Roman"/>
                <w:sz w:val="24"/>
                <w:szCs w:val="24"/>
              </w:rPr>
            </w:pPr>
            <w:r w:rsidRPr="0054347F">
              <w:rPr>
                <w:rFonts w:ascii="Times New Roman" w:hAnsi="Times New Roman" w:cs="Times New Roman"/>
                <w:sz w:val="24"/>
                <w:szCs w:val="24"/>
              </w:rPr>
              <w:t xml:space="preserve">Perkančioji organizacija </w:t>
            </w:r>
            <w:r w:rsidR="007513D3" w:rsidRPr="0054347F">
              <w:rPr>
                <w:rFonts w:ascii="Times New Roman" w:hAnsi="Times New Roman" w:cs="Times New Roman"/>
                <w:sz w:val="24"/>
                <w:szCs w:val="24"/>
              </w:rPr>
              <w:t xml:space="preserve">aplinkosauginius </w:t>
            </w:r>
            <w:r w:rsidR="00C22622" w:rsidRPr="0054347F">
              <w:rPr>
                <w:rFonts w:ascii="Times New Roman" w:hAnsi="Times New Roman" w:cs="Times New Roman"/>
                <w:sz w:val="24"/>
                <w:szCs w:val="24"/>
              </w:rPr>
              <w:t xml:space="preserve">kriterijus nustatė atsižvelgiant į </w:t>
            </w:r>
            <w:r w:rsidR="00C22622" w:rsidRPr="0054347F">
              <w:rPr>
                <w:rFonts w:ascii="Times New Roman" w:hAnsi="Times New Roman" w:cs="Times New Roman"/>
                <w:b/>
                <w:bCs/>
                <w:sz w:val="24"/>
                <w:szCs w:val="24"/>
              </w:rPr>
              <w:t>pirkimo objektą</w:t>
            </w:r>
            <w:r w:rsidR="00C22622" w:rsidRPr="0054347F">
              <w:rPr>
                <w:rFonts w:ascii="Times New Roman" w:hAnsi="Times New Roman" w:cs="Times New Roman"/>
                <w:sz w:val="24"/>
                <w:szCs w:val="24"/>
              </w:rPr>
              <w:t xml:space="preserve"> bei vadovaudamasi </w:t>
            </w:r>
            <w:r w:rsidR="00E12E6C" w:rsidRPr="0054347F">
              <w:rPr>
                <w:rFonts w:ascii="Times New Roman" w:hAnsi="Times New Roman" w:cs="Times New Roman"/>
                <w:sz w:val="24"/>
                <w:szCs w:val="24"/>
              </w:rPr>
              <w:t xml:space="preserve"> Aplinkos ministro įsakymu patvirtinto </w:t>
            </w:r>
            <w:r w:rsidR="00C22622" w:rsidRPr="0054347F">
              <w:rPr>
                <w:rFonts w:ascii="Times New Roman" w:hAnsi="Times New Roman" w:cs="Times New Roman"/>
                <w:sz w:val="24"/>
                <w:szCs w:val="24"/>
              </w:rPr>
              <w:t>Tvarkos aprašo</w:t>
            </w:r>
            <w:r w:rsidR="00BC7EDF" w:rsidRPr="0054347F">
              <w:rPr>
                <w:rFonts w:ascii="Times New Roman" w:hAnsi="Times New Roman" w:cs="Times New Roman"/>
                <w:sz w:val="24"/>
                <w:szCs w:val="24"/>
              </w:rPr>
              <w:t xml:space="preserve"> 4 punkte nustatyta tvarka ir s</w:t>
            </w:r>
            <w:r w:rsidR="0064740F" w:rsidRPr="0054347F">
              <w:rPr>
                <w:rFonts w:ascii="Times New Roman" w:hAnsi="Times New Roman" w:cs="Times New Roman"/>
                <w:sz w:val="24"/>
                <w:szCs w:val="24"/>
              </w:rPr>
              <w:t xml:space="preserve">ąlygomis. </w:t>
            </w:r>
            <w:r w:rsidR="00670A9D" w:rsidRPr="0054347F">
              <w:rPr>
                <w:rFonts w:ascii="Times New Roman" w:hAnsi="Times New Roman" w:cs="Times New Roman"/>
                <w:sz w:val="24"/>
                <w:szCs w:val="24"/>
              </w:rPr>
              <w:t>A</w:t>
            </w:r>
            <w:r w:rsidR="00724B64" w:rsidRPr="0054347F">
              <w:rPr>
                <w:rFonts w:ascii="Times New Roman" w:hAnsi="Times New Roman" w:cs="Times New Roman"/>
                <w:sz w:val="24"/>
                <w:szCs w:val="24"/>
              </w:rPr>
              <w:t>plinkos apsaugos vadybos sistemos reikalavim</w:t>
            </w:r>
            <w:r w:rsidR="00E10515">
              <w:rPr>
                <w:rFonts w:ascii="Times New Roman" w:hAnsi="Times New Roman" w:cs="Times New Roman"/>
                <w:sz w:val="24"/>
                <w:szCs w:val="24"/>
              </w:rPr>
              <w:t>as</w:t>
            </w:r>
            <w:r w:rsidR="00724B64" w:rsidRPr="0054347F">
              <w:rPr>
                <w:rFonts w:ascii="Times New Roman" w:hAnsi="Times New Roman" w:cs="Times New Roman"/>
                <w:sz w:val="24"/>
                <w:szCs w:val="24"/>
              </w:rPr>
              <w:t xml:space="preserve"> prekės (įrangos) tiekėjui</w:t>
            </w:r>
            <w:r w:rsidR="00670A9D" w:rsidRPr="0054347F">
              <w:rPr>
                <w:rFonts w:ascii="Times New Roman" w:hAnsi="Times New Roman" w:cs="Times New Roman"/>
                <w:sz w:val="24"/>
                <w:szCs w:val="24"/>
              </w:rPr>
              <w:t xml:space="preserve"> nekeliamas</w:t>
            </w:r>
            <w:r w:rsidR="00724B64" w:rsidRPr="0054347F">
              <w:rPr>
                <w:rFonts w:ascii="Times New Roman" w:hAnsi="Times New Roman" w:cs="Times New Roman"/>
                <w:sz w:val="24"/>
                <w:szCs w:val="24"/>
              </w:rPr>
              <w:t xml:space="preserve">, nes </w:t>
            </w:r>
            <w:r w:rsidR="0054347F" w:rsidRPr="0054347F">
              <w:rPr>
                <w:rFonts w:ascii="Times New Roman" w:hAnsi="Times New Roman" w:cs="Times New Roman"/>
                <w:sz w:val="24"/>
                <w:szCs w:val="24"/>
              </w:rPr>
              <w:t xml:space="preserve">šiuo pirkimu </w:t>
            </w:r>
            <w:r w:rsidR="0054347F" w:rsidRPr="00E10515">
              <w:rPr>
                <w:rFonts w:ascii="Times New Roman" w:hAnsi="Times New Roman" w:cs="Times New Roman"/>
                <w:b/>
                <w:bCs/>
                <w:sz w:val="24"/>
                <w:szCs w:val="24"/>
              </w:rPr>
              <w:t>siekiama įsigyti prekes</w:t>
            </w:r>
            <w:r w:rsidR="0054347F" w:rsidRPr="0054347F">
              <w:rPr>
                <w:rFonts w:ascii="Times New Roman" w:hAnsi="Times New Roman" w:cs="Times New Roman"/>
                <w:sz w:val="24"/>
                <w:szCs w:val="24"/>
              </w:rPr>
              <w:t xml:space="preserve">, o ne </w:t>
            </w:r>
            <w:r w:rsidR="00724B64" w:rsidRPr="0054347F">
              <w:rPr>
                <w:rFonts w:ascii="Times New Roman" w:hAnsi="Times New Roman" w:cs="Times New Roman"/>
                <w:sz w:val="24"/>
                <w:szCs w:val="24"/>
              </w:rPr>
              <w:t xml:space="preserve"> paslaugas ir (arba) darbus.</w:t>
            </w:r>
          </w:p>
          <w:p w14:paraId="6BE56B60" w14:textId="60A3B848" w:rsidR="008A6DDC" w:rsidRPr="0054347F" w:rsidRDefault="00A75BE0" w:rsidP="00C43141">
            <w:pPr>
              <w:jc w:val="both"/>
              <w:rPr>
                <w:rFonts w:ascii="Times New Roman" w:hAnsi="Times New Roman" w:cs="Times New Roman"/>
                <w:sz w:val="24"/>
                <w:szCs w:val="24"/>
              </w:rPr>
            </w:pPr>
            <w:r>
              <w:rPr>
                <w:rFonts w:ascii="Times New Roman" w:hAnsi="Times New Roman" w:cs="Times New Roman"/>
                <w:sz w:val="24"/>
                <w:szCs w:val="24"/>
              </w:rPr>
              <w:t>Siūlomas p</w:t>
            </w:r>
            <w:r w:rsidR="008A6DDC">
              <w:rPr>
                <w:rFonts w:ascii="Times New Roman" w:hAnsi="Times New Roman" w:cs="Times New Roman"/>
                <w:sz w:val="24"/>
                <w:szCs w:val="24"/>
              </w:rPr>
              <w:t>apildomas reikalavimas keliamas nebus.</w:t>
            </w:r>
          </w:p>
        </w:tc>
      </w:tr>
      <w:tr w:rsidR="00350FF5" w14:paraId="26C9B565" w14:textId="77777777" w:rsidTr="00350FF5">
        <w:tc>
          <w:tcPr>
            <w:tcW w:w="4313" w:type="dxa"/>
          </w:tcPr>
          <w:p w14:paraId="23D50A7C" w14:textId="77777777" w:rsidR="00350FF5" w:rsidRPr="00881018" w:rsidRDefault="004F20A2" w:rsidP="0035179F">
            <w:pPr>
              <w:jc w:val="both"/>
              <w:rPr>
                <w:rFonts w:ascii="Times New Roman" w:hAnsi="Times New Roman" w:cs="Times New Roman"/>
                <w:sz w:val="24"/>
                <w:szCs w:val="24"/>
                <w:lang w:val="en-US"/>
              </w:rPr>
            </w:pPr>
            <w:r w:rsidRPr="00881018">
              <w:rPr>
                <w:rFonts w:ascii="Times New Roman" w:hAnsi="Times New Roman" w:cs="Times New Roman"/>
                <w:sz w:val="24"/>
                <w:szCs w:val="24"/>
              </w:rPr>
              <w:t xml:space="preserve">99.1. Kaina (K). Kriterijaus lyginamasis svoris X </w:t>
            </w:r>
            <w:r w:rsidRPr="00881018">
              <w:rPr>
                <w:rFonts w:ascii="Times New Roman" w:hAnsi="Times New Roman" w:cs="Times New Roman"/>
                <w:sz w:val="24"/>
                <w:szCs w:val="24"/>
                <w:lang w:val="en-US"/>
              </w:rPr>
              <w:t>= 85</w:t>
            </w:r>
          </w:p>
          <w:p w14:paraId="6CFA6BA3" w14:textId="4EE8A53F" w:rsidR="00A41C5D" w:rsidRPr="00881018" w:rsidRDefault="004F20A2" w:rsidP="00A41C5D">
            <w:pPr>
              <w:jc w:val="both"/>
              <w:rPr>
                <w:rFonts w:ascii="Times New Roman" w:hAnsi="Times New Roman" w:cs="Times New Roman"/>
                <w:sz w:val="24"/>
                <w:szCs w:val="24"/>
                <w:lang w:val="en-US"/>
              </w:rPr>
            </w:pPr>
            <w:r w:rsidRPr="00881018">
              <w:rPr>
                <w:rFonts w:ascii="Times New Roman" w:hAnsi="Times New Roman" w:cs="Times New Roman"/>
                <w:sz w:val="24"/>
                <w:szCs w:val="24"/>
              </w:rPr>
              <w:t xml:space="preserve">Techniniai pranašumai (T). </w:t>
            </w:r>
            <w:r w:rsidR="00A41C5D" w:rsidRPr="00881018">
              <w:rPr>
                <w:rFonts w:ascii="Times New Roman" w:hAnsi="Times New Roman" w:cs="Times New Roman"/>
                <w:sz w:val="24"/>
                <w:szCs w:val="24"/>
              </w:rPr>
              <w:t xml:space="preserve">Kriterijaus lyginamasis svoris Y </w:t>
            </w:r>
            <w:r w:rsidR="00A41C5D" w:rsidRPr="00881018">
              <w:rPr>
                <w:rFonts w:ascii="Times New Roman" w:hAnsi="Times New Roman" w:cs="Times New Roman"/>
                <w:sz w:val="24"/>
                <w:szCs w:val="24"/>
                <w:lang w:val="en-US"/>
              </w:rPr>
              <w:t>= 15</w:t>
            </w:r>
          </w:p>
          <w:p w14:paraId="6B9D8B7E" w14:textId="5E004C91" w:rsidR="004F20A2" w:rsidRPr="00881018" w:rsidRDefault="004F20A2" w:rsidP="0035179F">
            <w:pPr>
              <w:jc w:val="both"/>
              <w:rPr>
                <w:rFonts w:ascii="Times New Roman" w:hAnsi="Times New Roman" w:cs="Times New Roman"/>
                <w:sz w:val="24"/>
                <w:szCs w:val="24"/>
                <w:lang w:val="en-US"/>
              </w:rPr>
            </w:pPr>
          </w:p>
        </w:tc>
        <w:tc>
          <w:tcPr>
            <w:tcW w:w="4841" w:type="dxa"/>
          </w:tcPr>
          <w:p w14:paraId="6AE874D1" w14:textId="58D12C4E" w:rsidR="00350FF5" w:rsidRPr="00881018" w:rsidRDefault="00350FF5" w:rsidP="0035179F">
            <w:pPr>
              <w:jc w:val="both"/>
              <w:rPr>
                <w:rFonts w:ascii="Times New Roman" w:hAnsi="Times New Roman" w:cs="Times New Roman"/>
                <w:sz w:val="24"/>
                <w:szCs w:val="24"/>
              </w:rPr>
            </w:pPr>
            <w:r w:rsidRPr="00881018">
              <w:rPr>
                <w:rFonts w:ascii="Times New Roman" w:hAnsi="Times New Roman" w:cs="Times New Roman"/>
                <w:sz w:val="24"/>
                <w:szCs w:val="24"/>
              </w:rPr>
              <w:t xml:space="preserve">Tiekėjas siūlo koreguoti pirkimo sąlygų 99.1 punkte nurodytą pasiūlymų vertinimo kriterijų lyginamąjį svorį: </w:t>
            </w:r>
            <w:r w:rsidRPr="00881018">
              <w:rPr>
                <w:rFonts w:ascii="Times New Roman" w:eastAsia="Calibri" w:hAnsi="Times New Roman" w:cs="Times New Roman"/>
                <w:sz w:val="24"/>
                <w:szCs w:val="24"/>
              </w:rPr>
              <w:t xml:space="preserve">įvertinti ne tik pagrindinių sąlygų atitikimą ir vertinti pasiūlymus pagal kainą, tačiau įvertinti ir papildomus kriterijus, </w:t>
            </w:r>
            <w:r w:rsidRPr="00881018">
              <w:rPr>
                <w:rFonts w:ascii="Times New Roman" w:eastAsia="Calibri" w:hAnsi="Times New Roman" w:cs="Times New Roman"/>
                <w:sz w:val="24"/>
                <w:szCs w:val="24"/>
              </w:rPr>
              <w:lastRenderedPageBreak/>
              <w:t>kurie galėtų pagerinti laboratorijos darbą bei užtikrinti aukštesnę atliekamų tyrimų kokybę (siūlomas modelis – 60% ekonominis naudingumas, 40% kaina). Tokiu būdu išrenkant ekonomiškai naudingiausią pasiūlymą, tiekėjams sudaromos lygios galimybės laimėti pirkimą. Didesnę kainą gali kompensuoti aukštesnė siūlomo pirkimo objekto kokybė, kitaip tariant – yra atsižvelgiama į siūlomo sprendimo kokybę, o ne vien tik kainą.</w:t>
            </w:r>
          </w:p>
        </w:tc>
        <w:tc>
          <w:tcPr>
            <w:tcW w:w="4839" w:type="dxa"/>
          </w:tcPr>
          <w:p w14:paraId="35A61398" w14:textId="2D31DFF6" w:rsidR="00350FF5" w:rsidRPr="00881018" w:rsidRDefault="008F11B3" w:rsidP="00B353EF">
            <w:pPr>
              <w:spacing w:line="240" w:lineRule="auto"/>
              <w:contextualSpacing/>
              <w:jc w:val="both"/>
              <w:rPr>
                <w:rFonts w:ascii="Times New Roman" w:hAnsi="Times New Roman" w:cs="Times New Roman"/>
                <w:sz w:val="24"/>
                <w:szCs w:val="24"/>
              </w:rPr>
            </w:pPr>
            <w:r w:rsidRPr="00881018">
              <w:rPr>
                <w:rFonts w:ascii="Times New Roman" w:eastAsia="Calibri" w:hAnsi="Times New Roman" w:cs="Times New Roman"/>
                <w:sz w:val="24"/>
                <w:szCs w:val="24"/>
              </w:rPr>
              <w:lastRenderedPageBreak/>
              <w:t xml:space="preserve">Planuojamame vykdyti pirkime ekonomiškai naudingiausias </w:t>
            </w:r>
            <w:r w:rsidR="00D821B3" w:rsidRPr="00881018">
              <w:rPr>
                <w:rFonts w:ascii="Times New Roman" w:eastAsia="Calibri" w:hAnsi="Times New Roman" w:cs="Times New Roman"/>
                <w:sz w:val="24"/>
                <w:szCs w:val="24"/>
              </w:rPr>
              <w:t xml:space="preserve">pasiūlymas </w:t>
            </w:r>
            <w:r w:rsidRPr="00881018">
              <w:rPr>
                <w:rFonts w:ascii="Times New Roman" w:eastAsia="Calibri" w:hAnsi="Times New Roman" w:cs="Times New Roman"/>
                <w:sz w:val="24"/>
                <w:szCs w:val="24"/>
              </w:rPr>
              <w:t>bus išrenkamas pagal kainos ir kokybės santykį.</w:t>
            </w:r>
            <w:r w:rsidR="00341463" w:rsidRPr="00881018">
              <w:rPr>
                <w:rFonts w:ascii="Times New Roman" w:eastAsia="Calibri" w:hAnsi="Times New Roman" w:cs="Times New Roman"/>
                <w:sz w:val="24"/>
                <w:szCs w:val="24"/>
              </w:rPr>
              <w:t xml:space="preserve"> Vertinimo kriterijų lyginamieji svoriai nustatyti atsižvelgiant į perkančiosios organizacijos poreikius</w:t>
            </w:r>
            <w:r w:rsidR="007B4BA7">
              <w:rPr>
                <w:rFonts w:ascii="Times New Roman" w:eastAsia="Calibri" w:hAnsi="Times New Roman" w:cs="Times New Roman"/>
                <w:sz w:val="24"/>
                <w:szCs w:val="24"/>
              </w:rPr>
              <w:t xml:space="preserve"> </w:t>
            </w:r>
            <w:r w:rsidR="00E54A1E">
              <w:rPr>
                <w:rFonts w:ascii="Times New Roman" w:eastAsia="Calibri" w:hAnsi="Times New Roman" w:cs="Times New Roman"/>
                <w:sz w:val="24"/>
                <w:szCs w:val="24"/>
              </w:rPr>
              <w:t xml:space="preserve">ir jų </w:t>
            </w:r>
            <w:proofErr w:type="spellStart"/>
            <w:r w:rsidR="00E54A1E">
              <w:rPr>
                <w:rFonts w:ascii="Times New Roman" w:eastAsia="Calibri" w:hAnsi="Times New Roman" w:cs="Times New Roman"/>
                <w:sz w:val="24"/>
                <w:szCs w:val="24"/>
              </w:rPr>
              <w:lastRenderedPageBreak/>
              <w:t>teiktin</w:t>
            </w:r>
            <w:r w:rsidR="002964FD">
              <w:rPr>
                <w:rFonts w:ascii="Times New Roman" w:eastAsia="Calibri" w:hAnsi="Times New Roman" w:cs="Times New Roman"/>
                <w:sz w:val="24"/>
                <w:szCs w:val="24"/>
              </w:rPr>
              <w:t>ą</w:t>
            </w:r>
            <w:proofErr w:type="spellEnd"/>
            <w:r w:rsidR="00E54A1E">
              <w:rPr>
                <w:rFonts w:ascii="Times New Roman" w:eastAsia="Calibri" w:hAnsi="Times New Roman" w:cs="Times New Roman"/>
                <w:sz w:val="24"/>
                <w:szCs w:val="24"/>
              </w:rPr>
              <w:t xml:space="preserve"> pridėtinę vertę</w:t>
            </w:r>
            <w:r w:rsidR="00341463" w:rsidRPr="00881018">
              <w:rPr>
                <w:rFonts w:ascii="Times New Roman" w:eastAsia="Calibri" w:hAnsi="Times New Roman" w:cs="Times New Roman"/>
                <w:sz w:val="24"/>
                <w:szCs w:val="24"/>
              </w:rPr>
              <w:t xml:space="preserve">. </w:t>
            </w:r>
            <w:r w:rsidR="00932A79" w:rsidRPr="00881018">
              <w:rPr>
                <w:rFonts w:ascii="Times New Roman" w:eastAsia="Calibri" w:hAnsi="Times New Roman" w:cs="Times New Roman"/>
                <w:sz w:val="24"/>
                <w:szCs w:val="24"/>
              </w:rPr>
              <w:t xml:space="preserve">Įstaiga </w:t>
            </w:r>
            <w:r w:rsidR="00496C9A" w:rsidRPr="00881018">
              <w:rPr>
                <w:rFonts w:ascii="Times New Roman" w:hAnsi="Times New Roman" w:cs="Times New Roman"/>
                <w:sz w:val="24"/>
                <w:szCs w:val="24"/>
              </w:rPr>
              <w:t>siekia racionaliai naudoti lėšas, todėl kaina</w:t>
            </w:r>
            <w:r w:rsidR="00784358">
              <w:rPr>
                <w:rFonts w:ascii="Times New Roman" w:hAnsi="Times New Roman" w:cs="Times New Roman"/>
                <w:sz w:val="24"/>
                <w:szCs w:val="24"/>
              </w:rPr>
              <w:t xml:space="preserve"> -</w:t>
            </w:r>
            <w:r w:rsidR="00496C9A" w:rsidRPr="00881018">
              <w:rPr>
                <w:rFonts w:ascii="Times New Roman" w:hAnsi="Times New Roman" w:cs="Times New Roman"/>
                <w:sz w:val="24"/>
                <w:szCs w:val="24"/>
              </w:rPr>
              <w:t xml:space="preserve"> svarbus rodiklis.</w:t>
            </w:r>
            <w:r w:rsidR="00ED7377" w:rsidRPr="00881018">
              <w:rPr>
                <w:rFonts w:ascii="Times New Roman" w:hAnsi="Times New Roman" w:cs="Times New Roman"/>
                <w:sz w:val="24"/>
                <w:szCs w:val="24"/>
              </w:rPr>
              <w:t xml:space="preserve"> </w:t>
            </w:r>
          </w:p>
          <w:p w14:paraId="72D66ABC" w14:textId="180DD62B" w:rsidR="00932A79" w:rsidRDefault="00932A79" w:rsidP="00B353EF">
            <w:pPr>
              <w:spacing w:line="240" w:lineRule="auto"/>
              <w:contextualSpacing/>
              <w:jc w:val="both"/>
              <w:rPr>
                <w:rFonts w:ascii="Times New Roman" w:hAnsi="Times New Roman" w:cs="Times New Roman"/>
                <w:sz w:val="24"/>
                <w:szCs w:val="24"/>
              </w:rPr>
            </w:pPr>
            <w:r w:rsidRPr="00881018">
              <w:rPr>
                <w:rFonts w:ascii="Times New Roman" w:hAnsi="Times New Roman" w:cs="Times New Roman"/>
                <w:sz w:val="24"/>
                <w:szCs w:val="24"/>
              </w:rPr>
              <w:t xml:space="preserve">Perkančioji organizacija nesutinka koreguoti </w:t>
            </w:r>
            <w:r w:rsidR="00881018" w:rsidRPr="00881018">
              <w:rPr>
                <w:rFonts w:ascii="Times New Roman" w:hAnsi="Times New Roman" w:cs="Times New Roman"/>
                <w:sz w:val="24"/>
                <w:szCs w:val="24"/>
              </w:rPr>
              <w:t>kriterijų lyginamųjų svorių.</w:t>
            </w:r>
          </w:p>
        </w:tc>
      </w:tr>
    </w:tbl>
    <w:p w14:paraId="388AAF50" w14:textId="77777777" w:rsidR="00350FF5" w:rsidRPr="0035179F" w:rsidRDefault="00350FF5" w:rsidP="0035179F">
      <w:pPr>
        <w:jc w:val="both"/>
        <w:rPr>
          <w:rFonts w:ascii="Times New Roman" w:hAnsi="Times New Roman" w:cs="Times New Roman"/>
          <w:sz w:val="24"/>
          <w:szCs w:val="24"/>
        </w:rPr>
      </w:pPr>
    </w:p>
    <w:p w14:paraId="7EF3F385" w14:textId="77777777" w:rsidR="00405A21" w:rsidRPr="001B7BE3" w:rsidRDefault="00405A21" w:rsidP="00405A21">
      <w:pPr>
        <w:ind w:firstLine="567"/>
        <w:jc w:val="both"/>
        <w:rPr>
          <w:rFonts w:ascii="Times New Roman" w:hAnsi="Times New Roman" w:cs="Times New Roman"/>
          <w:sz w:val="24"/>
          <w:szCs w:val="24"/>
        </w:rPr>
      </w:pPr>
      <w:r>
        <w:rPr>
          <w:rFonts w:ascii="Times New Roman" w:hAnsi="Times New Roman" w:cs="Times New Roman"/>
          <w:sz w:val="24"/>
          <w:szCs w:val="24"/>
        </w:rPr>
        <w:t>Dėkojame už aktyvų dalyvavimą teikiant pastabas.</w:t>
      </w:r>
    </w:p>
    <w:p w14:paraId="6FD22854" w14:textId="77777777" w:rsidR="00405A21" w:rsidRPr="006C3066" w:rsidRDefault="00405A21" w:rsidP="00405A21">
      <w:pPr>
        <w:autoSpaceDE w:val="0"/>
        <w:autoSpaceDN w:val="0"/>
        <w:adjustRightInd w:val="0"/>
        <w:spacing w:line="276" w:lineRule="auto"/>
        <w:ind w:firstLine="567"/>
        <w:jc w:val="both"/>
        <w:rPr>
          <w:rFonts w:ascii="Times New Roman" w:hAnsi="Times New Roman" w:cs="Times New Roman"/>
          <w:sz w:val="24"/>
          <w:szCs w:val="24"/>
        </w:rPr>
      </w:pPr>
      <w:r w:rsidRPr="00B80B4F">
        <w:rPr>
          <w:rFonts w:ascii="Times New Roman" w:hAnsi="Times New Roman" w:cs="Times New Roman"/>
          <w:sz w:val="24"/>
          <w:szCs w:val="24"/>
        </w:rPr>
        <w:t>Atkreipiame dėmesį, kad</w:t>
      </w:r>
      <w:r>
        <w:rPr>
          <w:rFonts w:ascii="Times New Roman" w:hAnsi="Times New Roman" w:cs="Times New Roman"/>
          <w:sz w:val="24"/>
          <w:szCs w:val="24"/>
        </w:rPr>
        <w:t xml:space="preserve">, jei dalyvausite planuojamame vykdyti pirkime, kartu su pasiūlymu pateikiamame </w:t>
      </w:r>
      <w:r w:rsidRPr="00BC56D7">
        <w:rPr>
          <w:rFonts w:ascii="Times New Roman" w:hAnsi="Times New Roman" w:cs="Times New Roman"/>
          <w:sz w:val="24"/>
          <w:szCs w:val="24"/>
        </w:rPr>
        <w:t>Europos bendr</w:t>
      </w:r>
      <w:r>
        <w:rPr>
          <w:rFonts w:ascii="Times New Roman" w:hAnsi="Times New Roman" w:cs="Times New Roman"/>
          <w:sz w:val="24"/>
          <w:szCs w:val="24"/>
        </w:rPr>
        <w:t>ojo</w:t>
      </w:r>
      <w:r w:rsidRPr="00BC56D7">
        <w:rPr>
          <w:rFonts w:ascii="Times New Roman" w:hAnsi="Times New Roman" w:cs="Times New Roman"/>
          <w:sz w:val="24"/>
          <w:szCs w:val="24"/>
        </w:rPr>
        <w:t xml:space="preserve"> viešųjų pirkimų dokument</w:t>
      </w:r>
      <w:r>
        <w:rPr>
          <w:rFonts w:ascii="Times New Roman" w:hAnsi="Times New Roman" w:cs="Times New Roman"/>
          <w:sz w:val="24"/>
          <w:szCs w:val="24"/>
        </w:rPr>
        <w:t>o</w:t>
      </w:r>
      <w:r w:rsidRPr="00BC56D7">
        <w:rPr>
          <w:rFonts w:ascii="Times New Roman" w:hAnsi="Times New Roman" w:cs="Times New Roman"/>
          <w:sz w:val="24"/>
          <w:szCs w:val="24"/>
        </w:rPr>
        <w:t xml:space="preserve"> (</w:t>
      </w:r>
      <w:r>
        <w:rPr>
          <w:rFonts w:ascii="Times New Roman" w:hAnsi="Times New Roman" w:cs="Times New Roman"/>
          <w:sz w:val="24"/>
          <w:szCs w:val="24"/>
        </w:rPr>
        <w:t xml:space="preserve">toliau - </w:t>
      </w:r>
      <w:r w:rsidRPr="00BC56D7">
        <w:rPr>
          <w:rFonts w:ascii="Times New Roman" w:hAnsi="Times New Roman" w:cs="Times New Roman"/>
          <w:sz w:val="24"/>
          <w:szCs w:val="24"/>
        </w:rPr>
        <w:t>EBVPD)</w:t>
      </w:r>
      <w:r>
        <w:rPr>
          <w:rFonts w:ascii="Times New Roman" w:hAnsi="Times New Roman" w:cs="Times New Roman"/>
          <w:sz w:val="24"/>
          <w:szCs w:val="24"/>
        </w:rPr>
        <w:t xml:space="preserve"> III dalies „Pašalinimo pagrindai“ C13 skiltyje į klausimą „</w:t>
      </w:r>
      <w:r w:rsidRPr="006C3066">
        <w:rPr>
          <w:rFonts w:ascii="Times New Roman" w:hAnsi="Times New Roman" w:cs="Times New Roman"/>
          <w:i/>
          <w:iCs/>
          <w:sz w:val="24"/>
          <w:szCs w:val="24"/>
          <w:u w:val="single"/>
        </w:rPr>
        <w:t>Tiesioginis arba netiesioginis dalyvavimas rengiant šią procedūrą (VPĮ 46 str. 4 d. 3 p.)</w:t>
      </w:r>
      <w:r>
        <w:rPr>
          <w:rFonts w:ascii="Times New Roman" w:hAnsi="Times New Roman" w:cs="Times New Roman"/>
          <w:i/>
          <w:iCs/>
          <w:sz w:val="24"/>
          <w:szCs w:val="24"/>
          <w:u w:val="single"/>
        </w:rPr>
        <w:t xml:space="preserve">“ atsakytumėte „Taip“. </w:t>
      </w:r>
      <w:r w:rsidRPr="00BC56D7">
        <w:rPr>
          <w:rFonts w:ascii="Times New Roman" w:hAnsi="Times New Roman" w:cs="Times New Roman"/>
          <w:sz w:val="24"/>
          <w:szCs w:val="24"/>
        </w:rPr>
        <w:t xml:space="preserve"> </w:t>
      </w:r>
      <w:r w:rsidRPr="006C3066">
        <w:rPr>
          <w:rFonts w:ascii="Times New Roman" w:hAnsi="Times New Roman" w:cs="Times New Roman"/>
          <w:sz w:val="24"/>
          <w:szCs w:val="24"/>
        </w:rPr>
        <w:t>Viešųjų pirkimų tarnyba teigia: „</w:t>
      </w:r>
      <w:r w:rsidRPr="006C3066">
        <w:rPr>
          <w:rFonts w:ascii="Times New Roman" w:hAnsi="Times New Roman" w:cs="Times New Roman"/>
          <w:i/>
          <w:iCs/>
          <w:sz w:val="24"/>
          <w:szCs w:val="24"/>
          <w:u w:val="single"/>
        </w:rPr>
        <w:t>Jei tiekėjas tiesiogiai ar netiesiogiai suteikė pirkimo vykdytojui konsultaciją</w:t>
      </w:r>
      <w:r w:rsidRPr="006C3066">
        <w:rPr>
          <w:rFonts w:ascii="Times New Roman" w:hAnsi="Times New Roman" w:cs="Times New Roman"/>
          <w:i/>
          <w:iCs/>
          <w:sz w:val="24"/>
          <w:szCs w:val="24"/>
        </w:rPr>
        <w:t xml:space="preserve"> (nesvarbu, ar rinkos tyrimo (jeigu apie atliekamą rinkos tyrimą buvo informuotas raštu), ar </w:t>
      </w:r>
      <w:r w:rsidRPr="006C3066">
        <w:rPr>
          <w:rFonts w:ascii="Times New Roman" w:hAnsi="Times New Roman" w:cs="Times New Roman"/>
          <w:i/>
          <w:iCs/>
          <w:sz w:val="24"/>
          <w:szCs w:val="24"/>
          <w:u w:val="single"/>
        </w:rPr>
        <w:t>rinkos konsultacijos metu</w:t>
      </w:r>
      <w:r w:rsidRPr="006C3066">
        <w:rPr>
          <w:rFonts w:ascii="Times New Roman" w:hAnsi="Times New Roman" w:cs="Times New Roman"/>
          <w:i/>
          <w:iCs/>
          <w:sz w:val="24"/>
          <w:szCs w:val="24"/>
        </w:rPr>
        <w:t xml:space="preserve">, ar teikdamas pagalbinę viešųjų pirkimų veiklą ir pan.) arba kitaip dalyvavo rengiant pirkimo procedūrą (pavyzdžiui, parengė techninį (darbo) projektą, techninę specifikaciją ir pan.), </w:t>
      </w:r>
      <w:r w:rsidRPr="006C3066">
        <w:rPr>
          <w:rFonts w:ascii="Times New Roman" w:hAnsi="Times New Roman" w:cs="Times New Roman"/>
          <w:i/>
          <w:iCs/>
          <w:sz w:val="24"/>
          <w:szCs w:val="24"/>
          <w:u w:val="single"/>
        </w:rPr>
        <w:t>jis, pildydamas EBVPD III dalies “Pašalinimo pagrindai C13 skiltį, į klausimą „Tiesioginis arba netiesioginis dalyvavimas rengiant šią procedūrą (VPĮ 46 str. 4 d. 3 p.)” turėtų atsakyti „Taip”</w:t>
      </w:r>
      <w:r w:rsidRPr="006C3066">
        <w:rPr>
          <w:rFonts w:ascii="Times New Roman" w:hAnsi="Times New Roman" w:cs="Times New Roman"/>
          <w:sz w:val="24"/>
          <w:szCs w:val="24"/>
        </w:rPr>
        <w:t>.</w:t>
      </w:r>
    </w:p>
    <w:p w14:paraId="31B2DE50" w14:textId="77777777" w:rsidR="00405A21" w:rsidRDefault="00405A21"/>
    <w:sectPr w:rsidR="00405A21" w:rsidSect="00405A2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8BA9" w14:textId="77777777" w:rsidR="00B91E34" w:rsidRDefault="00B91E34" w:rsidP="00405A21">
      <w:pPr>
        <w:spacing w:after="0" w:line="240" w:lineRule="auto"/>
      </w:pPr>
      <w:r>
        <w:separator/>
      </w:r>
    </w:p>
  </w:endnote>
  <w:endnote w:type="continuationSeparator" w:id="0">
    <w:p w14:paraId="2253BD72" w14:textId="77777777" w:rsidR="00B91E34" w:rsidRDefault="00B91E34" w:rsidP="00405A21">
      <w:pPr>
        <w:spacing w:after="0" w:line="240" w:lineRule="auto"/>
      </w:pPr>
      <w:r>
        <w:continuationSeparator/>
      </w:r>
    </w:p>
  </w:endnote>
  <w:endnote w:type="continuationNotice" w:id="1">
    <w:p w14:paraId="2F42EC97" w14:textId="77777777" w:rsidR="00B91E34" w:rsidRDefault="00B91E34">
      <w:pPr>
        <w:spacing w:after="0" w:line="240" w:lineRule="auto"/>
      </w:pPr>
    </w:p>
  </w:endnote>
  <w:endnote w:id="2">
    <w:p w14:paraId="3754643F" w14:textId="77777777" w:rsidR="00550F32" w:rsidRPr="004F7C68" w:rsidRDefault="00550F32" w:rsidP="00550F32">
      <w:pPr>
        <w:pStyle w:val="Dokumentoinaostekstas"/>
        <w:rPr>
          <w:lang w:val="lt-LT"/>
        </w:rPr>
      </w:pPr>
      <w:r>
        <w:rPr>
          <w:rStyle w:val="Dokumentoinaosnumeris"/>
        </w:rPr>
        <w:endnoteRef/>
      </w:r>
      <w:r w:rsidRPr="004F7C68">
        <w:rPr>
          <w:lang w:val="pt-BR"/>
        </w:rPr>
        <w:t xml:space="preserve"> Išsamesnė informacija apie </w:t>
      </w:r>
      <w:r>
        <w:rPr>
          <w:lang w:val="pt-BR"/>
        </w:rPr>
        <w:t>apžiūros procedūrą</w:t>
      </w:r>
      <w:r w:rsidRPr="004F7C68">
        <w:rPr>
          <w:lang w:val="pt-BR"/>
        </w:rPr>
        <w:t xml:space="preserve"> pateikta </w:t>
      </w:r>
      <w:r>
        <w:rPr>
          <w:lang w:val="lt-LT"/>
        </w:rPr>
        <w:t>Pirkimo sąlygų 92 punkte.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A95C" w14:textId="77777777" w:rsidR="00B91E34" w:rsidRDefault="00B91E34" w:rsidP="00405A21">
      <w:pPr>
        <w:spacing w:after="0" w:line="240" w:lineRule="auto"/>
      </w:pPr>
      <w:r>
        <w:separator/>
      </w:r>
    </w:p>
  </w:footnote>
  <w:footnote w:type="continuationSeparator" w:id="0">
    <w:p w14:paraId="2CB7CD62" w14:textId="77777777" w:rsidR="00B91E34" w:rsidRDefault="00B91E34" w:rsidP="00405A21">
      <w:pPr>
        <w:spacing w:after="0" w:line="240" w:lineRule="auto"/>
      </w:pPr>
      <w:r>
        <w:continuationSeparator/>
      </w:r>
    </w:p>
  </w:footnote>
  <w:footnote w:type="continuationNotice" w:id="1">
    <w:p w14:paraId="47749065" w14:textId="77777777" w:rsidR="00B91E34" w:rsidRDefault="00B91E34">
      <w:pPr>
        <w:spacing w:after="0" w:line="240" w:lineRule="auto"/>
      </w:pPr>
    </w:p>
  </w:footnote>
  <w:footnote w:id="2">
    <w:p w14:paraId="65DF4C1B" w14:textId="77777777" w:rsidR="00405A21" w:rsidRPr="00573086" w:rsidRDefault="00405A21" w:rsidP="00405A21">
      <w:pPr>
        <w:pStyle w:val="Puslapioinaostekstas"/>
        <w:rPr>
          <w:lang w:val="lt-LT"/>
        </w:rPr>
      </w:pPr>
      <w:r w:rsidRPr="00573086">
        <w:rPr>
          <w:rStyle w:val="Puslapioinaosnuoroda"/>
          <w:lang w:val="lt-LT"/>
        </w:rPr>
        <w:footnoteRef/>
      </w:r>
      <w:r w:rsidRPr="00573086">
        <w:rPr>
          <w:lang w:val="lt-LT"/>
        </w:rPr>
        <w:t xml:space="preserve"> ESTT byla C-174/03 Impresa Portuale di Cagliari Srl v. Tirrenia di Navigazione SpA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7047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2" w15:restartNumberingAfterBreak="0">
    <w:nsid w:val="00946EC2"/>
    <w:multiLevelType w:val="multilevel"/>
    <w:tmpl w:val="C6868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8A4535"/>
    <w:multiLevelType w:val="hybridMultilevel"/>
    <w:tmpl w:val="EB8AC2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963778"/>
    <w:multiLevelType w:val="hybridMultilevel"/>
    <w:tmpl w:val="5D260218"/>
    <w:lvl w:ilvl="0" w:tplc="0427000F">
      <w:start w:val="1"/>
      <w:numFmt w:val="decimal"/>
      <w:lvlText w:val="%1."/>
      <w:lvlJc w:val="left"/>
      <w:pPr>
        <w:ind w:left="1070" w:hanging="360"/>
      </w:p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558B05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1D0D73"/>
    <w:multiLevelType w:val="multilevel"/>
    <w:tmpl w:val="2F8ED20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FF515F"/>
    <w:multiLevelType w:val="hybridMultilevel"/>
    <w:tmpl w:val="A502AA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98484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731862">
    <w:abstractNumId w:val="1"/>
    <w:lvlOverride w:ilvl="0">
      <w:startOverride w:val="1"/>
    </w:lvlOverride>
  </w:num>
  <w:num w:numId="3" w16cid:durableId="954750792">
    <w:abstractNumId w:val="6"/>
  </w:num>
  <w:num w:numId="4" w16cid:durableId="1727335004">
    <w:abstractNumId w:val="2"/>
  </w:num>
  <w:num w:numId="5" w16cid:durableId="152451658">
    <w:abstractNumId w:val="7"/>
  </w:num>
  <w:num w:numId="6" w16cid:durableId="799762777">
    <w:abstractNumId w:val="0"/>
  </w:num>
  <w:num w:numId="7" w16cid:durableId="1841390802">
    <w:abstractNumId w:val="5"/>
  </w:num>
  <w:num w:numId="8" w16cid:durableId="596593782">
    <w:abstractNumId w:val="3"/>
  </w:num>
  <w:num w:numId="9" w16cid:durableId="1355115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21"/>
    <w:rsid w:val="00010CBD"/>
    <w:rsid w:val="00050B54"/>
    <w:rsid w:val="00075A11"/>
    <w:rsid w:val="00106701"/>
    <w:rsid w:val="0014786A"/>
    <w:rsid w:val="002132FE"/>
    <w:rsid w:val="00287C78"/>
    <w:rsid w:val="002964FD"/>
    <w:rsid w:val="002A721F"/>
    <w:rsid w:val="002E1D2B"/>
    <w:rsid w:val="002F5416"/>
    <w:rsid w:val="00341463"/>
    <w:rsid w:val="00350FF5"/>
    <w:rsid w:val="0035179F"/>
    <w:rsid w:val="0038581A"/>
    <w:rsid w:val="00405A21"/>
    <w:rsid w:val="004200D2"/>
    <w:rsid w:val="00421A8B"/>
    <w:rsid w:val="00496C9A"/>
    <w:rsid w:val="004F20A2"/>
    <w:rsid w:val="0054347F"/>
    <w:rsid w:val="00550F32"/>
    <w:rsid w:val="005B5521"/>
    <w:rsid w:val="00611B22"/>
    <w:rsid w:val="00615369"/>
    <w:rsid w:val="0064740F"/>
    <w:rsid w:val="00647B8D"/>
    <w:rsid w:val="00670A9D"/>
    <w:rsid w:val="006805F4"/>
    <w:rsid w:val="00724B64"/>
    <w:rsid w:val="007513D3"/>
    <w:rsid w:val="00784358"/>
    <w:rsid w:val="007B4BA7"/>
    <w:rsid w:val="00851E03"/>
    <w:rsid w:val="00881018"/>
    <w:rsid w:val="008A6DDC"/>
    <w:rsid w:val="008A7B23"/>
    <w:rsid w:val="008D355A"/>
    <w:rsid w:val="008F11B3"/>
    <w:rsid w:val="0091533A"/>
    <w:rsid w:val="00932A79"/>
    <w:rsid w:val="00970041"/>
    <w:rsid w:val="009F0CB6"/>
    <w:rsid w:val="00A22515"/>
    <w:rsid w:val="00A41C5D"/>
    <w:rsid w:val="00A55826"/>
    <w:rsid w:val="00A75BE0"/>
    <w:rsid w:val="00AB5512"/>
    <w:rsid w:val="00B353EF"/>
    <w:rsid w:val="00B718EE"/>
    <w:rsid w:val="00B91E34"/>
    <w:rsid w:val="00B929D7"/>
    <w:rsid w:val="00BB6CF3"/>
    <w:rsid w:val="00BC7EDF"/>
    <w:rsid w:val="00C05059"/>
    <w:rsid w:val="00C0619E"/>
    <w:rsid w:val="00C22622"/>
    <w:rsid w:val="00C43141"/>
    <w:rsid w:val="00C77B94"/>
    <w:rsid w:val="00C972F0"/>
    <w:rsid w:val="00CD1C02"/>
    <w:rsid w:val="00CF2EFB"/>
    <w:rsid w:val="00D30292"/>
    <w:rsid w:val="00D461EB"/>
    <w:rsid w:val="00D4790E"/>
    <w:rsid w:val="00D809F9"/>
    <w:rsid w:val="00D821B3"/>
    <w:rsid w:val="00DD069F"/>
    <w:rsid w:val="00DE7B44"/>
    <w:rsid w:val="00E00681"/>
    <w:rsid w:val="00E0219B"/>
    <w:rsid w:val="00E10515"/>
    <w:rsid w:val="00E12E6C"/>
    <w:rsid w:val="00E16E87"/>
    <w:rsid w:val="00E54A1E"/>
    <w:rsid w:val="00ED7377"/>
    <w:rsid w:val="00F341D7"/>
    <w:rsid w:val="00F83B08"/>
    <w:rsid w:val="00FB42A2"/>
    <w:rsid w:val="00FE3E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C446"/>
  <w15:chartTrackingRefBased/>
  <w15:docId w15:val="{575E8271-5F5D-461F-B5A3-06D8DE7D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5A21"/>
    <w:pPr>
      <w:spacing w:line="256" w:lineRule="auto"/>
    </w:pPr>
    <w:rPr>
      <w:sz w:val="22"/>
      <w:szCs w:val="22"/>
    </w:rPr>
  </w:style>
  <w:style w:type="paragraph" w:styleId="Antrat1">
    <w:name w:val="heading 1"/>
    <w:basedOn w:val="prastasis"/>
    <w:next w:val="prastasis"/>
    <w:link w:val="Antrat1Diagrama"/>
    <w:uiPriority w:val="9"/>
    <w:qFormat/>
    <w:rsid w:val="00405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5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5A2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5A2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5A2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5A2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5A2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5A2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5A2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5A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5A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5A2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5A2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5A2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5A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5A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5A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5A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5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5A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5A2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5A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5A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5A21"/>
    <w:rPr>
      <w:i/>
      <w:iCs/>
      <w:color w:val="404040" w:themeColor="text1" w:themeTint="BF"/>
    </w:rPr>
  </w:style>
  <w:style w:type="paragraph" w:styleId="Sraopastraipa">
    <w:name w:val="List Paragraph"/>
    <w:basedOn w:val="prastasis"/>
    <w:uiPriority w:val="34"/>
    <w:qFormat/>
    <w:rsid w:val="00405A21"/>
    <w:pPr>
      <w:ind w:left="720"/>
      <w:contextualSpacing/>
    </w:pPr>
  </w:style>
  <w:style w:type="character" w:styleId="Rykuspabraukimas">
    <w:name w:val="Intense Emphasis"/>
    <w:basedOn w:val="Numatytasispastraiposriftas"/>
    <w:uiPriority w:val="21"/>
    <w:qFormat/>
    <w:rsid w:val="00405A21"/>
    <w:rPr>
      <w:i/>
      <w:iCs/>
      <w:color w:val="0F4761" w:themeColor="accent1" w:themeShade="BF"/>
    </w:rPr>
  </w:style>
  <w:style w:type="paragraph" w:styleId="Iskirtacitata">
    <w:name w:val="Intense Quote"/>
    <w:basedOn w:val="prastasis"/>
    <w:next w:val="prastasis"/>
    <w:link w:val="IskirtacitataDiagrama"/>
    <w:uiPriority w:val="30"/>
    <w:qFormat/>
    <w:rsid w:val="00405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5A21"/>
    <w:rPr>
      <w:i/>
      <w:iCs/>
      <w:color w:val="0F4761" w:themeColor="accent1" w:themeShade="BF"/>
    </w:rPr>
  </w:style>
  <w:style w:type="character" w:styleId="Rykinuoroda">
    <w:name w:val="Intense Reference"/>
    <w:basedOn w:val="Numatytasispastraiposriftas"/>
    <w:uiPriority w:val="32"/>
    <w:qFormat/>
    <w:rsid w:val="00405A21"/>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405A21"/>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PuslapioinaostekstasDiagrama">
    <w:name w:val="Puslapio išnašos tekstas Diagrama"/>
    <w:basedOn w:val="Numatytasispastraiposriftas"/>
    <w:link w:val="Puslapioinaostekstas"/>
    <w:uiPriority w:val="99"/>
    <w:rsid w:val="00405A21"/>
    <w:rPr>
      <w:rFonts w:ascii="Times New Roman" w:eastAsia="Times New Roman" w:hAnsi="Times New Roman" w:cs="Times New Roman"/>
      <w:kern w:val="0"/>
      <w:sz w:val="20"/>
      <w:szCs w:val="20"/>
      <w:lang w:val="en-GB"/>
      <w14:ligatures w14:val="none"/>
    </w:rPr>
  </w:style>
  <w:style w:type="character" w:styleId="Puslapioinaosnuoroda">
    <w:name w:val="footnote reference"/>
    <w:uiPriority w:val="99"/>
    <w:unhideWhenUsed/>
    <w:rsid w:val="00405A21"/>
    <w:rPr>
      <w:vertAlign w:val="superscript"/>
    </w:rPr>
  </w:style>
  <w:style w:type="paragraph" w:customStyle="1" w:styleId="Default">
    <w:name w:val="Default"/>
    <w:rsid w:val="00405A21"/>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styleId="Betarp">
    <w:name w:val="No Spacing"/>
    <w:uiPriority w:val="1"/>
    <w:qFormat/>
    <w:rsid w:val="00615369"/>
    <w:pPr>
      <w:spacing w:after="0" w:line="240" w:lineRule="auto"/>
    </w:pPr>
    <w:rPr>
      <w:rFonts w:ascii="Calibri" w:eastAsia="Calibri" w:hAnsi="Calibri" w:cs="Times New Roman"/>
      <w:kern w:val="0"/>
      <w:sz w:val="22"/>
      <w:szCs w:val="22"/>
      <w14:ligatures w14:val="none"/>
    </w:rPr>
  </w:style>
  <w:style w:type="paragraph" w:styleId="Antrats">
    <w:name w:val="header"/>
    <w:basedOn w:val="prastasis"/>
    <w:link w:val="AntratsDiagrama"/>
    <w:uiPriority w:val="99"/>
    <w:semiHidden/>
    <w:unhideWhenUsed/>
    <w:rsid w:val="00DD06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DD069F"/>
    <w:rPr>
      <w:sz w:val="22"/>
      <w:szCs w:val="22"/>
    </w:rPr>
  </w:style>
  <w:style w:type="paragraph" w:styleId="Porat">
    <w:name w:val="footer"/>
    <w:basedOn w:val="prastasis"/>
    <w:link w:val="PoratDiagrama"/>
    <w:uiPriority w:val="99"/>
    <w:semiHidden/>
    <w:unhideWhenUsed/>
    <w:rsid w:val="00DD06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D069F"/>
    <w:rPr>
      <w:sz w:val="22"/>
      <w:szCs w:val="22"/>
    </w:rPr>
  </w:style>
  <w:style w:type="paragraph" w:styleId="Pataisymai">
    <w:name w:val="Revision"/>
    <w:hidden/>
    <w:uiPriority w:val="99"/>
    <w:semiHidden/>
    <w:rsid w:val="00851E03"/>
    <w:pPr>
      <w:spacing w:after="0" w:line="240" w:lineRule="auto"/>
    </w:pPr>
    <w:rPr>
      <w:sz w:val="22"/>
      <w:szCs w:val="22"/>
    </w:rPr>
  </w:style>
  <w:style w:type="paragraph" w:styleId="Dokumentoinaostekstas">
    <w:name w:val="endnote text"/>
    <w:basedOn w:val="prastasis"/>
    <w:link w:val="DokumentoinaostekstasDiagrama"/>
    <w:uiPriority w:val="99"/>
    <w:semiHidden/>
    <w:unhideWhenUsed/>
    <w:rsid w:val="00550F3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550F32"/>
    <w:rPr>
      <w:rFonts w:ascii="Times New Roman" w:eastAsia="Times New Roman" w:hAnsi="Times New Roman" w:cs="Times New Roman"/>
      <w:kern w:val="0"/>
      <w:sz w:val="20"/>
      <w:szCs w:val="20"/>
      <w:lang w:val="en-GB"/>
      <w14:ligatures w14:val="none"/>
    </w:rPr>
  </w:style>
  <w:style w:type="character" w:styleId="Dokumentoinaosnumeris">
    <w:name w:val="endnote reference"/>
    <w:basedOn w:val="Numatytasispastraiposriftas"/>
    <w:uiPriority w:val="99"/>
    <w:semiHidden/>
    <w:unhideWhenUsed/>
    <w:rsid w:val="00550F32"/>
    <w:rPr>
      <w:vertAlign w:val="superscript"/>
    </w:rPr>
  </w:style>
  <w:style w:type="table" w:styleId="Lentelstinklelis">
    <w:name w:val="Table Grid"/>
    <w:basedOn w:val="prastojilentel"/>
    <w:uiPriority w:val="39"/>
    <w:rsid w:val="00350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1470">
      <w:bodyDiv w:val="1"/>
      <w:marLeft w:val="0"/>
      <w:marRight w:val="0"/>
      <w:marTop w:val="0"/>
      <w:marBottom w:val="0"/>
      <w:divBdr>
        <w:top w:val="none" w:sz="0" w:space="0" w:color="auto"/>
        <w:left w:val="none" w:sz="0" w:space="0" w:color="auto"/>
        <w:bottom w:val="none" w:sz="0" w:space="0" w:color="auto"/>
        <w:right w:val="none" w:sz="0" w:space="0" w:color="auto"/>
      </w:divBdr>
    </w:div>
    <w:div w:id="21062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10422</Words>
  <Characters>5941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68</cp:revision>
  <dcterms:created xsi:type="dcterms:W3CDTF">2025-02-18T05:16:00Z</dcterms:created>
  <dcterms:modified xsi:type="dcterms:W3CDTF">2025-02-26T06:17:00Z</dcterms:modified>
</cp:coreProperties>
</file>