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8"/>
        <w:gridCol w:w="4069"/>
        <w:gridCol w:w="4395"/>
        <w:gridCol w:w="3598"/>
      </w:tblGrid>
      <w:tr w:rsidR="00AE540D" w:rsidRPr="005B4A6C" w14:paraId="35266CB8" w14:textId="77777777" w:rsidTr="00A312D1">
        <w:trPr>
          <w:trHeight w:val="618"/>
        </w:trPr>
        <w:tc>
          <w:tcPr>
            <w:tcW w:w="343" w:type="pct"/>
            <w:shd w:val="clear" w:color="auto" w:fill="BFBFBF" w:themeFill="background1" w:themeFillShade="BF"/>
            <w:tcMar>
              <w:top w:w="0" w:type="dxa"/>
              <w:left w:w="108" w:type="dxa"/>
              <w:bottom w:w="0" w:type="dxa"/>
              <w:right w:w="108" w:type="dxa"/>
            </w:tcMar>
            <w:hideMark/>
          </w:tcPr>
          <w:p w14:paraId="04705D9F" w14:textId="77777777" w:rsidR="00AE540D" w:rsidRPr="005B4A6C" w:rsidRDefault="00AE540D" w:rsidP="006823FC">
            <w:pPr>
              <w:jc w:val="center"/>
              <w:rPr>
                <w:b/>
                <w:bCs/>
                <w:sz w:val="22"/>
                <w:szCs w:val="22"/>
                <w:lang w:val="lt-LT"/>
              </w:rPr>
            </w:pPr>
            <w:r w:rsidRPr="005B4A6C">
              <w:rPr>
                <w:b/>
                <w:bCs/>
                <w:sz w:val="22"/>
                <w:szCs w:val="22"/>
                <w:lang w:val="lt-LT"/>
              </w:rPr>
              <w:t>Eil. Nr.</w:t>
            </w:r>
          </w:p>
        </w:tc>
        <w:tc>
          <w:tcPr>
            <w:tcW w:w="1571" w:type="pct"/>
            <w:shd w:val="clear" w:color="auto" w:fill="BFBFBF" w:themeFill="background1" w:themeFillShade="BF"/>
            <w:tcMar>
              <w:top w:w="0" w:type="dxa"/>
              <w:left w:w="108" w:type="dxa"/>
              <w:bottom w:w="0" w:type="dxa"/>
              <w:right w:w="108" w:type="dxa"/>
            </w:tcMar>
            <w:hideMark/>
          </w:tcPr>
          <w:p w14:paraId="65C45914" w14:textId="77777777" w:rsidR="00AE540D" w:rsidRPr="005B4A6C" w:rsidRDefault="00AE540D" w:rsidP="006823FC">
            <w:pPr>
              <w:jc w:val="center"/>
              <w:rPr>
                <w:b/>
                <w:bCs/>
                <w:sz w:val="22"/>
                <w:szCs w:val="22"/>
                <w:lang w:val="lt-LT"/>
              </w:rPr>
            </w:pPr>
            <w:r w:rsidRPr="005B4A6C">
              <w:rPr>
                <w:b/>
                <w:bCs/>
                <w:sz w:val="22"/>
                <w:szCs w:val="22"/>
                <w:lang w:val="lt-LT"/>
              </w:rPr>
              <w:t>Klausimas</w:t>
            </w:r>
          </w:p>
        </w:tc>
        <w:tc>
          <w:tcPr>
            <w:tcW w:w="1697" w:type="pct"/>
            <w:shd w:val="clear" w:color="auto" w:fill="BFBFBF" w:themeFill="background1" w:themeFillShade="BF"/>
            <w:tcMar>
              <w:top w:w="0" w:type="dxa"/>
              <w:left w:w="108" w:type="dxa"/>
              <w:bottom w:w="0" w:type="dxa"/>
              <w:right w:w="108" w:type="dxa"/>
            </w:tcMar>
            <w:hideMark/>
          </w:tcPr>
          <w:p w14:paraId="389A3693" w14:textId="77777777" w:rsidR="00AE540D" w:rsidRPr="005B4A6C" w:rsidRDefault="00AE540D" w:rsidP="006823FC">
            <w:pPr>
              <w:jc w:val="center"/>
              <w:rPr>
                <w:b/>
                <w:bCs/>
                <w:sz w:val="22"/>
                <w:szCs w:val="22"/>
                <w:lang w:val="lt-LT"/>
              </w:rPr>
            </w:pPr>
            <w:r w:rsidRPr="005B4A6C">
              <w:rPr>
                <w:b/>
                <w:bCs/>
                <w:sz w:val="22"/>
                <w:szCs w:val="22"/>
                <w:lang w:val="lt-LT"/>
              </w:rPr>
              <w:t>Atsakymas/komentaras/ pasiūlymas</w:t>
            </w:r>
          </w:p>
        </w:tc>
        <w:tc>
          <w:tcPr>
            <w:tcW w:w="1390" w:type="pct"/>
            <w:shd w:val="clear" w:color="auto" w:fill="BFBFBF" w:themeFill="background1" w:themeFillShade="BF"/>
          </w:tcPr>
          <w:p w14:paraId="0F2C64DF" w14:textId="2AE6DA79" w:rsidR="00AE540D" w:rsidRPr="005B4A6C" w:rsidRDefault="00AE540D" w:rsidP="006823FC">
            <w:pPr>
              <w:jc w:val="center"/>
              <w:rPr>
                <w:b/>
                <w:bCs/>
                <w:sz w:val="22"/>
                <w:szCs w:val="22"/>
                <w:lang w:val="lt-LT"/>
              </w:rPr>
            </w:pPr>
            <w:r w:rsidRPr="005B4A6C">
              <w:rPr>
                <w:b/>
                <w:bCs/>
                <w:sz w:val="22"/>
                <w:szCs w:val="22"/>
                <w:lang w:val="lt-LT"/>
              </w:rPr>
              <w:t>P</w:t>
            </w:r>
            <w:r w:rsidR="00B07875" w:rsidRPr="005B4A6C">
              <w:rPr>
                <w:b/>
                <w:bCs/>
                <w:sz w:val="22"/>
                <w:szCs w:val="22"/>
                <w:lang w:val="lt-LT"/>
              </w:rPr>
              <w:t xml:space="preserve">erkančiosios organizacijos </w:t>
            </w:r>
            <w:r w:rsidRPr="005B4A6C">
              <w:rPr>
                <w:b/>
                <w:bCs/>
                <w:sz w:val="22"/>
                <w:szCs w:val="22"/>
                <w:lang w:val="lt-LT"/>
              </w:rPr>
              <w:t>atsakymai</w:t>
            </w:r>
          </w:p>
        </w:tc>
      </w:tr>
      <w:tr w:rsidR="00F50E0B" w:rsidRPr="005B4A6C" w14:paraId="43352195" w14:textId="77777777" w:rsidTr="00A312D1">
        <w:tc>
          <w:tcPr>
            <w:tcW w:w="343" w:type="pct"/>
            <w:tcMar>
              <w:top w:w="0" w:type="dxa"/>
              <w:left w:w="108" w:type="dxa"/>
              <w:bottom w:w="0" w:type="dxa"/>
              <w:right w:w="108" w:type="dxa"/>
            </w:tcMar>
          </w:tcPr>
          <w:p w14:paraId="1E25A10B" w14:textId="77777777" w:rsidR="00F50E0B" w:rsidRPr="005B4A6C" w:rsidRDefault="00F50E0B" w:rsidP="00F50E0B">
            <w:pPr>
              <w:jc w:val="center"/>
              <w:rPr>
                <w:sz w:val="22"/>
                <w:szCs w:val="22"/>
                <w:lang w:val="lt-LT"/>
              </w:rPr>
            </w:pPr>
            <w:r w:rsidRPr="005B4A6C">
              <w:rPr>
                <w:sz w:val="22"/>
                <w:szCs w:val="22"/>
                <w:lang w:val="lt-LT"/>
              </w:rPr>
              <w:t>1.</w:t>
            </w:r>
          </w:p>
        </w:tc>
        <w:tc>
          <w:tcPr>
            <w:tcW w:w="1571" w:type="pct"/>
            <w:tcMar>
              <w:top w:w="0" w:type="dxa"/>
              <w:left w:w="108" w:type="dxa"/>
              <w:bottom w:w="0" w:type="dxa"/>
              <w:right w:w="108" w:type="dxa"/>
            </w:tcMar>
          </w:tcPr>
          <w:p w14:paraId="2472006E" w14:textId="097ABBCE" w:rsidR="00F50E0B" w:rsidRPr="00DD7F7A" w:rsidRDefault="00F50E0B" w:rsidP="00F50E0B">
            <w:pPr>
              <w:jc w:val="both"/>
              <w:rPr>
                <w:color w:val="000000"/>
                <w:sz w:val="22"/>
                <w:szCs w:val="22"/>
                <w:lang w:val="lt-LT"/>
              </w:rPr>
            </w:pPr>
            <w:r w:rsidRPr="00DD7F7A">
              <w:rPr>
                <w:color w:val="000000"/>
                <w:sz w:val="22"/>
                <w:szCs w:val="22"/>
                <w:lang w:val="lt-LT"/>
              </w:rPr>
              <w:t>Ar turite pastabų sutarties projektui? (jei teikiamas) Prašome pateikti argumentuotas pastabas ir klausimus nurodant konkrečius punktus ir/ar teksto vietas.</w:t>
            </w:r>
          </w:p>
        </w:tc>
        <w:tc>
          <w:tcPr>
            <w:tcW w:w="1697" w:type="pct"/>
            <w:tcMar>
              <w:top w:w="0" w:type="dxa"/>
              <w:left w:w="108" w:type="dxa"/>
              <w:bottom w:w="0" w:type="dxa"/>
              <w:right w:w="108" w:type="dxa"/>
            </w:tcMar>
          </w:tcPr>
          <w:p w14:paraId="153B9EEF" w14:textId="1CBFC9FC" w:rsidR="00F50E0B" w:rsidRPr="00DD7F7A" w:rsidRDefault="00F50E0B" w:rsidP="00F50E0B">
            <w:pPr>
              <w:jc w:val="both"/>
              <w:rPr>
                <w:sz w:val="22"/>
                <w:szCs w:val="22"/>
                <w:lang w:val="lt-LT"/>
              </w:rPr>
            </w:pPr>
            <w:r w:rsidRPr="00DD7F7A">
              <w:rPr>
                <w:sz w:val="22"/>
                <w:szCs w:val="22"/>
                <w:lang w:val="lt-LT"/>
              </w:rPr>
              <w:t>Pateikti pastebėjimai dėl sutarties Bendrųjų ir Specialiųjų sąlygų.</w:t>
            </w:r>
          </w:p>
        </w:tc>
        <w:tc>
          <w:tcPr>
            <w:tcW w:w="1390" w:type="pct"/>
            <w:shd w:val="clear" w:color="auto" w:fill="auto"/>
          </w:tcPr>
          <w:p w14:paraId="2B4CFA90" w14:textId="38E18FF5" w:rsidR="00F50E0B" w:rsidRPr="00DD7F7A" w:rsidRDefault="00F50E0B" w:rsidP="00F50E0B">
            <w:pPr>
              <w:tabs>
                <w:tab w:val="left" w:pos="430"/>
              </w:tabs>
              <w:jc w:val="both"/>
              <w:rPr>
                <w:sz w:val="22"/>
                <w:szCs w:val="22"/>
                <w:lang w:val="lt-LT"/>
              </w:rPr>
            </w:pPr>
            <w:r w:rsidRPr="00DD7F7A">
              <w:rPr>
                <w:sz w:val="22"/>
                <w:szCs w:val="22"/>
                <w:lang w:val="lt-LT"/>
              </w:rPr>
              <w:t xml:space="preserve">Ačiū už pasiūlymus, skelbiant pirkimą perkančioji organizacija vertins </w:t>
            </w:r>
            <w:r w:rsidR="00AD5C5C" w:rsidRPr="00DD7F7A">
              <w:rPr>
                <w:sz w:val="22"/>
                <w:szCs w:val="22"/>
                <w:lang w:val="lt-LT"/>
              </w:rPr>
              <w:t xml:space="preserve">patiktus </w:t>
            </w:r>
            <w:r w:rsidRPr="00DD7F7A">
              <w:rPr>
                <w:sz w:val="22"/>
                <w:szCs w:val="22"/>
                <w:lang w:val="lt-LT"/>
              </w:rPr>
              <w:t>siūlymus</w:t>
            </w:r>
            <w:r w:rsidR="00AD5C5C" w:rsidRPr="00DD7F7A">
              <w:rPr>
                <w:sz w:val="22"/>
                <w:szCs w:val="22"/>
                <w:lang w:val="lt-LT"/>
              </w:rPr>
              <w:t xml:space="preserve"> ir pastabas</w:t>
            </w:r>
            <w:r w:rsidRPr="00DD7F7A">
              <w:rPr>
                <w:sz w:val="22"/>
                <w:szCs w:val="22"/>
                <w:lang w:val="lt-LT"/>
              </w:rPr>
              <w:t>.</w:t>
            </w:r>
            <w:r w:rsidR="00AD5C5C" w:rsidRPr="00DD7F7A">
              <w:rPr>
                <w:sz w:val="22"/>
                <w:szCs w:val="22"/>
                <w:lang w:val="lt-LT"/>
              </w:rPr>
              <w:t xml:space="preserve"> Skelbiant pirkimą su pirkimo dokumentais pirkime bus teikiama Viešųjų pirkimų tarnybos patvirtinta paslaugų sutartis.</w:t>
            </w:r>
          </w:p>
        </w:tc>
      </w:tr>
      <w:tr w:rsidR="00F50E0B" w:rsidRPr="005B4A6C" w14:paraId="69C376F7" w14:textId="77777777" w:rsidTr="00A312D1">
        <w:tc>
          <w:tcPr>
            <w:tcW w:w="343" w:type="pct"/>
            <w:tcMar>
              <w:top w:w="0" w:type="dxa"/>
              <w:left w:w="108" w:type="dxa"/>
              <w:bottom w:w="0" w:type="dxa"/>
              <w:right w:w="108" w:type="dxa"/>
            </w:tcMar>
          </w:tcPr>
          <w:p w14:paraId="282D456F" w14:textId="24B2E86F" w:rsidR="00F50E0B" w:rsidRPr="005B4A6C" w:rsidRDefault="00F50E0B" w:rsidP="00F50E0B">
            <w:pPr>
              <w:jc w:val="center"/>
              <w:rPr>
                <w:sz w:val="22"/>
                <w:szCs w:val="22"/>
                <w:lang w:val="lt-LT"/>
              </w:rPr>
            </w:pPr>
            <w:r w:rsidRPr="005B4A6C">
              <w:rPr>
                <w:sz w:val="22"/>
                <w:szCs w:val="22"/>
                <w:lang w:val="lt-LT"/>
              </w:rPr>
              <w:t xml:space="preserve">2. </w:t>
            </w:r>
          </w:p>
        </w:tc>
        <w:tc>
          <w:tcPr>
            <w:tcW w:w="1571" w:type="pct"/>
            <w:tcMar>
              <w:top w:w="0" w:type="dxa"/>
              <w:left w:w="108" w:type="dxa"/>
              <w:bottom w:w="0" w:type="dxa"/>
              <w:right w:w="108" w:type="dxa"/>
            </w:tcMar>
          </w:tcPr>
          <w:p w14:paraId="50BA2CA9" w14:textId="77777777" w:rsidR="005B4A6C" w:rsidRPr="005B4A6C" w:rsidRDefault="005B4A6C" w:rsidP="005B4A6C">
            <w:pPr>
              <w:jc w:val="both"/>
              <w:rPr>
                <w:rFonts w:eastAsia="Calibri"/>
                <w:sz w:val="22"/>
                <w:szCs w:val="22"/>
                <w:lang w:val="lt-LT" w:eastAsia="he-IL" w:bidi="he-IL"/>
              </w:rPr>
            </w:pPr>
            <w:r w:rsidRPr="005B4A6C">
              <w:rPr>
                <w:rFonts w:eastAsia="Calibri"/>
                <w:sz w:val="22"/>
                <w:szCs w:val="22"/>
                <w:lang w:val="lt-LT" w:eastAsia="he-IL" w:bidi="he-IL"/>
              </w:rPr>
              <w:t xml:space="preserve">3.3.2. konsultacijos telefonu ir HD sistemoje – turi būti suteiktos konsultacijos dėl Sistemų,  veikimo, naudojimosi  telefonu ir HD sistemoje (paskirtiems įstaigos </w:t>
            </w:r>
            <w:r w:rsidRPr="00DD7F7A">
              <w:rPr>
                <w:rFonts w:eastAsia="Calibri"/>
                <w:sz w:val="22"/>
                <w:szCs w:val="22"/>
                <w:lang w:val="lt-LT" w:eastAsia="he-IL" w:bidi="he-IL"/>
              </w:rPr>
              <w:t>darbuotojams) nesijungiant prie Perkančiosios organizacijos darbo vietų ar tarnybinių stočių, viso ne mažiau nei 50 (penkiasdešimt) valandų (visoms Sistemoms kartu) per sutarties galiojimo laikotarpį</w:t>
            </w:r>
          </w:p>
          <w:p w14:paraId="6BCD7F00" w14:textId="4DBA3407" w:rsidR="00F50E0B" w:rsidRPr="005B4A6C" w:rsidRDefault="00F50E0B" w:rsidP="001C6DAC">
            <w:pPr>
              <w:pStyle w:val="Default"/>
              <w:jc w:val="both"/>
              <w:rPr>
                <w:rFonts w:ascii="Times New Roman" w:hAnsi="Times New Roman" w:cs="Times New Roman"/>
                <w:sz w:val="22"/>
                <w:szCs w:val="22"/>
              </w:rPr>
            </w:pPr>
          </w:p>
        </w:tc>
        <w:tc>
          <w:tcPr>
            <w:tcW w:w="1697" w:type="pct"/>
            <w:tcMar>
              <w:top w:w="0" w:type="dxa"/>
              <w:left w:w="108" w:type="dxa"/>
              <w:bottom w:w="0" w:type="dxa"/>
              <w:right w:w="108" w:type="dxa"/>
            </w:tcMar>
          </w:tcPr>
          <w:p w14:paraId="4A2D7CB8" w14:textId="77777777" w:rsidR="005B4A6C" w:rsidRPr="005B4A6C" w:rsidRDefault="005B4A6C" w:rsidP="005B4A6C">
            <w:pPr>
              <w:jc w:val="both"/>
              <w:rPr>
                <w:sz w:val="22"/>
                <w:szCs w:val="22"/>
                <w:lang w:val="lt-LT"/>
              </w:rPr>
            </w:pPr>
            <w:r w:rsidRPr="005B4A6C">
              <w:rPr>
                <w:sz w:val="22"/>
                <w:szCs w:val="22"/>
                <w:lang w:val="lt-LT"/>
              </w:rPr>
              <w:t xml:space="preserve">Norime atkreipti dėmesį, kad formuluotė "ne mažiau nei 50 val.” reiškia 50 val. arba daugiau neribotai. Paliekant esamą formuluotę perkančioji organizacija turės teisę reikalauti neriboto skaičiaus konsultacijų. Tiekėjas nežinodamas valandų ribos negali net apytiksliai įsivertinti pasiūlymo apimties. </w:t>
            </w:r>
          </w:p>
          <w:p w14:paraId="458E0E5F" w14:textId="360A5ABD" w:rsidR="005B4A6C" w:rsidRPr="005B4A6C" w:rsidRDefault="005B4A6C" w:rsidP="00F50E0B">
            <w:pPr>
              <w:jc w:val="both"/>
              <w:rPr>
                <w:sz w:val="22"/>
                <w:szCs w:val="22"/>
                <w:lang w:val="lt-LT"/>
              </w:rPr>
            </w:pPr>
            <w:r w:rsidRPr="005B4A6C">
              <w:rPr>
                <w:sz w:val="22"/>
                <w:szCs w:val="22"/>
                <w:lang w:val="lt-LT"/>
              </w:rPr>
              <w:t>Be to, 3.4. p. yra numatytas bendras valandų kiekis visoms aptarnavimo paslaugoms (įskaitant konsultacijas telefonu ir HD sistemoje), todėl šiame punkte siūlome išbraukti "</w:t>
            </w:r>
            <w:r w:rsidRPr="005B4A6C">
              <w:rPr>
                <w:i/>
                <w:iCs/>
                <w:sz w:val="22"/>
                <w:szCs w:val="22"/>
                <w:lang w:val="lt-LT"/>
              </w:rPr>
              <w:t>viso ne mažiau nei 50 (penkiasdešimt) valandų (visoms Sistemoms kartu) per sutarties galiojimo laikotarpį</w:t>
            </w:r>
            <w:r w:rsidRPr="005B4A6C">
              <w:rPr>
                <w:sz w:val="22"/>
                <w:szCs w:val="22"/>
                <w:lang w:val="lt-LT"/>
              </w:rPr>
              <w:t>;", nes aptarnavimo paslaugų kiekis nurodytas 3.4.p.</w:t>
            </w:r>
          </w:p>
        </w:tc>
        <w:tc>
          <w:tcPr>
            <w:tcW w:w="1390" w:type="pct"/>
            <w:shd w:val="clear" w:color="auto" w:fill="auto"/>
          </w:tcPr>
          <w:p w14:paraId="1DD71BB3" w14:textId="77777777" w:rsidR="00F50E0B" w:rsidRDefault="005536BF" w:rsidP="005B4A6C">
            <w:pPr>
              <w:jc w:val="both"/>
              <w:rPr>
                <w:sz w:val="22"/>
                <w:szCs w:val="22"/>
                <w:lang w:val="lt-LT"/>
              </w:rPr>
            </w:pPr>
            <w:r>
              <w:rPr>
                <w:sz w:val="22"/>
                <w:szCs w:val="22"/>
                <w:lang w:val="lt-LT"/>
              </w:rPr>
              <w:t>Pakeistas punktas pagal tiekėjo pasiūlymą.</w:t>
            </w:r>
          </w:p>
          <w:p w14:paraId="75CA3796" w14:textId="3FAD822F" w:rsidR="005536BF" w:rsidRPr="005B4A6C" w:rsidRDefault="005536BF" w:rsidP="005B4A6C">
            <w:pPr>
              <w:jc w:val="both"/>
              <w:rPr>
                <w:sz w:val="22"/>
                <w:szCs w:val="22"/>
                <w:lang w:val="lt-LT"/>
              </w:rPr>
            </w:pPr>
            <w:r w:rsidRPr="005B4A6C">
              <w:rPr>
                <w:rFonts w:eastAsia="Calibri"/>
                <w:sz w:val="22"/>
                <w:szCs w:val="22"/>
                <w:lang w:val="lt-LT" w:eastAsia="he-IL" w:bidi="he-IL"/>
              </w:rPr>
              <w:t>3.3.2. konsultacijos telefonu ir HD sistemoje – turi būti suteiktos konsultacijos dėl Sistemų,  veikimo, naudojimosi  telefonu ir HD sistemoje (paskirtiems įstaigos darbuotojams) nesijungiant prie Perkančiosios organizacijos darbo vietų ar tarnybinių stočių</w:t>
            </w:r>
            <w:r w:rsidR="00B02352">
              <w:rPr>
                <w:rFonts w:eastAsia="Calibri"/>
                <w:sz w:val="22"/>
                <w:szCs w:val="22"/>
                <w:lang w:val="lt-LT" w:eastAsia="he-IL" w:bidi="he-IL"/>
              </w:rPr>
              <w:t>.</w:t>
            </w:r>
          </w:p>
        </w:tc>
      </w:tr>
      <w:tr w:rsidR="005B4A6C" w:rsidRPr="005B4A6C" w14:paraId="110E2D1F" w14:textId="77777777" w:rsidTr="00A312D1">
        <w:tc>
          <w:tcPr>
            <w:tcW w:w="343" w:type="pct"/>
            <w:tcMar>
              <w:top w:w="0" w:type="dxa"/>
              <w:left w:w="108" w:type="dxa"/>
              <w:bottom w:w="0" w:type="dxa"/>
              <w:right w:w="108" w:type="dxa"/>
            </w:tcMar>
          </w:tcPr>
          <w:p w14:paraId="2B46A931" w14:textId="4B593B6D" w:rsidR="005B4A6C" w:rsidRPr="005B4A6C" w:rsidRDefault="00A312D1" w:rsidP="00F50E0B">
            <w:pPr>
              <w:jc w:val="center"/>
              <w:rPr>
                <w:sz w:val="22"/>
                <w:szCs w:val="22"/>
                <w:lang w:val="lt-LT"/>
              </w:rPr>
            </w:pPr>
            <w:r>
              <w:rPr>
                <w:sz w:val="22"/>
                <w:szCs w:val="22"/>
                <w:lang w:val="lt-LT"/>
              </w:rPr>
              <w:t>3</w:t>
            </w:r>
            <w:r w:rsidR="005B4A6C" w:rsidRPr="005B4A6C">
              <w:rPr>
                <w:sz w:val="22"/>
                <w:szCs w:val="22"/>
                <w:lang w:val="lt-LT"/>
              </w:rPr>
              <w:t xml:space="preserve">. </w:t>
            </w:r>
          </w:p>
        </w:tc>
        <w:tc>
          <w:tcPr>
            <w:tcW w:w="1571" w:type="pct"/>
            <w:tcMar>
              <w:top w:w="0" w:type="dxa"/>
              <w:left w:w="108" w:type="dxa"/>
              <w:bottom w:w="0" w:type="dxa"/>
              <w:right w:w="108" w:type="dxa"/>
            </w:tcMar>
          </w:tcPr>
          <w:p w14:paraId="66FE6256" w14:textId="77777777" w:rsidR="005B4A6C" w:rsidRPr="005B4A6C" w:rsidRDefault="005B4A6C" w:rsidP="005B4A6C">
            <w:pPr>
              <w:pStyle w:val="ListParagraph"/>
              <w:snapToGrid w:val="0"/>
              <w:spacing w:after="0" w:line="240" w:lineRule="auto"/>
              <w:ind w:left="0"/>
              <w:jc w:val="both"/>
              <w:rPr>
                <w:rFonts w:ascii="Times New Roman" w:hAnsi="Times New Roman" w:cs="Times New Roman"/>
                <w:lang w:val="lt-LT"/>
              </w:rPr>
            </w:pPr>
            <w:r w:rsidRPr="005B4A6C">
              <w:rPr>
                <w:rFonts w:ascii="Times New Roman" w:eastAsia="Calibri" w:hAnsi="Times New Roman" w:cs="Times New Roman"/>
                <w:lang w:val="lt-LT" w:eastAsia="he-IL" w:bidi="he-IL"/>
              </w:rPr>
              <w:t xml:space="preserve">3.3.3. </w:t>
            </w:r>
            <w:r w:rsidRPr="005B4A6C">
              <w:rPr>
                <w:rFonts w:ascii="Times New Roman" w:hAnsi="Times New Roman" w:cs="Times New Roman"/>
                <w:lang w:val="lt-LT"/>
              </w:rPr>
              <w:t>Perkančiosios organizacijos prašymu tikrinami duomenys ieškant problemos duomenyse, koreguojami duomenys Sistemose dėl Perkančiosios organizacijos nekorektiškų veiksmų. Jeigu tikrinimo metu paaiškėja, kad duomenys nekorektiški dėl Sistemų sutrikimų, Paslaugų teikėjas jas šalina nemokamai;</w:t>
            </w:r>
          </w:p>
          <w:p w14:paraId="50D57931" w14:textId="77777777" w:rsidR="005B4A6C" w:rsidRPr="005B4A6C" w:rsidRDefault="005B4A6C" w:rsidP="00F50E0B">
            <w:pPr>
              <w:tabs>
                <w:tab w:val="left" w:pos="1050"/>
              </w:tabs>
              <w:ind w:left="5"/>
              <w:contextualSpacing/>
              <w:jc w:val="both"/>
              <w:rPr>
                <w:color w:val="000000"/>
                <w:sz w:val="22"/>
                <w:szCs w:val="22"/>
                <w:lang w:val="lt-LT"/>
              </w:rPr>
            </w:pPr>
          </w:p>
        </w:tc>
        <w:tc>
          <w:tcPr>
            <w:tcW w:w="1697" w:type="pct"/>
            <w:tcMar>
              <w:top w:w="0" w:type="dxa"/>
              <w:left w:w="108" w:type="dxa"/>
              <w:bottom w:w="0" w:type="dxa"/>
              <w:right w:w="108" w:type="dxa"/>
            </w:tcMar>
          </w:tcPr>
          <w:p w14:paraId="17283F89" w14:textId="77777777" w:rsidR="005B4A6C" w:rsidRPr="005B4A6C" w:rsidRDefault="005B4A6C" w:rsidP="005B4A6C">
            <w:pPr>
              <w:jc w:val="both"/>
              <w:rPr>
                <w:sz w:val="22"/>
                <w:szCs w:val="22"/>
                <w:lang w:val="lt-LT"/>
              </w:rPr>
            </w:pPr>
            <w:r w:rsidRPr="005B4A6C">
              <w:rPr>
                <w:sz w:val="22"/>
                <w:szCs w:val="22"/>
                <w:lang w:val="lt-LT"/>
              </w:rPr>
              <w:t>Paslaugos nėra teikiamos nemokamai, jūs mokate palaikymo mokestį ir esant sistemos klaidoms mes jas taisome. Prašome patikslinti:</w:t>
            </w:r>
          </w:p>
          <w:p w14:paraId="7E1A2BCE" w14:textId="77777777" w:rsidR="005B4A6C" w:rsidRPr="005B4A6C" w:rsidRDefault="005B4A6C" w:rsidP="005B4A6C">
            <w:pPr>
              <w:jc w:val="both"/>
              <w:rPr>
                <w:sz w:val="22"/>
                <w:szCs w:val="22"/>
                <w:lang w:val="lt-LT"/>
              </w:rPr>
            </w:pPr>
            <w:r w:rsidRPr="005B4A6C">
              <w:rPr>
                <w:sz w:val="22"/>
                <w:szCs w:val="22"/>
                <w:lang w:val="lt-LT"/>
              </w:rPr>
              <w:t xml:space="preserve">Perkančiosios organizacijos prašymu tikrinami duomenys ieškant problemos duomenyse, koreguojami duomenys Sistemose dėl Perkančioji organizacijas nekorektiškų veiksmų. Jeigu tikrinimo metu paaiškėja, kad duomenys nekorektiški dėl Sistemų klaidų, Paslaugų teikėjas jas šalina </w:t>
            </w:r>
            <w:r w:rsidRPr="005B4A6C">
              <w:rPr>
                <w:b/>
                <w:bCs/>
                <w:sz w:val="22"/>
                <w:szCs w:val="22"/>
                <w:lang w:val="lt-LT"/>
              </w:rPr>
              <w:t>palaikymo paslaugų apimtyje</w:t>
            </w:r>
            <w:r w:rsidRPr="005B4A6C">
              <w:rPr>
                <w:sz w:val="22"/>
                <w:szCs w:val="22"/>
                <w:lang w:val="lt-LT"/>
              </w:rPr>
              <w:t>;</w:t>
            </w:r>
          </w:p>
          <w:p w14:paraId="28973614" w14:textId="77777777" w:rsidR="005B4A6C" w:rsidRPr="005B4A6C" w:rsidRDefault="005B4A6C" w:rsidP="00F50E0B">
            <w:pPr>
              <w:jc w:val="both"/>
              <w:rPr>
                <w:sz w:val="22"/>
                <w:szCs w:val="22"/>
                <w:lang w:val="lt-LT"/>
              </w:rPr>
            </w:pPr>
          </w:p>
        </w:tc>
        <w:tc>
          <w:tcPr>
            <w:tcW w:w="1390" w:type="pct"/>
            <w:shd w:val="clear" w:color="auto" w:fill="auto"/>
          </w:tcPr>
          <w:p w14:paraId="5D824D8B" w14:textId="77777777" w:rsidR="005536BF" w:rsidRDefault="005536BF" w:rsidP="005536BF">
            <w:pPr>
              <w:jc w:val="both"/>
              <w:rPr>
                <w:sz w:val="22"/>
                <w:szCs w:val="22"/>
                <w:lang w:val="lt-LT"/>
              </w:rPr>
            </w:pPr>
            <w:r>
              <w:rPr>
                <w:sz w:val="22"/>
                <w:szCs w:val="22"/>
                <w:lang w:val="lt-LT"/>
              </w:rPr>
              <w:t>Pakeistas punktas pagal tiekėjo pasiūlymą.</w:t>
            </w:r>
          </w:p>
          <w:p w14:paraId="6ADF679D" w14:textId="1224017F" w:rsidR="00145BDF" w:rsidRPr="001409E7" w:rsidRDefault="00145BDF" w:rsidP="00145BDF">
            <w:pPr>
              <w:jc w:val="both"/>
              <w:rPr>
                <w:sz w:val="22"/>
                <w:szCs w:val="22"/>
                <w:lang w:val="lt-LT"/>
              </w:rPr>
            </w:pPr>
            <w:r w:rsidRPr="00145BDF">
              <w:rPr>
                <w:sz w:val="22"/>
                <w:szCs w:val="22"/>
              </w:rPr>
              <w:t>3.3.3.</w:t>
            </w:r>
            <w:r w:rsidR="001409E7">
              <w:rPr>
                <w:sz w:val="22"/>
                <w:szCs w:val="22"/>
              </w:rPr>
              <w:t xml:space="preserve"> </w:t>
            </w:r>
            <w:r w:rsidRPr="001409E7">
              <w:rPr>
                <w:sz w:val="22"/>
                <w:szCs w:val="22"/>
                <w:lang w:val="lt-LT"/>
              </w:rPr>
              <w:t>Perkančiosios organizacijos prašymu tikrinami duomenys ieškant problemos duomenyse, koreguojami duomenys Sistemose dėl Perkančiosios organizacijos nekorektiškų veiksmų. Jeigu tikrinimo metu paaiškėja, kad duomenys nekorektiški dėl Sistemų klaidų, Paslaugų teikėjas jas šalina palaikymo paslaugų apimtyje;</w:t>
            </w:r>
          </w:p>
          <w:p w14:paraId="4C02589C" w14:textId="394F9ABC" w:rsidR="00145BDF" w:rsidRPr="005B4A6C" w:rsidRDefault="00145BDF" w:rsidP="00F50E0B">
            <w:pPr>
              <w:jc w:val="both"/>
              <w:rPr>
                <w:sz w:val="22"/>
                <w:szCs w:val="22"/>
                <w:lang w:val="lt-LT"/>
              </w:rPr>
            </w:pPr>
          </w:p>
        </w:tc>
      </w:tr>
      <w:tr w:rsidR="005B4A6C" w:rsidRPr="005B4A6C" w14:paraId="1E666E4D" w14:textId="77777777" w:rsidTr="00A312D1">
        <w:tc>
          <w:tcPr>
            <w:tcW w:w="343" w:type="pct"/>
            <w:tcMar>
              <w:top w:w="0" w:type="dxa"/>
              <w:left w:w="108" w:type="dxa"/>
              <w:bottom w:w="0" w:type="dxa"/>
              <w:right w:w="108" w:type="dxa"/>
            </w:tcMar>
          </w:tcPr>
          <w:p w14:paraId="4971551D" w14:textId="5AAE8512" w:rsidR="005B4A6C" w:rsidRPr="005B4A6C" w:rsidRDefault="00A312D1" w:rsidP="00F50E0B">
            <w:pPr>
              <w:jc w:val="center"/>
              <w:rPr>
                <w:sz w:val="22"/>
                <w:szCs w:val="22"/>
                <w:lang w:val="lt-LT"/>
              </w:rPr>
            </w:pPr>
            <w:r>
              <w:rPr>
                <w:sz w:val="22"/>
                <w:szCs w:val="22"/>
                <w:lang w:val="lt-LT"/>
              </w:rPr>
              <w:lastRenderedPageBreak/>
              <w:t>4</w:t>
            </w:r>
            <w:r w:rsidR="005B4A6C" w:rsidRPr="005B4A6C">
              <w:rPr>
                <w:sz w:val="22"/>
                <w:szCs w:val="22"/>
                <w:lang w:val="lt-LT"/>
              </w:rPr>
              <w:t>.</w:t>
            </w:r>
          </w:p>
        </w:tc>
        <w:tc>
          <w:tcPr>
            <w:tcW w:w="1571" w:type="pct"/>
            <w:tcMar>
              <w:top w:w="0" w:type="dxa"/>
              <w:left w:w="108" w:type="dxa"/>
              <w:bottom w:w="0" w:type="dxa"/>
              <w:right w:w="108" w:type="dxa"/>
            </w:tcMar>
          </w:tcPr>
          <w:p w14:paraId="3BC68BB9" w14:textId="77777777" w:rsidR="005B4A6C" w:rsidRPr="005B4A6C" w:rsidRDefault="005B4A6C" w:rsidP="005B4A6C">
            <w:pPr>
              <w:pStyle w:val="ListParagraph"/>
              <w:snapToGrid w:val="0"/>
              <w:spacing w:after="0" w:line="240" w:lineRule="auto"/>
              <w:ind w:left="0"/>
              <w:jc w:val="both"/>
              <w:rPr>
                <w:rFonts w:ascii="Times New Roman" w:eastAsia="Calibri" w:hAnsi="Times New Roman" w:cs="Times New Roman"/>
                <w:lang w:val="lt-LT" w:eastAsia="he-IL" w:bidi="he-IL"/>
              </w:rPr>
            </w:pPr>
            <w:r w:rsidRPr="005B4A6C">
              <w:rPr>
                <w:rFonts w:ascii="Times New Roman" w:eastAsia="Calibri" w:hAnsi="Times New Roman" w:cs="Times New Roman"/>
                <w:b/>
                <w:lang w:val="lt-LT" w:eastAsia="he-IL" w:bidi="he-IL"/>
              </w:rPr>
              <w:t xml:space="preserve">3.3.7.1. kritinis sutrikimas. </w:t>
            </w:r>
            <w:r w:rsidRPr="005B4A6C">
              <w:rPr>
                <w:rFonts w:ascii="Times New Roman" w:hAnsi="Times New Roman" w:cs="Times New Roman"/>
                <w:lang w:val="lt-LT"/>
              </w:rPr>
              <w:t xml:space="preserve">Sistemų arba kritinis jų funkcionalumas neveikia, arba  duomenų praradimas ar duomenų sugadinimas arba/ir dėl Sistemų netinkamo veikimo Perkančioji organizacija negali tęsti veiklos </w:t>
            </w:r>
            <w:r w:rsidRPr="005B4A6C">
              <w:rPr>
                <w:rFonts w:ascii="Times New Roman" w:eastAsia="Calibri" w:hAnsi="Times New Roman" w:cs="Times New Roman"/>
                <w:lang w:val="lt-LT" w:eastAsia="he-IL" w:bidi="he-IL"/>
              </w:rPr>
              <w:t>– reagavimo laikas ne ilgiau kaip 4 darbo laiko valandos, sprendimo laikas 6 darbo laiko valandos. Nesant galimybei išspręsti per nurodytą laiką, turi būti suderintas su Perkančiąja organizacija kitas sutrikimo sprendimo laikas;</w:t>
            </w:r>
          </w:p>
          <w:p w14:paraId="1BDB140D" w14:textId="77777777" w:rsidR="005B4A6C" w:rsidRPr="005B4A6C" w:rsidRDefault="005B4A6C" w:rsidP="00F50E0B">
            <w:pPr>
              <w:tabs>
                <w:tab w:val="left" w:pos="1050"/>
              </w:tabs>
              <w:ind w:left="5"/>
              <w:contextualSpacing/>
              <w:jc w:val="both"/>
              <w:rPr>
                <w:color w:val="000000"/>
                <w:sz w:val="22"/>
                <w:szCs w:val="22"/>
                <w:lang w:val="lt-LT"/>
              </w:rPr>
            </w:pPr>
          </w:p>
        </w:tc>
        <w:tc>
          <w:tcPr>
            <w:tcW w:w="1697" w:type="pct"/>
            <w:tcMar>
              <w:top w:w="0" w:type="dxa"/>
              <w:left w:w="108" w:type="dxa"/>
              <w:bottom w:w="0" w:type="dxa"/>
              <w:right w:w="108" w:type="dxa"/>
            </w:tcMar>
          </w:tcPr>
          <w:p w14:paraId="35CCF87D" w14:textId="77777777" w:rsidR="005B4A6C" w:rsidRPr="005B4A6C" w:rsidRDefault="005B4A6C" w:rsidP="005B4A6C">
            <w:pPr>
              <w:jc w:val="both"/>
              <w:rPr>
                <w:sz w:val="22"/>
                <w:szCs w:val="22"/>
                <w:lang w:val="lt-LT"/>
              </w:rPr>
            </w:pPr>
            <w:r w:rsidRPr="005B4A6C">
              <w:rPr>
                <w:sz w:val="22"/>
                <w:szCs w:val="22"/>
                <w:lang w:val="lt-LT"/>
              </w:rPr>
              <w:t>Kritinis sutrikimas tūrėtų būti laikomas tik tuo atveju jei nėra kito kelio/funkcionalumo klaidos apėjimui, todėl prašytume patikslinti:</w:t>
            </w:r>
          </w:p>
          <w:p w14:paraId="3E9CFA62" w14:textId="7225ECB3" w:rsidR="005B4A6C" w:rsidRPr="005B4A6C" w:rsidRDefault="005B4A6C" w:rsidP="00F50E0B">
            <w:pPr>
              <w:jc w:val="both"/>
              <w:rPr>
                <w:sz w:val="22"/>
                <w:szCs w:val="22"/>
                <w:lang w:val="lt-LT"/>
              </w:rPr>
            </w:pPr>
            <w:r w:rsidRPr="005B4A6C">
              <w:rPr>
                <w:b/>
                <w:bCs/>
                <w:sz w:val="22"/>
                <w:szCs w:val="22"/>
                <w:lang w:val="lt-LT"/>
              </w:rPr>
              <w:t xml:space="preserve">3.3.7.1. kritinis sutrikimas. </w:t>
            </w:r>
            <w:r w:rsidRPr="005B4A6C">
              <w:rPr>
                <w:sz w:val="22"/>
                <w:szCs w:val="22"/>
                <w:lang w:val="lt-LT"/>
              </w:rPr>
              <w:t>Sistemų arba kritinis jų funkcionalumas neveikia, arba duomenų praradimas ar duomenų sugadinimas arba/ir dėl Sistemų netinkamo veikimo Perkančioji organizacija negali tęsti veiklos bei nėra alternatyvaus funkcionalumo/kelio klaidos apėjimui</w:t>
            </w:r>
            <w:r w:rsidRPr="005B4A6C">
              <w:rPr>
                <w:b/>
                <w:bCs/>
                <w:sz w:val="22"/>
                <w:szCs w:val="22"/>
                <w:lang w:val="lt-LT"/>
              </w:rPr>
              <w:t xml:space="preserve"> &lt;...&gt;.</w:t>
            </w:r>
          </w:p>
        </w:tc>
        <w:tc>
          <w:tcPr>
            <w:tcW w:w="1390" w:type="pct"/>
            <w:shd w:val="clear" w:color="auto" w:fill="auto"/>
          </w:tcPr>
          <w:p w14:paraId="2C623F94" w14:textId="0B7A1A66" w:rsidR="00323B8C" w:rsidRDefault="00323B8C" w:rsidP="00323B8C">
            <w:pPr>
              <w:jc w:val="both"/>
              <w:rPr>
                <w:sz w:val="22"/>
                <w:szCs w:val="22"/>
                <w:lang w:val="lt-LT"/>
              </w:rPr>
            </w:pPr>
            <w:r>
              <w:rPr>
                <w:sz w:val="22"/>
                <w:szCs w:val="22"/>
                <w:lang w:val="lt-LT"/>
              </w:rPr>
              <w:t>Pakeistas punktas pagal tiekėjo pasiūlymą.</w:t>
            </w:r>
          </w:p>
          <w:p w14:paraId="68212F97" w14:textId="77777777" w:rsidR="004174CE" w:rsidRDefault="004174CE" w:rsidP="00F50E0B">
            <w:pPr>
              <w:jc w:val="both"/>
              <w:rPr>
                <w:sz w:val="22"/>
                <w:szCs w:val="22"/>
                <w:lang w:val="lt-LT"/>
              </w:rPr>
            </w:pPr>
          </w:p>
          <w:p w14:paraId="18A49214" w14:textId="77777777" w:rsidR="004174CE" w:rsidRPr="004174CE" w:rsidRDefault="004174CE" w:rsidP="004174CE">
            <w:pPr>
              <w:jc w:val="both"/>
              <w:rPr>
                <w:sz w:val="22"/>
                <w:szCs w:val="22"/>
              </w:rPr>
            </w:pPr>
            <w:r w:rsidRPr="004174CE">
              <w:rPr>
                <w:b/>
                <w:sz w:val="22"/>
                <w:szCs w:val="22"/>
              </w:rPr>
              <w:t xml:space="preserve">3.3.7.1. </w:t>
            </w:r>
            <w:proofErr w:type="spellStart"/>
            <w:r w:rsidRPr="004174CE">
              <w:rPr>
                <w:b/>
                <w:sz w:val="22"/>
                <w:szCs w:val="22"/>
              </w:rPr>
              <w:t>kritinis</w:t>
            </w:r>
            <w:proofErr w:type="spellEnd"/>
            <w:r w:rsidRPr="004174CE">
              <w:rPr>
                <w:b/>
                <w:sz w:val="22"/>
                <w:szCs w:val="22"/>
              </w:rPr>
              <w:t xml:space="preserve"> </w:t>
            </w:r>
            <w:proofErr w:type="spellStart"/>
            <w:r w:rsidRPr="004174CE">
              <w:rPr>
                <w:b/>
                <w:sz w:val="22"/>
                <w:szCs w:val="22"/>
              </w:rPr>
              <w:t>sutrikimas</w:t>
            </w:r>
            <w:proofErr w:type="spellEnd"/>
            <w:r w:rsidRPr="004174CE">
              <w:rPr>
                <w:b/>
                <w:sz w:val="22"/>
                <w:szCs w:val="22"/>
              </w:rPr>
              <w:t xml:space="preserve">. </w:t>
            </w:r>
            <w:proofErr w:type="spellStart"/>
            <w:r w:rsidRPr="004174CE">
              <w:rPr>
                <w:sz w:val="22"/>
                <w:szCs w:val="22"/>
              </w:rPr>
              <w:t>Sistemų</w:t>
            </w:r>
            <w:proofErr w:type="spellEnd"/>
            <w:r w:rsidRPr="004174CE">
              <w:rPr>
                <w:sz w:val="22"/>
                <w:szCs w:val="22"/>
              </w:rPr>
              <w:t xml:space="preserve"> </w:t>
            </w:r>
            <w:proofErr w:type="spellStart"/>
            <w:r w:rsidRPr="004174CE">
              <w:rPr>
                <w:sz w:val="22"/>
                <w:szCs w:val="22"/>
              </w:rPr>
              <w:t>arba</w:t>
            </w:r>
            <w:proofErr w:type="spellEnd"/>
            <w:r w:rsidRPr="004174CE">
              <w:rPr>
                <w:sz w:val="22"/>
                <w:szCs w:val="22"/>
              </w:rPr>
              <w:t xml:space="preserve"> </w:t>
            </w:r>
            <w:proofErr w:type="spellStart"/>
            <w:r w:rsidRPr="004174CE">
              <w:rPr>
                <w:sz w:val="22"/>
                <w:szCs w:val="22"/>
              </w:rPr>
              <w:t>kritinis</w:t>
            </w:r>
            <w:proofErr w:type="spellEnd"/>
            <w:r w:rsidRPr="004174CE">
              <w:rPr>
                <w:sz w:val="22"/>
                <w:szCs w:val="22"/>
              </w:rPr>
              <w:t xml:space="preserve"> </w:t>
            </w:r>
            <w:proofErr w:type="spellStart"/>
            <w:r w:rsidRPr="004174CE">
              <w:rPr>
                <w:sz w:val="22"/>
                <w:szCs w:val="22"/>
              </w:rPr>
              <w:t>jų</w:t>
            </w:r>
            <w:proofErr w:type="spellEnd"/>
            <w:r w:rsidRPr="004174CE">
              <w:rPr>
                <w:sz w:val="22"/>
                <w:szCs w:val="22"/>
              </w:rPr>
              <w:t xml:space="preserve"> </w:t>
            </w:r>
            <w:proofErr w:type="spellStart"/>
            <w:r w:rsidRPr="004174CE">
              <w:rPr>
                <w:sz w:val="22"/>
                <w:szCs w:val="22"/>
              </w:rPr>
              <w:t>funkcionalumas</w:t>
            </w:r>
            <w:proofErr w:type="spellEnd"/>
            <w:r w:rsidRPr="004174CE">
              <w:rPr>
                <w:sz w:val="22"/>
                <w:szCs w:val="22"/>
              </w:rPr>
              <w:t xml:space="preserve"> </w:t>
            </w:r>
            <w:proofErr w:type="spellStart"/>
            <w:r w:rsidRPr="004174CE">
              <w:rPr>
                <w:sz w:val="22"/>
                <w:szCs w:val="22"/>
              </w:rPr>
              <w:t>neveikia</w:t>
            </w:r>
            <w:proofErr w:type="spellEnd"/>
            <w:r w:rsidRPr="004174CE">
              <w:rPr>
                <w:sz w:val="22"/>
                <w:szCs w:val="22"/>
              </w:rPr>
              <w:t xml:space="preserve">, </w:t>
            </w:r>
            <w:proofErr w:type="spellStart"/>
            <w:proofErr w:type="gramStart"/>
            <w:r w:rsidRPr="004174CE">
              <w:rPr>
                <w:sz w:val="22"/>
                <w:szCs w:val="22"/>
              </w:rPr>
              <w:t>arba</w:t>
            </w:r>
            <w:proofErr w:type="spellEnd"/>
            <w:r w:rsidRPr="004174CE">
              <w:rPr>
                <w:sz w:val="22"/>
                <w:szCs w:val="22"/>
              </w:rPr>
              <w:t xml:space="preserve">  </w:t>
            </w:r>
            <w:proofErr w:type="spellStart"/>
            <w:r w:rsidRPr="004174CE">
              <w:rPr>
                <w:sz w:val="22"/>
                <w:szCs w:val="22"/>
              </w:rPr>
              <w:t>duomenų</w:t>
            </w:r>
            <w:proofErr w:type="spellEnd"/>
            <w:proofErr w:type="gramEnd"/>
            <w:r w:rsidRPr="004174CE">
              <w:rPr>
                <w:sz w:val="22"/>
                <w:szCs w:val="22"/>
              </w:rPr>
              <w:t xml:space="preserve"> </w:t>
            </w:r>
            <w:proofErr w:type="spellStart"/>
            <w:r w:rsidRPr="004174CE">
              <w:rPr>
                <w:sz w:val="22"/>
                <w:szCs w:val="22"/>
              </w:rPr>
              <w:t>praradimas</w:t>
            </w:r>
            <w:proofErr w:type="spellEnd"/>
            <w:r w:rsidRPr="004174CE">
              <w:rPr>
                <w:sz w:val="22"/>
                <w:szCs w:val="22"/>
              </w:rPr>
              <w:t xml:space="preserve"> </w:t>
            </w:r>
            <w:proofErr w:type="spellStart"/>
            <w:r w:rsidRPr="004174CE">
              <w:rPr>
                <w:sz w:val="22"/>
                <w:szCs w:val="22"/>
              </w:rPr>
              <w:t>ar</w:t>
            </w:r>
            <w:proofErr w:type="spellEnd"/>
            <w:r w:rsidRPr="004174CE">
              <w:rPr>
                <w:sz w:val="22"/>
                <w:szCs w:val="22"/>
              </w:rPr>
              <w:t xml:space="preserve"> </w:t>
            </w:r>
            <w:proofErr w:type="spellStart"/>
            <w:r w:rsidRPr="004174CE">
              <w:rPr>
                <w:sz w:val="22"/>
                <w:szCs w:val="22"/>
              </w:rPr>
              <w:t>duomenų</w:t>
            </w:r>
            <w:proofErr w:type="spellEnd"/>
            <w:r w:rsidRPr="004174CE">
              <w:rPr>
                <w:sz w:val="22"/>
                <w:szCs w:val="22"/>
              </w:rPr>
              <w:t xml:space="preserve"> </w:t>
            </w:r>
            <w:proofErr w:type="spellStart"/>
            <w:r w:rsidRPr="004174CE">
              <w:rPr>
                <w:sz w:val="22"/>
                <w:szCs w:val="22"/>
              </w:rPr>
              <w:t>sugadinimas</w:t>
            </w:r>
            <w:proofErr w:type="spellEnd"/>
            <w:r w:rsidRPr="004174CE">
              <w:rPr>
                <w:sz w:val="22"/>
                <w:szCs w:val="22"/>
              </w:rPr>
              <w:t xml:space="preserve"> </w:t>
            </w:r>
            <w:proofErr w:type="spellStart"/>
            <w:r w:rsidRPr="004174CE">
              <w:rPr>
                <w:sz w:val="22"/>
                <w:szCs w:val="22"/>
              </w:rPr>
              <w:t>arba</w:t>
            </w:r>
            <w:proofErr w:type="spellEnd"/>
            <w:r w:rsidRPr="004174CE">
              <w:rPr>
                <w:sz w:val="22"/>
                <w:szCs w:val="22"/>
              </w:rPr>
              <w:t xml:space="preserve">/ir </w:t>
            </w:r>
            <w:proofErr w:type="spellStart"/>
            <w:r w:rsidRPr="004174CE">
              <w:rPr>
                <w:sz w:val="22"/>
                <w:szCs w:val="22"/>
              </w:rPr>
              <w:t>dėl</w:t>
            </w:r>
            <w:proofErr w:type="spellEnd"/>
            <w:r w:rsidRPr="004174CE">
              <w:rPr>
                <w:sz w:val="22"/>
                <w:szCs w:val="22"/>
              </w:rPr>
              <w:t xml:space="preserve"> </w:t>
            </w:r>
            <w:proofErr w:type="spellStart"/>
            <w:r w:rsidRPr="004174CE">
              <w:rPr>
                <w:sz w:val="22"/>
                <w:szCs w:val="22"/>
              </w:rPr>
              <w:t>Sistemų</w:t>
            </w:r>
            <w:proofErr w:type="spellEnd"/>
            <w:r w:rsidRPr="004174CE">
              <w:rPr>
                <w:sz w:val="22"/>
                <w:szCs w:val="22"/>
              </w:rPr>
              <w:t xml:space="preserve"> </w:t>
            </w:r>
            <w:proofErr w:type="spellStart"/>
            <w:r w:rsidRPr="004174CE">
              <w:rPr>
                <w:sz w:val="22"/>
                <w:szCs w:val="22"/>
              </w:rPr>
              <w:t>netinkamo</w:t>
            </w:r>
            <w:proofErr w:type="spellEnd"/>
            <w:r w:rsidRPr="004174CE">
              <w:rPr>
                <w:sz w:val="22"/>
                <w:szCs w:val="22"/>
              </w:rPr>
              <w:t xml:space="preserve"> </w:t>
            </w:r>
            <w:proofErr w:type="spellStart"/>
            <w:r w:rsidRPr="004174CE">
              <w:rPr>
                <w:sz w:val="22"/>
                <w:szCs w:val="22"/>
              </w:rPr>
              <w:t>veikimo</w:t>
            </w:r>
            <w:proofErr w:type="spellEnd"/>
            <w:r w:rsidRPr="004174CE">
              <w:rPr>
                <w:sz w:val="22"/>
                <w:szCs w:val="22"/>
              </w:rPr>
              <w:t xml:space="preserve"> </w:t>
            </w:r>
            <w:proofErr w:type="spellStart"/>
            <w:r w:rsidRPr="004174CE">
              <w:rPr>
                <w:sz w:val="22"/>
                <w:szCs w:val="22"/>
              </w:rPr>
              <w:t>Perkančioji</w:t>
            </w:r>
            <w:proofErr w:type="spellEnd"/>
            <w:r w:rsidRPr="004174CE">
              <w:rPr>
                <w:sz w:val="22"/>
                <w:szCs w:val="22"/>
              </w:rPr>
              <w:t xml:space="preserve"> </w:t>
            </w:r>
            <w:proofErr w:type="spellStart"/>
            <w:r w:rsidRPr="004174CE">
              <w:rPr>
                <w:sz w:val="22"/>
                <w:szCs w:val="22"/>
              </w:rPr>
              <w:t>organizacija</w:t>
            </w:r>
            <w:proofErr w:type="spellEnd"/>
            <w:r w:rsidRPr="004174CE">
              <w:rPr>
                <w:sz w:val="22"/>
                <w:szCs w:val="22"/>
              </w:rPr>
              <w:t xml:space="preserve"> </w:t>
            </w:r>
            <w:proofErr w:type="spellStart"/>
            <w:r w:rsidRPr="004174CE">
              <w:rPr>
                <w:sz w:val="22"/>
                <w:szCs w:val="22"/>
              </w:rPr>
              <w:t>negali</w:t>
            </w:r>
            <w:proofErr w:type="spellEnd"/>
            <w:r w:rsidRPr="004174CE">
              <w:rPr>
                <w:sz w:val="22"/>
                <w:szCs w:val="22"/>
              </w:rPr>
              <w:t xml:space="preserve"> </w:t>
            </w:r>
            <w:proofErr w:type="spellStart"/>
            <w:r w:rsidRPr="004174CE">
              <w:rPr>
                <w:sz w:val="22"/>
                <w:szCs w:val="22"/>
              </w:rPr>
              <w:t>tęsti</w:t>
            </w:r>
            <w:proofErr w:type="spellEnd"/>
            <w:r w:rsidRPr="004174CE">
              <w:rPr>
                <w:sz w:val="22"/>
                <w:szCs w:val="22"/>
              </w:rPr>
              <w:t xml:space="preserve"> </w:t>
            </w:r>
            <w:proofErr w:type="spellStart"/>
            <w:r w:rsidRPr="004174CE">
              <w:rPr>
                <w:sz w:val="22"/>
                <w:szCs w:val="22"/>
              </w:rPr>
              <w:t>veiklos</w:t>
            </w:r>
            <w:proofErr w:type="spellEnd"/>
            <w:r w:rsidRPr="004174CE">
              <w:rPr>
                <w:sz w:val="22"/>
                <w:szCs w:val="22"/>
              </w:rPr>
              <w:t xml:space="preserve"> bei </w:t>
            </w:r>
            <w:proofErr w:type="spellStart"/>
            <w:r w:rsidRPr="004174CE">
              <w:rPr>
                <w:sz w:val="22"/>
                <w:szCs w:val="22"/>
              </w:rPr>
              <w:t>nėra</w:t>
            </w:r>
            <w:proofErr w:type="spellEnd"/>
            <w:r w:rsidRPr="004174CE">
              <w:rPr>
                <w:sz w:val="22"/>
                <w:szCs w:val="22"/>
              </w:rPr>
              <w:t xml:space="preserve"> </w:t>
            </w:r>
            <w:proofErr w:type="spellStart"/>
            <w:r w:rsidRPr="004174CE">
              <w:rPr>
                <w:sz w:val="22"/>
                <w:szCs w:val="22"/>
              </w:rPr>
              <w:t>alternatyvaus</w:t>
            </w:r>
            <w:proofErr w:type="spellEnd"/>
            <w:r w:rsidRPr="004174CE">
              <w:rPr>
                <w:sz w:val="22"/>
                <w:szCs w:val="22"/>
              </w:rPr>
              <w:t xml:space="preserve"> </w:t>
            </w:r>
            <w:proofErr w:type="spellStart"/>
            <w:r w:rsidRPr="004174CE">
              <w:rPr>
                <w:sz w:val="22"/>
                <w:szCs w:val="22"/>
              </w:rPr>
              <w:t>funkcionalumo</w:t>
            </w:r>
            <w:proofErr w:type="spellEnd"/>
            <w:r w:rsidRPr="004174CE">
              <w:rPr>
                <w:sz w:val="22"/>
                <w:szCs w:val="22"/>
              </w:rPr>
              <w:t>/</w:t>
            </w:r>
            <w:proofErr w:type="spellStart"/>
            <w:r w:rsidRPr="004174CE">
              <w:rPr>
                <w:sz w:val="22"/>
                <w:szCs w:val="22"/>
              </w:rPr>
              <w:t>kelio</w:t>
            </w:r>
            <w:proofErr w:type="spellEnd"/>
            <w:r w:rsidRPr="004174CE">
              <w:rPr>
                <w:sz w:val="22"/>
                <w:szCs w:val="22"/>
              </w:rPr>
              <w:t xml:space="preserve"> </w:t>
            </w:r>
            <w:proofErr w:type="spellStart"/>
            <w:r w:rsidRPr="004174CE">
              <w:rPr>
                <w:sz w:val="22"/>
                <w:szCs w:val="22"/>
              </w:rPr>
              <w:t>klaidos</w:t>
            </w:r>
            <w:proofErr w:type="spellEnd"/>
            <w:r w:rsidRPr="004174CE">
              <w:rPr>
                <w:sz w:val="22"/>
                <w:szCs w:val="22"/>
              </w:rPr>
              <w:t xml:space="preserve"> </w:t>
            </w:r>
            <w:proofErr w:type="spellStart"/>
            <w:r w:rsidRPr="004174CE">
              <w:rPr>
                <w:sz w:val="22"/>
                <w:szCs w:val="22"/>
              </w:rPr>
              <w:t>apėjimui</w:t>
            </w:r>
            <w:proofErr w:type="spellEnd"/>
            <w:r w:rsidRPr="004174CE">
              <w:rPr>
                <w:b/>
                <w:bCs/>
                <w:sz w:val="22"/>
                <w:szCs w:val="22"/>
              </w:rPr>
              <w:t xml:space="preserve"> </w:t>
            </w:r>
            <w:r w:rsidRPr="004174CE">
              <w:rPr>
                <w:sz w:val="22"/>
                <w:szCs w:val="22"/>
              </w:rPr>
              <w:t xml:space="preserve">– </w:t>
            </w:r>
            <w:proofErr w:type="spellStart"/>
            <w:r w:rsidRPr="004174CE">
              <w:rPr>
                <w:sz w:val="22"/>
                <w:szCs w:val="22"/>
              </w:rPr>
              <w:t>reagavimo</w:t>
            </w:r>
            <w:proofErr w:type="spellEnd"/>
            <w:r w:rsidRPr="004174CE">
              <w:rPr>
                <w:sz w:val="22"/>
                <w:szCs w:val="22"/>
              </w:rPr>
              <w:t xml:space="preserve"> </w:t>
            </w:r>
            <w:proofErr w:type="spellStart"/>
            <w:r w:rsidRPr="004174CE">
              <w:rPr>
                <w:sz w:val="22"/>
                <w:szCs w:val="22"/>
              </w:rPr>
              <w:t>laikas</w:t>
            </w:r>
            <w:proofErr w:type="spellEnd"/>
            <w:r w:rsidRPr="004174CE">
              <w:rPr>
                <w:sz w:val="22"/>
                <w:szCs w:val="22"/>
              </w:rPr>
              <w:t xml:space="preserve"> ne </w:t>
            </w:r>
            <w:proofErr w:type="spellStart"/>
            <w:r w:rsidRPr="004174CE">
              <w:rPr>
                <w:sz w:val="22"/>
                <w:szCs w:val="22"/>
              </w:rPr>
              <w:t>ilgiau</w:t>
            </w:r>
            <w:proofErr w:type="spellEnd"/>
            <w:r w:rsidRPr="004174CE">
              <w:rPr>
                <w:sz w:val="22"/>
                <w:szCs w:val="22"/>
              </w:rPr>
              <w:t xml:space="preserve"> </w:t>
            </w:r>
            <w:proofErr w:type="spellStart"/>
            <w:r w:rsidRPr="004174CE">
              <w:rPr>
                <w:sz w:val="22"/>
                <w:szCs w:val="22"/>
              </w:rPr>
              <w:t>kaip</w:t>
            </w:r>
            <w:proofErr w:type="spellEnd"/>
            <w:r w:rsidRPr="004174CE">
              <w:rPr>
                <w:sz w:val="22"/>
                <w:szCs w:val="22"/>
              </w:rPr>
              <w:t xml:space="preserve"> 4 </w:t>
            </w:r>
            <w:proofErr w:type="spellStart"/>
            <w:r w:rsidRPr="004174CE">
              <w:rPr>
                <w:sz w:val="22"/>
                <w:szCs w:val="22"/>
              </w:rPr>
              <w:t>darbo</w:t>
            </w:r>
            <w:proofErr w:type="spellEnd"/>
            <w:r w:rsidRPr="004174CE">
              <w:rPr>
                <w:sz w:val="22"/>
                <w:szCs w:val="22"/>
              </w:rPr>
              <w:t xml:space="preserve"> </w:t>
            </w:r>
            <w:proofErr w:type="spellStart"/>
            <w:r w:rsidRPr="004174CE">
              <w:rPr>
                <w:sz w:val="22"/>
                <w:szCs w:val="22"/>
              </w:rPr>
              <w:t>laiko</w:t>
            </w:r>
            <w:proofErr w:type="spellEnd"/>
            <w:r w:rsidRPr="004174CE">
              <w:rPr>
                <w:sz w:val="22"/>
                <w:szCs w:val="22"/>
              </w:rPr>
              <w:t xml:space="preserve"> </w:t>
            </w:r>
            <w:proofErr w:type="spellStart"/>
            <w:r w:rsidRPr="004174CE">
              <w:rPr>
                <w:sz w:val="22"/>
                <w:szCs w:val="22"/>
              </w:rPr>
              <w:t>valandos</w:t>
            </w:r>
            <w:proofErr w:type="spellEnd"/>
            <w:r w:rsidRPr="004174CE">
              <w:rPr>
                <w:sz w:val="22"/>
                <w:szCs w:val="22"/>
              </w:rPr>
              <w:t xml:space="preserve">, </w:t>
            </w:r>
            <w:proofErr w:type="spellStart"/>
            <w:r w:rsidRPr="004174CE">
              <w:rPr>
                <w:sz w:val="22"/>
                <w:szCs w:val="22"/>
              </w:rPr>
              <w:t>sprendimo</w:t>
            </w:r>
            <w:proofErr w:type="spellEnd"/>
            <w:r w:rsidRPr="004174CE">
              <w:rPr>
                <w:sz w:val="22"/>
                <w:szCs w:val="22"/>
              </w:rPr>
              <w:t xml:space="preserve"> </w:t>
            </w:r>
            <w:proofErr w:type="spellStart"/>
            <w:r w:rsidRPr="004174CE">
              <w:rPr>
                <w:sz w:val="22"/>
                <w:szCs w:val="22"/>
              </w:rPr>
              <w:t>laikas</w:t>
            </w:r>
            <w:proofErr w:type="spellEnd"/>
            <w:r w:rsidRPr="004174CE">
              <w:rPr>
                <w:sz w:val="22"/>
                <w:szCs w:val="22"/>
              </w:rPr>
              <w:t xml:space="preserve"> 6 </w:t>
            </w:r>
            <w:proofErr w:type="spellStart"/>
            <w:r w:rsidRPr="004174CE">
              <w:rPr>
                <w:sz w:val="22"/>
                <w:szCs w:val="22"/>
              </w:rPr>
              <w:t>darbo</w:t>
            </w:r>
            <w:proofErr w:type="spellEnd"/>
            <w:r w:rsidRPr="004174CE">
              <w:rPr>
                <w:sz w:val="22"/>
                <w:szCs w:val="22"/>
              </w:rPr>
              <w:t xml:space="preserve"> </w:t>
            </w:r>
            <w:proofErr w:type="spellStart"/>
            <w:r w:rsidRPr="004174CE">
              <w:rPr>
                <w:sz w:val="22"/>
                <w:szCs w:val="22"/>
              </w:rPr>
              <w:t>laiko</w:t>
            </w:r>
            <w:proofErr w:type="spellEnd"/>
            <w:r w:rsidRPr="004174CE">
              <w:rPr>
                <w:sz w:val="22"/>
                <w:szCs w:val="22"/>
              </w:rPr>
              <w:t xml:space="preserve"> </w:t>
            </w:r>
            <w:proofErr w:type="spellStart"/>
            <w:r w:rsidRPr="004174CE">
              <w:rPr>
                <w:sz w:val="22"/>
                <w:szCs w:val="22"/>
              </w:rPr>
              <w:t>valandos</w:t>
            </w:r>
            <w:proofErr w:type="spellEnd"/>
            <w:r w:rsidRPr="004174CE">
              <w:rPr>
                <w:sz w:val="22"/>
                <w:szCs w:val="22"/>
              </w:rPr>
              <w:t xml:space="preserve">. </w:t>
            </w:r>
            <w:proofErr w:type="spellStart"/>
            <w:r w:rsidRPr="004174CE">
              <w:rPr>
                <w:sz w:val="22"/>
                <w:szCs w:val="22"/>
              </w:rPr>
              <w:t>Nesant</w:t>
            </w:r>
            <w:proofErr w:type="spellEnd"/>
            <w:r w:rsidRPr="004174CE">
              <w:rPr>
                <w:sz w:val="22"/>
                <w:szCs w:val="22"/>
              </w:rPr>
              <w:t xml:space="preserve"> </w:t>
            </w:r>
            <w:proofErr w:type="spellStart"/>
            <w:r w:rsidRPr="004174CE">
              <w:rPr>
                <w:sz w:val="22"/>
                <w:szCs w:val="22"/>
              </w:rPr>
              <w:t>galimybei</w:t>
            </w:r>
            <w:proofErr w:type="spellEnd"/>
            <w:r w:rsidRPr="004174CE">
              <w:rPr>
                <w:sz w:val="22"/>
                <w:szCs w:val="22"/>
              </w:rPr>
              <w:t xml:space="preserve"> </w:t>
            </w:r>
            <w:proofErr w:type="spellStart"/>
            <w:r w:rsidRPr="004174CE">
              <w:rPr>
                <w:sz w:val="22"/>
                <w:szCs w:val="22"/>
              </w:rPr>
              <w:t>išspręsti</w:t>
            </w:r>
            <w:proofErr w:type="spellEnd"/>
            <w:r w:rsidRPr="004174CE">
              <w:rPr>
                <w:sz w:val="22"/>
                <w:szCs w:val="22"/>
              </w:rPr>
              <w:t xml:space="preserve"> per </w:t>
            </w:r>
            <w:proofErr w:type="spellStart"/>
            <w:r w:rsidRPr="004174CE">
              <w:rPr>
                <w:sz w:val="22"/>
                <w:szCs w:val="22"/>
              </w:rPr>
              <w:t>nurodytą</w:t>
            </w:r>
            <w:proofErr w:type="spellEnd"/>
            <w:r w:rsidRPr="004174CE">
              <w:rPr>
                <w:sz w:val="22"/>
                <w:szCs w:val="22"/>
              </w:rPr>
              <w:t xml:space="preserve"> </w:t>
            </w:r>
            <w:proofErr w:type="spellStart"/>
            <w:r w:rsidRPr="004174CE">
              <w:rPr>
                <w:sz w:val="22"/>
                <w:szCs w:val="22"/>
              </w:rPr>
              <w:t>laiką</w:t>
            </w:r>
            <w:proofErr w:type="spellEnd"/>
            <w:r w:rsidRPr="004174CE">
              <w:rPr>
                <w:sz w:val="22"/>
                <w:szCs w:val="22"/>
              </w:rPr>
              <w:t xml:space="preserve">, </w:t>
            </w:r>
            <w:proofErr w:type="spellStart"/>
            <w:r w:rsidRPr="004174CE">
              <w:rPr>
                <w:sz w:val="22"/>
                <w:szCs w:val="22"/>
              </w:rPr>
              <w:t>turi</w:t>
            </w:r>
            <w:proofErr w:type="spellEnd"/>
            <w:r w:rsidRPr="004174CE">
              <w:rPr>
                <w:sz w:val="22"/>
                <w:szCs w:val="22"/>
              </w:rPr>
              <w:t xml:space="preserve"> </w:t>
            </w:r>
            <w:proofErr w:type="spellStart"/>
            <w:r w:rsidRPr="004174CE">
              <w:rPr>
                <w:sz w:val="22"/>
                <w:szCs w:val="22"/>
              </w:rPr>
              <w:t>būti</w:t>
            </w:r>
            <w:proofErr w:type="spellEnd"/>
            <w:r w:rsidRPr="004174CE">
              <w:rPr>
                <w:sz w:val="22"/>
                <w:szCs w:val="22"/>
              </w:rPr>
              <w:t xml:space="preserve"> suderintas su </w:t>
            </w:r>
            <w:proofErr w:type="spellStart"/>
            <w:r w:rsidRPr="004174CE">
              <w:rPr>
                <w:sz w:val="22"/>
                <w:szCs w:val="22"/>
              </w:rPr>
              <w:t>Perkančiąja</w:t>
            </w:r>
            <w:proofErr w:type="spellEnd"/>
            <w:r w:rsidRPr="004174CE">
              <w:rPr>
                <w:sz w:val="22"/>
                <w:szCs w:val="22"/>
              </w:rPr>
              <w:t xml:space="preserve"> </w:t>
            </w:r>
            <w:proofErr w:type="spellStart"/>
            <w:r w:rsidRPr="004174CE">
              <w:rPr>
                <w:sz w:val="22"/>
                <w:szCs w:val="22"/>
              </w:rPr>
              <w:t>organizacija</w:t>
            </w:r>
            <w:proofErr w:type="spellEnd"/>
            <w:r w:rsidRPr="004174CE">
              <w:rPr>
                <w:sz w:val="22"/>
                <w:szCs w:val="22"/>
              </w:rPr>
              <w:t xml:space="preserve"> </w:t>
            </w:r>
            <w:proofErr w:type="spellStart"/>
            <w:r w:rsidRPr="004174CE">
              <w:rPr>
                <w:sz w:val="22"/>
                <w:szCs w:val="22"/>
              </w:rPr>
              <w:t>kitas</w:t>
            </w:r>
            <w:proofErr w:type="spellEnd"/>
            <w:r w:rsidRPr="004174CE">
              <w:rPr>
                <w:sz w:val="22"/>
                <w:szCs w:val="22"/>
              </w:rPr>
              <w:t xml:space="preserve"> </w:t>
            </w:r>
            <w:proofErr w:type="spellStart"/>
            <w:r w:rsidRPr="004174CE">
              <w:rPr>
                <w:sz w:val="22"/>
                <w:szCs w:val="22"/>
              </w:rPr>
              <w:t>sutrikimo</w:t>
            </w:r>
            <w:proofErr w:type="spellEnd"/>
            <w:r w:rsidRPr="004174CE">
              <w:rPr>
                <w:sz w:val="22"/>
                <w:szCs w:val="22"/>
              </w:rPr>
              <w:t xml:space="preserve"> </w:t>
            </w:r>
            <w:proofErr w:type="spellStart"/>
            <w:r w:rsidRPr="004174CE">
              <w:rPr>
                <w:sz w:val="22"/>
                <w:szCs w:val="22"/>
              </w:rPr>
              <w:t>sprendimo</w:t>
            </w:r>
            <w:proofErr w:type="spellEnd"/>
            <w:r w:rsidRPr="004174CE">
              <w:rPr>
                <w:sz w:val="22"/>
                <w:szCs w:val="22"/>
              </w:rPr>
              <w:t xml:space="preserve"> </w:t>
            </w:r>
            <w:proofErr w:type="spellStart"/>
            <w:r w:rsidRPr="004174CE">
              <w:rPr>
                <w:sz w:val="22"/>
                <w:szCs w:val="22"/>
              </w:rPr>
              <w:t>laikas</w:t>
            </w:r>
            <w:proofErr w:type="spellEnd"/>
            <w:r w:rsidRPr="004174CE">
              <w:rPr>
                <w:sz w:val="22"/>
                <w:szCs w:val="22"/>
              </w:rPr>
              <w:t>;</w:t>
            </w:r>
          </w:p>
          <w:p w14:paraId="273E5C44" w14:textId="77777777" w:rsidR="004174CE" w:rsidRPr="005B4A6C" w:rsidRDefault="004174CE" w:rsidP="00F50E0B">
            <w:pPr>
              <w:jc w:val="both"/>
              <w:rPr>
                <w:sz w:val="22"/>
                <w:szCs w:val="22"/>
                <w:lang w:val="lt-LT"/>
              </w:rPr>
            </w:pPr>
          </w:p>
        </w:tc>
      </w:tr>
      <w:tr w:rsidR="005B4A6C" w:rsidRPr="005B4A6C" w14:paraId="73A353CA" w14:textId="77777777" w:rsidTr="00A312D1">
        <w:tc>
          <w:tcPr>
            <w:tcW w:w="343" w:type="pct"/>
            <w:tcMar>
              <w:top w:w="0" w:type="dxa"/>
              <w:left w:w="108" w:type="dxa"/>
              <w:bottom w:w="0" w:type="dxa"/>
              <w:right w:w="108" w:type="dxa"/>
            </w:tcMar>
          </w:tcPr>
          <w:p w14:paraId="3EB07E45" w14:textId="069AEE93" w:rsidR="005B4A6C" w:rsidRPr="005B4A6C" w:rsidRDefault="00A312D1" w:rsidP="00F50E0B">
            <w:pPr>
              <w:jc w:val="center"/>
              <w:rPr>
                <w:sz w:val="22"/>
                <w:szCs w:val="22"/>
                <w:lang w:val="lt-LT"/>
              </w:rPr>
            </w:pPr>
            <w:r>
              <w:rPr>
                <w:sz w:val="22"/>
                <w:szCs w:val="22"/>
                <w:lang w:val="lt-LT"/>
              </w:rPr>
              <w:t>5</w:t>
            </w:r>
            <w:r w:rsidR="005B4A6C" w:rsidRPr="005B4A6C">
              <w:rPr>
                <w:sz w:val="22"/>
                <w:szCs w:val="22"/>
                <w:lang w:val="lt-LT"/>
              </w:rPr>
              <w:t>.</w:t>
            </w:r>
          </w:p>
        </w:tc>
        <w:tc>
          <w:tcPr>
            <w:tcW w:w="1571" w:type="pct"/>
            <w:tcMar>
              <w:top w:w="0" w:type="dxa"/>
              <w:left w:w="108" w:type="dxa"/>
              <w:bottom w:w="0" w:type="dxa"/>
              <w:right w:w="108" w:type="dxa"/>
            </w:tcMar>
          </w:tcPr>
          <w:p w14:paraId="35917442" w14:textId="77777777" w:rsidR="005B4A6C" w:rsidRPr="00B772A7" w:rsidRDefault="005B4A6C" w:rsidP="005B4A6C">
            <w:pPr>
              <w:pStyle w:val="ListParagraph"/>
              <w:snapToGrid w:val="0"/>
              <w:spacing w:after="0" w:line="240" w:lineRule="auto"/>
              <w:ind w:left="0"/>
              <w:jc w:val="both"/>
              <w:rPr>
                <w:rFonts w:ascii="Times New Roman" w:hAnsi="Times New Roman" w:cs="Times New Roman"/>
                <w:strike/>
                <w:lang w:val="lt-LT" w:eastAsia="he-IL" w:bidi="he-IL"/>
              </w:rPr>
            </w:pPr>
            <w:r w:rsidRPr="00B772A7">
              <w:rPr>
                <w:rFonts w:ascii="Times New Roman" w:eastAsia="Calibri" w:hAnsi="Times New Roman" w:cs="Times New Roman"/>
                <w:lang w:val="lt-LT" w:eastAsia="he-IL" w:bidi="he-IL"/>
              </w:rPr>
              <w:t>3.4. Paslaugų teikėjas kiekvieną mėnesį teikia Perkančiajai organizacijai Sistemų palaikymo ir aptarnavimo atliktų darbų aktą, kartu su PVM sąskaita faktūra (</w:t>
            </w:r>
            <w:r w:rsidRPr="00B772A7">
              <w:rPr>
                <w:rFonts w:ascii="Times New Roman" w:eastAsia="Calibri" w:hAnsi="Times New Roman" w:cs="Times New Roman"/>
                <w:b/>
                <w:bCs/>
                <w:lang w:val="lt-LT" w:eastAsia="he-IL" w:bidi="he-IL"/>
              </w:rPr>
              <w:t>fiksuotas mėnesinis mokestis</w:t>
            </w:r>
            <w:r w:rsidRPr="00B772A7">
              <w:rPr>
                <w:rFonts w:ascii="Times New Roman" w:eastAsia="Calibri" w:hAnsi="Times New Roman" w:cs="Times New Roman"/>
                <w:lang w:val="lt-LT" w:eastAsia="he-IL" w:bidi="he-IL"/>
              </w:rPr>
              <w:t>). Palaikymo ir aptarnavimo mokestis apima techninės specifikacijos 3.2.-3.3. punktus. Aptarnavimo paslaugų kiekis už mėnesinį mokestį: viso ne daugiau nei 50 (penkiasdešimt)</w:t>
            </w:r>
            <w:r w:rsidRPr="00B772A7">
              <w:rPr>
                <w:rFonts w:ascii="Times New Roman" w:hAnsi="Times New Roman" w:cs="Times New Roman"/>
                <w:lang w:val="lt-LT" w:eastAsia="he-IL" w:bidi="he-IL"/>
              </w:rPr>
              <w:t xml:space="preserve"> valandų (visoms Sistemoms kartu) per sutarties galiojimo laikotarpį.</w:t>
            </w:r>
          </w:p>
          <w:p w14:paraId="13E8F316" w14:textId="77777777" w:rsidR="005B4A6C" w:rsidRPr="00B772A7" w:rsidRDefault="005B4A6C" w:rsidP="00F50E0B">
            <w:pPr>
              <w:tabs>
                <w:tab w:val="left" w:pos="1050"/>
              </w:tabs>
              <w:ind w:left="5"/>
              <w:contextualSpacing/>
              <w:jc w:val="both"/>
              <w:rPr>
                <w:color w:val="000000"/>
                <w:sz w:val="22"/>
                <w:szCs w:val="22"/>
                <w:lang w:val="lt-LT"/>
              </w:rPr>
            </w:pPr>
          </w:p>
        </w:tc>
        <w:tc>
          <w:tcPr>
            <w:tcW w:w="1697" w:type="pct"/>
            <w:tcMar>
              <w:top w:w="0" w:type="dxa"/>
              <w:left w:w="108" w:type="dxa"/>
              <w:bottom w:w="0" w:type="dxa"/>
              <w:right w:w="108" w:type="dxa"/>
            </w:tcMar>
          </w:tcPr>
          <w:p w14:paraId="5C44CC33" w14:textId="77777777" w:rsidR="005B4A6C" w:rsidRPr="00B772A7" w:rsidRDefault="005B4A6C" w:rsidP="005B4A6C">
            <w:pPr>
              <w:jc w:val="both"/>
              <w:rPr>
                <w:sz w:val="22"/>
                <w:szCs w:val="22"/>
                <w:lang w:val="lt-LT"/>
              </w:rPr>
            </w:pPr>
            <w:r w:rsidRPr="00B772A7">
              <w:rPr>
                <w:sz w:val="22"/>
                <w:szCs w:val="22"/>
                <w:lang w:val="lt-LT"/>
              </w:rPr>
              <w:t>Prašome papildyti punktu, kad būtų aišku, kaip bus perkamos aptarnavimo paslaugos jei bus išnaudotos visos 50 val.:</w:t>
            </w:r>
          </w:p>
          <w:p w14:paraId="565AA2E8" w14:textId="77777777" w:rsidR="005B4A6C" w:rsidRPr="00B772A7" w:rsidRDefault="005B4A6C" w:rsidP="005B4A6C">
            <w:pPr>
              <w:jc w:val="both"/>
              <w:rPr>
                <w:sz w:val="22"/>
                <w:szCs w:val="22"/>
                <w:lang w:val="lt-LT"/>
              </w:rPr>
            </w:pPr>
            <w:r w:rsidRPr="00B772A7">
              <w:rPr>
                <w:sz w:val="22"/>
                <w:szCs w:val="22"/>
                <w:lang w:val="lt-LT"/>
              </w:rPr>
              <w:t>Išnaudojus visas 50 val., aptarnavimo paslaugos bus perkamos pagal kitų papildomų paslaugų valandinį įkainį (2.2.p.).</w:t>
            </w:r>
          </w:p>
          <w:p w14:paraId="6AC25A8C" w14:textId="77777777" w:rsidR="005B4A6C" w:rsidRPr="00B772A7" w:rsidRDefault="005B4A6C" w:rsidP="005B4A6C">
            <w:pPr>
              <w:jc w:val="center"/>
              <w:rPr>
                <w:sz w:val="22"/>
                <w:szCs w:val="22"/>
                <w:lang w:val="lt-LT"/>
              </w:rPr>
            </w:pPr>
          </w:p>
        </w:tc>
        <w:tc>
          <w:tcPr>
            <w:tcW w:w="1390" w:type="pct"/>
            <w:shd w:val="clear" w:color="auto" w:fill="auto"/>
          </w:tcPr>
          <w:p w14:paraId="3E3C9506" w14:textId="1947E8C9" w:rsidR="00323B8C" w:rsidRPr="00B772A7" w:rsidRDefault="00323B8C" w:rsidP="00B02352">
            <w:pPr>
              <w:jc w:val="both"/>
              <w:rPr>
                <w:strike/>
                <w:sz w:val="22"/>
                <w:szCs w:val="22"/>
                <w:lang w:val="lt-LT"/>
              </w:rPr>
            </w:pPr>
            <w:r w:rsidRPr="00B772A7">
              <w:rPr>
                <w:sz w:val="22"/>
                <w:szCs w:val="22"/>
                <w:lang w:val="lt-LT"/>
              </w:rPr>
              <w:t>Pakeistas punktas</w:t>
            </w:r>
            <w:r w:rsidR="00B02352" w:rsidRPr="00B772A7">
              <w:rPr>
                <w:sz w:val="22"/>
                <w:szCs w:val="22"/>
                <w:lang w:val="lt-LT"/>
              </w:rPr>
              <w:t>:</w:t>
            </w:r>
          </w:p>
          <w:p w14:paraId="5EC02FA9" w14:textId="77777777" w:rsidR="005B4A6C" w:rsidRPr="00B772A7" w:rsidRDefault="005B4A6C" w:rsidP="00F50E0B">
            <w:pPr>
              <w:jc w:val="both"/>
              <w:rPr>
                <w:sz w:val="22"/>
                <w:szCs w:val="22"/>
                <w:lang w:val="lt-LT"/>
              </w:rPr>
            </w:pPr>
          </w:p>
          <w:p w14:paraId="3D18989B" w14:textId="0DF14422" w:rsidR="003C20B0" w:rsidRPr="00B772A7" w:rsidRDefault="003C20B0" w:rsidP="00F50E0B">
            <w:pPr>
              <w:jc w:val="both"/>
              <w:rPr>
                <w:sz w:val="22"/>
                <w:szCs w:val="22"/>
                <w:lang w:val="lt-LT"/>
              </w:rPr>
            </w:pPr>
            <w:r w:rsidRPr="00B772A7">
              <w:rPr>
                <w:sz w:val="22"/>
                <w:szCs w:val="22"/>
                <w:lang w:val="lt-LT"/>
              </w:rPr>
              <w:t>3.4. Paslaugų teikėjas kiekvieną mėnesį teikia Perkančiajai organizacijai Sistemų palaikymo ir aptarnavimo atliktų darbų aktą, kartu su PVM sąskaita faktūra (fiksuotas mėnesinis mokestis). Palaikymo ir aptarnavimo mokestis apima techninės specifikacijos 3.2.-3.3. punktus.</w:t>
            </w:r>
          </w:p>
        </w:tc>
      </w:tr>
      <w:tr w:rsidR="005B4A6C" w:rsidRPr="005B4A6C" w14:paraId="77CFAB2A" w14:textId="77777777" w:rsidTr="00A312D1">
        <w:tc>
          <w:tcPr>
            <w:tcW w:w="343" w:type="pct"/>
            <w:tcMar>
              <w:top w:w="0" w:type="dxa"/>
              <w:left w:w="108" w:type="dxa"/>
              <w:bottom w:w="0" w:type="dxa"/>
              <w:right w:w="108" w:type="dxa"/>
            </w:tcMar>
          </w:tcPr>
          <w:p w14:paraId="650C0E31" w14:textId="4349E7D2" w:rsidR="005B4A6C" w:rsidRPr="005B4A6C" w:rsidRDefault="00A312D1" w:rsidP="00F50E0B">
            <w:pPr>
              <w:jc w:val="center"/>
              <w:rPr>
                <w:sz w:val="22"/>
                <w:szCs w:val="22"/>
                <w:lang w:val="lt-LT"/>
              </w:rPr>
            </w:pPr>
            <w:r>
              <w:rPr>
                <w:sz w:val="22"/>
                <w:szCs w:val="22"/>
                <w:lang w:val="lt-LT"/>
              </w:rPr>
              <w:t>6</w:t>
            </w:r>
            <w:r w:rsidR="005B4A6C" w:rsidRPr="005B4A6C">
              <w:rPr>
                <w:sz w:val="22"/>
                <w:szCs w:val="22"/>
                <w:lang w:val="lt-LT"/>
              </w:rPr>
              <w:t xml:space="preserve">. </w:t>
            </w:r>
          </w:p>
        </w:tc>
        <w:tc>
          <w:tcPr>
            <w:tcW w:w="1571" w:type="pct"/>
            <w:tcMar>
              <w:top w:w="0" w:type="dxa"/>
              <w:left w:w="108" w:type="dxa"/>
              <w:bottom w:w="0" w:type="dxa"/>
              <w:right w:w="108" w:type="dxa"/>
            </w:tcMar>
          </w:tcPr>
          <w:p w14:paraId="5D3BE9D6" w14:textId="77777777" w:rsidR="005B4A6C" w:rsidRPr="005B4A6C" w:rsidRDefault="005B4A6C" w:rsidP="005B4A6C">
            <w:pPr>
              <w:pStyle w:val="ListParagraph"/>
              <w:snapToGrid w:val="0"/>
              <w:spacing w:after="0" w:line="240" w:lineRule="auto"/>
              <w:ind w:left="0"/>
              <w:jc w:val="both"/>
              <w:rPr>
                <w:rFonts w:ascii="Times New Roman" w:hAnsi="Times New Roman" w:cs="Times New Roman"/>
                <w:lang w:val="lt-LT"/>
              </w:rPr>
            </w:pPr>
            <w:r w:rsidRPr="005B4A6C">
              <w:rPr>
                <w:rFonts w:ascii="Times New Roman" w:eastAsia="Calibri" w:hAnsi="Times New Roman" w:cs="Times New Roman"/>
                <w:lang w:val="lt-LT" w:eastAsia="he-IL" w:bidi="he-IL"/>
              </w:rPr>
              <w:t xml:space="preserve">3.5.3. jeigu naujų funkcionalumų įdiegimas sutrikdo Sistemų informacinių sistemų korektišką veikimą, laikoma, kad programavimo/konfigūravimo darbai atlikti nekokybiškai. Sistemų atstatymo darbus </w:t>
            </w:r>
            <w:r w:rsidRPr="005B4A6C">
              <w:rPr>
                <w:rFonts w:ascii="Times New Roman" w:eastAsia="Calibri" w:hAnsi="Times New Roman" w:cs="Times New Roman"/>
                <w:lang w:val="lt-LT" w:eastAsia="he-IL" w:bidi="he-IL"/>
              </w:rPr>
              <w:lastRenderedPageBreak/>
              <w:t xml:space="preserve">atlieka Paslaugų teikėjas savo lėšomis. </w:t>
            </w:r>
            <w:r w:rsidRPr="005B4A6C">
              <w:rPr>
                <w:rFonts w:ascii="Times New Roman" w:hAnsi="Times New Roman" w:cs="Times New Roman"/>
                <w:lang w:val="lt-LT"/>
              </w:rPr>
              <w:t>Visiems užsakytiems programavimo/modernizavimo/vystymo darbams jei tai yra papildomi darbai turi būti teikiama garantinė priežiūra be papildomo mokesčio. Taikoma 12 (dvylika) mėn. garantija (sutarties galiojimo metu atliktiems programavimo/modernizavimo/vystymo darbams garantiniai įsipareigojimai privalomi ir pasibaigus sutarčiai, bet ne ilgiau nei 12 (dvylika) mėn. nuo atitinkamų papildomų programavimo/modernizavimo/vystymo paslaugų suteikimo);</w:t>
            </w:r>
          </w:p>
          <w:p w14:paraId="1A8956EE" w14:textId="77777777" w:rsidR="005B4A6C" w:rsidRPr="005B4A6C" w:rsidRDefault="005B4A6C" w:rsidP="005B4A6C">
            <w:pPr>
              <w:pStyle w:val="ListParagraph"/>
              <w:snapToGrid w:val="0"/>
              <w:spacing w:after="0" w:line="240" w:lineRule="auto"/>
              <w:ind w:left="0"/>
              <w:jc w:val="both"/>
              <w:rPr>
                <w:rFonts w:ascii="Times New Roman" w:eastAsia="Calibri" w:hAnsi="Times New Roman" w:cs="Times New Roman"/>
                <w:lang w:val="lt-LT" w:eastAsia="he-IL" w:bidi="he-IL"/>
              </w:rPr>
            </w:pPr>
          </w:p>
        </w:tc>
        <w:tc>
          <w:tcPr>
            <w:tcW w:w="1697" w:type="pct"/>
            <w:tcMar>
              <w:top w:w="0" w:type="dxa"/>
              <w:left w:w="108" w:type="dxa"/>
              <w:bottom w:w="0" w:type="dxa"/>
              <w:right w:w="108" w:type="dxa"/>
            </w:tcMar>
          </w:tcPr>
          <w:p w14:paraId="166ED888" w14:textId="77777777" w:rsidR="005B4A6C" w:rsidRPr="005B4A6C" w:rsidRDefault="005B4A6C" w:rsidP="005B4A6C">
            <w:pPr>
              <w:jc w:val="both"/>
              <w:rPr>
                <w:sz w:val="22"/>
                <w:szCs w:val="22"/>
                <w:lang w:val="lt-LT"/>
              </w:rPr>
            </w:pPr>
            <w:r w:rsidRPr="005B4A6C">
              <w:rPr>
                <w:sz w:val="22"/>
                <w:szCs w:val="22"/>
                <w:lang w:val="lt-LT"/>
              </w:rPr>
              <w:lastRenderedPageBreak/>
              <w:t xml:space="preserve">Norime atkreipti dėmesį, kad palaikymo paslaugos savo turiniu iš dalies atitinka garantiją t.y. taisomos sistemos klaidos ir pan. Taigi, pats pirkimo objektas (palaikymas) yra garantijos pirkimas. Jei nustatomas papildomas </w:t>
            </w:r>
            <w:r w:rsidRPr="005B4A6C">
              <w:rPr>
                <w:sz w:val="22"/>
                <w:szCs w:val="22"/>
                <w:lang w:val="lt-LT"/>
              </w:rPr>
              <w:lastRenderedPageBreak/>
              <w:t>12 mėn. garantijos laikotarpis (kaip nurodyta 3.5.3.p.), tai dvigubai didina pasiūlymo palaikymo kainą, nes klaidos turės būti taisomos, ne tik sutarties galiojimo metu, bet ir jai pasibaigus dar 12 mėn.</w:t>
            </w:r>
          </w:p>
          <w:p w14:paraId="21D895DF" w14:textId="003614ED" w:rsidR="005B4A6C" w:rsidRPr="005B4A6C" w:rsidRDefault="005B4A6C" w:rsidP="005B4A6C">
            <w:pPr>
              <w:jc w:val="both"/>
              <w:rPr>
                <w:sz w:val="22"/>
                <w:szCs w:val="22"/>
                <w:lang w:val="lt-LT"/>
              </w:rPr>
            </w:pPr>
            <w:r w:rsidRPr="005B4A6C">
              <w:rPr>
                <w:sz w:val="22"/>
                <w:szCs w:val="22"/>
                <w:lang w:val="lt-LT"/>
              </w:rPr>
              <w:t>Taigi, prašome garantinį terminą apibrėžti sutarties galiojimo laikotarpiu ir atitinkamai patikslinti 3.5.3.p.</w:t>
            </w:r>
          </w:p>
        </w:tc>
        <w:tc>
          <w:tcPr>
            <w:tcW w:w="1390" w:type="pct"/>
            <w:shd w:val="clear" w:color="auto" w:fill="auto"/>
          </w:tcPr>
          <w:p w14:paraId="716AA78A" w14:textId="77777777" w:rsidR="00B772A7" w:rsidRDefault="00B772A7" w:rsidP="007329E2">
            <w:pPr>
              <w:jc w:val="both"/>
              <w:rPr>
                <w:sz w:val="22"/>
                <w:szCs w:val="22"/>
                <w:lang w:val="lt-LT"/>
              </w:rPr>
            </w:pPr>
            <w:r>
              <w:rPr>
                <w:sz w:val="22"/>
                <w:szCs w:val="22"/>
                <w:lang w:val="lt-LT"/>
              </w:rPr>
              <w:lastRenderedPageBreak/>
              <w:t>Nesutinkame.</w:t>
            </w:r>
          </w:p>
          <w:p w14:paraId="391B2FFC" w14:textId="5E3F3B8C" w:rsidR="00485835" w:rsidRDefault="00B772A7" w:rsidP="007329E2">
            <w:pPr>
              <w:jc w:val="both"/>
              <w:rPr>
                <w:sz w:val="22"/>
                <w:szCs w:val="22"/>
                <w:lang w:val="lt-LT"/>
              </w:rPr>
            </w:pPr>
            <w:r>
              <w:rPr>
                <w:sz w:val="22"/>
                <w:szCs w:val="22"/>
                <w:lang w:val="lt-LT"/>
              </w:rPr>
              <w:t xml:space="preserve">Atkreipiame dėmesį, kad </w:t>
            </w:r>
            <w:r w:rsidR="003C463A">
              <w:rPr>
                <w:sz w:val="22"/>
                <w:szCs w:val="22"/>
                <w:lang w:val="lt-LT"/>
              </w:rPr>
              <w:t xml:space="preserve">Sistemos </w:t>
            </w:r>
            <w:r w:rsidR="00A06A01">
              <w:rPr>
                <w:sz w:val="22"/>
                <w:szCs w:val="22"/>
                <w:lang w:val="lt-LT"/>
              </w:rPr>
              <w:t>palaikymo paslaugos</w:t>
            </w:r>
            <w:r w:rsidR="003C463A">
              <w:rPr>
                <w:sz w:val="22"/>
                <w:szCs w:val="22"/>
                <w:lang w:val="lt-LT"/>
              </w:rPr>
              <w:t xml:space="preserve"> apima </w:t>
            </w:r>
            <w:r w:rsidR="00485835">
              <w:rPr>
                <w:sz w:val="22"/>
                <w:szCs w:val="22"/>
                <w:lang w:val="lt-LT"/>
              </w:rPr>
              <w:t xml:space="preserve">techninį palaikymą, </w:t>
            </w:r>
            <w:r w:rsidR="005B3428">
              <w:rPr>
                <w:sz w:val="22"/>
                <w:szCs w:val="22"/>
                <w:lang w:val="lt-LT"/>
              </w:rPr>
              <w:t xml:space="preserve">duomenų apsaugą, </w:t>
            </w:r>
            <w:r w:rsidR="00485835">
              <w:rPr>
                <w:sz w:val="22"/>
                <w:szCs w:val="22"/>
                <w:lang w:val="lt-LT"/>
              </w:rPr>
              <w:lastRenderedPageBreak/>
              <w:t>atnaujinim</w:t>
            </w:r>
            <w:r w:rsidR="005B3428">
              <w:rPr>
                <w:sz w:val="22"/>
                <w:szCs w:val="22"/>
                <w:lang w:val="lt-LT"/>
              </w:rPr>
              <w:t>ą</w:t>
            </w:r>
            <w:r w:rsidR="00485835">
              <w:rPr>
                <w:sz w:val="22"/>
                <w:szCs w:val="22"/>
                <w:lang w:val="lt-LT"/>
              </w:rPr>
              <w:t xml:space="preserve"> ir diegim</w:t>
            </w:r>
            <w:r w:rsidR="005B3428">
              <w:rPr>
                <w:sz w:val="22"/>
                <w:szCs w:val="22"/>
                <w:lang w:val="lt-LT"/>
              </w:rPr>
              <w:t>ą</w:t>
            </w:r>
            <w:r w:rsidR="00485835">
              <w:rPr>
                <w:sz w:val="22"/>
                <w:szCs w:val="22"/>
                <w:lang w:val="lt-LT"/>
              </w:rPr>
              <w:t>, sistemos veikimo stebėsen</w:t>
            </w:r>
            <w:r w:rsidR="005B3428">
              <w:rPr>
                <w:sz w:val="22"/>
                <w:szCs w:val="22"/>
                <w:lang w:val="lt-LT"/>
              </w:rPr>
              <w:t>ą</w:t>
            </w:r>
            <w:r w:rsidR="00485835">
              <w:rPr>
                <w:sz w:val="22"/>
                <w:szCs w:val="22"/>
                <w:lang w:val="lt-LT"/>
              </w:rPr>
              <w:t>, klaidų nustatymas ir šalinim</w:t>
            </w:r>
            <w:r w:rsidR="005B3428">
              <w:rPr>
                <w:sz w:val="22"/>
                <w:szCs w:val="22"/>
                <w:lang w:val="lt-LT"/>
              </w:rPr>
              <w:t>ą.</w:t>
            </w:r>
          </w:p>
          <w:p w14:paraId="33D26583" w14:textId="77777777" w:rsidR="005B3428" w:rsidRDefault="005B3428" w:rsidP="007329E2">
            <w:pPr>
              <w:jc w:val="both"/>
              <w:rPr>
                <w:sz w:val="22"/>
                <w:szCs w:val="22"/>
                <w:lang w:val="lt-LT"/>
              </w:rPr>
            </w:pPr>
          </w:p>
          <w:p w14:paraId="754580C2" w14:textId="58329573" w:rsidR="00DD7F7A" w:rsidRPr="005B4A6C" w:rsidRDefault="008D658F" w:rsidP="00DD7F7A">
            <w:pPr>
              <w:jc w:val="both"/>
              <w:rPr>
                <w:sz w:val="22"/>
                <w:szCs w:val="22"/>
                <w:lang w:val="lt-LT"/>
              </w:rPr>
            </w:pPr>
            <w:r>
              <w:rPr>
                <w:sz w:val="22"/>
                <w:szCs w:val="22"/>
                <w:lang w:val="lt-LT"/>
              </w:rPr>
              <w:t>Garantinė priežiūra apima nemokamas remonto paslaugas, keitimą</w:t>
            </w:r>
            <w:r w:rsidR="004B6EA6">
              <w:rPr>
                <w:sz w:val="22"/>
                <w:szCs w:val="22"/>
                <w:lang w:val="lt-LT"/>
              </w:rPr>
              <w:t xml:space="preserve"> (jei neįmanoma atlikti remonto)</w:t>
            </w:r>
            <w:r>
              <w:rPr>
                <w:sz w:val="22"/>
                <w:szCs w:val="22"/>
                <w:lang w:val="lt-LT"/>
              </w:rPr>
              <w:t>, gedimų šalinimą</w:t>
            </w:r>
            <w:r w:rsidR="004B6EA6">
              <w:rPr>
                <w:sz w:val="22"/>
                <w:szCs w:val="22"/>
                <w:lang w:val="lt-LT"/>
              </w:rPr>
              <w:t xml:space="preserve"> (dėl gamintojų klaidų). </w:t>
            </w:r>
          </w:p>
          <w:p w14:paraId="0CFA4257" w14:textId="4FC6CB06" w:rsidR="005B4A6C" w:rsidRPr="005B4A6C" w:rsidRDefault="005B4A6C" w:rsidP="00F50E0B">
            <w:pPr>
              <w:jc w:val="both"/>
              <w:rPr>
                <w:sz w:val="22"/>
                <w:szCs w:val="22"/>
                <w:lang w:val="lt-LT"/>
              </w:rPr>
            </w:pPr>
          </w:p>
        </w:tc>
      </w:tr>
    </w:tbl>
    <w:p w14:paraId="7D20BE85" w14:textId="77777777" w:rsidR="00C3164D" w:rsidRPr="00B07875" w:rsidRDefault="00C3164D" w:rsidP="00DD7F7A">
      <w:pPr>
        <w:rPr>
          <w:lang w:val="lt-LT"/>
        </w:rPr>
      </w:pPr>
    </w:p>
    <w:sectPr w:rsidR="00C3164D" w:rsidRPr="00B07875" w:rsidSect="00AE540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0229C"/>
    <w:multiLevelType w:val="multilevel"/>
    <w:tmpl w:val="E7C05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42EB9C"/>
    <w:multiLevelType w:val="hybridMultilevel"/>
    <w:tmpl w:val="D708E5D4"/>
    <w:lvl w:ilvl="0" w:tplc="ADAE6FE2">
      <w:start w:val="1"/>
      <w:numFmt w:val="decimal"/>
      <w:lvlText w:val="%1."/>
      <w:lvlJc w:val="left"/>
      <w:pPr>
        <w:ind w:left="720" w:hanging="360"/>
      </w:pPr>
    </w:lvl>
    <w:lvl w:ilvl="1" w:tplc="B0FC39DC">
      <w:start w:val="1"/>
      <w:numFmt w:val="lowerLetter"/>
      <w:lvlText w:val="%2."/>
      <w:lvlJc w:val="left"/>
      <w:pPr>
        <w:ind w:left="1440" w:hanging="360"/>
      </w:pPr>
    </w:lvl>
    <w:lvl w:ilvl="2" w:tplc="13A2AEC6">
      <w:start w:val="1"/>
      <w:numFmt w:val="lowerRoman"/>
      <w:lvlText w:val="%3."/>
      <w:lvlJc w:val="right"/>
      <w:pPr>
        <w:ind w:left="2160" w:hanging="180"/>
      </w:pPr>
    </w:lvl>
    <w:lvl w:ilvl="3" w:tplc="97841D2A">
      <w:start w:val="1"/>
      <w:numFmt w:val="decimal"/>
      <w:lvlText w:val="%4."/>
      <w:lvlJc w:val="left"/>
      <w:pPr>
        <w:ind w:left="2880" w:hanging="360"/>
      </w:pPr>
    </w:lvl>
    <w:lvl w:ilvl="4" w:tplc="507C05F8">
      <w:start w:val="1"/>
      <w:numFmt w:val="lowerLetter"/>
      <w:lvlText w:val="%5."/>
      <w:lvlJc w:val="left"/>
      <w:pPr>
        <w:ind w:left="3600" w:hanging="360"/>
      </w:pPr>
    </w:lvl>
    <w:lvl w:ilvl="5" w:tplc="56D48C6C">
      <w:start w:val="1"/>
      <w:numFmt w:val="lowerRoman"/>
      <w:lvlText w:val="%6."/>
      <w:lvlJc w:val="right"/>
      <w:pPr>
        <w:ind w:left="4320" w:hanging="180"/>
      </w:pPr>
    </w:lvl>
    <w:lvl w:ilvl="6" w:tplc="7A70BAA8">
      <w:start w:val="1"/>
      <w:numFmt w:val="decimal"/>
      <w:lvlText w:val="%7."/>
      <w:lvlJc w:val="left"/>
      <w:pPr>
        <w:ind w:left="5040" w:hanging="360"/>
      </w:pPr>
    </w:lvl>
    <w:lvl w:ilvl="7" w:tplc="62F27820">
      <w:start w:val="1"/>
      <w:numFmt w:val="lowerLetter"/>
      <w:lvlText w:val="%8."/>
      <w:lvlJc w:val="left"/>
      <w:pPr>
        <w:ind w:left="5760" w:hanging="360"/>
      </w:pPr>
    </w:lvl>
    <w:lvl w:ilvl="8" w:tplc="E804A360">
      <w:start w:val="1"/>
      <w:numFmt w:val="lowerRoman"/>
      <w:lvlText w:val="%9."/>
      <w:lvlJc w:val="right"/>
      <w:pPr>
        <w:ind w:left="6480" w:hanging="180"/>
      </w:pPr>
    </w:lvl>
  </w:abstractNum>
  <w:abstractNum w:abstractNumId="2" w15:restartNumberingAfterBreak="0">
    <w:nsid w:val="46E27DF8"/>
    <w:multiLevelType w:val="multilevel"/>
    <w:tmpl w:val="C196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322551"/>
    <w:multiLevelType w:val="multilevel"/>
    <w:tmpl w:val="93A23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1759691">
    <w:abstractNumId w:val="1"/>
  </w:num>
  <w:num w:numId="2" w16cid:durableId="751900240">
    <w:abstractNumId w:val="0"/>
  </w:num>
  <w:num w:numId="3" w16cid:durableId="1687172190">
    <w:abstractNumId w:val="3"/>
  </w:num>
  <w:num w:numId="4" w16cid:durableId="1234777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0D"/>
    <w:rsid w:val="00020342"/>
    <w:rsid w:val="000C6652"/>
    <w:rsid w:val="000E6A87"/>
    <w:rsid w:val="001409E7"/>
    <w:rsid w:val="00145BDF"/>
    <w:rsid w:val="001B54EA"/>
    <w:rsid w:val="001C6DAC"/>
    <w:rsid w:val="001E4B37"/>
    <w:rsid w:val="002004A4"/>
    <w:rsid w:val="00235E63"/>
    <w:rsid w:val="00240364"/>
    <w:rsid w:val="00263824"/>
    <w:rsid w:val="002766B9"/>
    <w:rsid w:val="003002FD"/>
    <w:rsid w:val="00323B8C"/>
    <w:rsid w:val="003558B3"/>
    <w:rsid w:val="003C20B0"/>
    <w:rsid w:val="003C463A"/>
    <w:rsid w:val="00405A33"/>
    <w:rsid w:val="0041394D"/>
    <w:rsid w:val="004174CE"/>
    <w:rsid w:val="00450799"/>
    <w:rsid w:val="00485835"/>
    <w:rsid w:val="004B6EA6"/>
    <w:rsid w:val="004C00D7"/>
    <w:rsid w:val="0050E866"/>
    <w:rsid w:val="005536BF"/>
    <w:rsid w:val="0055679C"/>
    <w:rsid w:val="0057595E"/>
    <w:rsid w:val="005928E3"/>
    <w:rsid w:val="005B3428"/>
    <w:rsid w:val="005B4A6C"/>
    <w:rsid w:val="0061438A"/>
    <w:rsid w:val="00644144"/>
    <w:rsid w:val="006F3FE0"/>
    <w:rsid w:val="006F76B2"/>
    <w:rsid w:val="00725FEE"/>
    <w:rsid w:val="00732954"/>
    <w:rsid w:val="007329E2"/>
    <w:rsid w:val="007E0D85"/>
    <w:rsid w:val="0080117D"/>
    <w:rsid w:val="00842A5C"/>
    <w:rsid w:val="008C369C"/>
    <w:rsid w:val="008D45F6"/>
    <w:rsid w:val="008D658F"/>
    <w:rsid w:val="009145E3"/>
    <w:rsid w:val="00975F45"/>
    <w:rsid w:val="00984320"/>
    <w:rsid w:val="00A06A01"/>
    <w:rsid w:val="00A312D1"/>
    <w:rsid w:val="00AC0DF0"/>
    <w:rsid w:val="00AD158A"/>
    <w:rsid w:val="00AD5C5C"/>
    <w:rsid w:val="00AE540D"/>
    <w:rsid w:val="00AF11A5"/>
    <w:rsid w:val="00B02352"/>
    <w:rsid w:val="00B07875"/>
    <w:rsid w:val="00B46B91"/>
    <w:rsid w:val="00B70E49"/>
    <w:rsid w:val="00B772A7"/>
    <w:rsid w:val="00BF129A"/>
    <w:rsid w:val="00C2316A"/>
    <w:rsid w:val="00C3164D"/>
    <w:rsid w:val="00C6EE12"/>
    <w:rsid w:val="00D61066"/>
    <w:rsid w:val="00D87BE8"/>
    <w:rsid w:val="00DD7F7A"/>
    <w:rsid w:val="00DE593D"/>
    <w:rsid w:val="00E17C23"/>
    <w:rsid w:val="00F02605"/>
    <w:rsid w:val="00F50E0B"/>
    <w:rsid w:val="00F95595"/>
    <w:rsid w:val="00FA5F77"/>
    <w:rsid w:val="00FA6349"/>
    <w:rsid w:val="00FC0186"/>
    <w:rsid w:val="0146005D"/>
    <w:rsid w:val="01FE525A"/>
    <w:rsid w:val="026AC952"/>
    <w:rsid w:val="02AF99A6"/>
    <w:rsid w:val="02C5096A"/>
    <w:rsid w:val="02DE1E2F"/>
    <w:rsid w:val="036C04E0"/>
    <w:rsid w:val="03B3AD0D"/>
    <w:rsid w:val="03FBB4EF"/>
    <w:rsid w:val="042B11BF"/>
    <w:rsid w:val="04BF8435"/>
    <w:rsid w:val="05116B86"/>
    <w:rsid w:val="05F37587"/>
    <w:rsid w:val="05FA64F7"/>
    <w:rsid w:val="06ECB619"/>
    <w:rsid w:val="06FF2B4A"/>
    <w:rsid w:val="0795402C"/>
    <w:rsid w:val="0907B453"/>
    <w:rsid w:val="0920E9D3"/>
    <w:rsid w:val="0951C03F"/>
    <w:rsid w:val="0971CD09"/>
    <w:rsid w:val="0A4D057A"/>
    <w:rsid w:val="0A680EF4"/>
    <w:rsid w:val="0A705466"/>
    <w:rsid w:val="0AA9D540"/>
    <w:rsid w:val="0AC3B7BB"/>
    <w:rsid w:val="0AD3E6C8"/>
    <w:rsid w:val="0BD368EE"/>
    <w:rsid w:val="0C002606"/>
    <w:rsid w:val="0C254710"/>
    <w:rsid w:val="0C386269"/>
    <w:rsid w:val="0C59C880"/>
    <w:rsid w:val="0D0900C8"/>
    <w:rsid w:val="0D134A26"/>
    <w:rsid w:val="0D22AD73"/>
    <w:rsid w:val="0D3BEA42"/>
    <w:rsid w:val="0D532671"/>
    <w:rsid w:val="0D641494"/>
    <w:rsid w:val="0D738A1B"/>
    <w:rsid w:val="0DCDA900"/>
    <w:rsid w:val="0EEFF802"/>
    <w:rsid w:val="0EF3802C"/>
    <w:rsid w:val="0EF3B3A6"/>
    <w:rsid w:val="0F264C26"/>
    <w:rsid w:val="0F6994E0"/>
    <w:rsid w:val="0F820053"/>
    <w:rsid w:val="0F903025"/>
    <w:rsid w:val="0FD1E133"/>
    <w:rsid w:val="0FE6B047"/>
    <w:rsid w:val="1025844A"/>
    <w:rsid w:val="102BED89"/>
    <w:rsid w:val="10AEF0DC"/>
    <w:rsid w:val="10E9117B"/>
    <w:rsid w:val="111056D0"/>
    <w:rsid w:val="114F3DA8"/>
    <w:rsid w:val="118E5057"/>
    <w:rsid w:val="11EB440D"/>
    <w:rsid w:val="1364C9B4"/>
    <w:rsid w:val="136C4500"/>
    <w:rsid w:val="137ACD9E"/>
    <w:rsid w:val="13D7F0D9"/>
    <w:rsid w:val="1411FE46"/>
    <w:rsid w:val="14DF29E2"/>
    <w:rsid w:val="15197ACC"/>
    <w:rsid w:val="1525B052"/>
    <w:rsid w:val="16641D8E"/>
    <w:rsid w:val="16BB400B"/>
    <w:rsid w:val="16CA5792"/>
    <w:rsid w:val="174A1A35"/>
    <w:rsid w:val="179E34EC"/>
    <w:rsid w:val="17EF669E"/>
    <w:rsid w:val="1813C836"/>
    <w:rsid w:val="18740226"/>
    <w:rsid w:val="18FAC608"/>
    <w:rsid w:val="19193EBE"/>
    <w:rsid w:val="1AACBB7C"/>
    <w:rsid w:val="1AAD7F95"/>
    <w:rsid w:val="1AE57B44"/>
    <w:rsid w:val="1AFD1EEF"/>
    <w:rsid w:val="1BBAE55B"/>
    <w:rsid w:val="1BCA1ECE"/>
    <w:rsid w:val="1BEE4C69"/>
    <w:rsid w:val="1C6080B1"/>
    <w:rsid w:val="1C9636C3"/>
    <w:rsid w:val="1CF145A3"/>
    <w:rsid w:val="1CFAAAC6"/>
    <w:rsid w:val="1D1ACA22"/>
    <w:rsid w:val="1D6B6991"/>
    <w:rsid w:val="1D922B1B"/>
    <w:rsid w:val="1DA81E35"/>
    <w:rsid w:val="1DCB00FE"/>
    <w:rsid w:val="1DEC6F8F"/>
    <w:rsid w:val="1E3DC593"/>
    <w:rsid w:val="1E9C0A3D"/>
    <w:rsid w:val="1F23A157"/>
    <w:rsid w:val="1F8959D9"/>
    <w:rsid w:val="200CC761"/>
    <w:rsid w:val="200F80B4"/>
    <w:rsid w:val="2063BD54"/>
    <w:rsid w:val="2075ECD0"/>
    <w:rsid w:val="21434A8C"/>
    <w:rsid w:val="218298DB"/>
    <w:rsid w:val="21E90DF9"/>
    <w:rsid w:val="221ED170"/>
    <w:rsid w:val="222339FC"/>
    <w:rsid w:val="22538025"/>
    <w:rsid w:val="22DFF50B"/>
    <w:rsid w:val="2349C9B8"/>
    <w:rsid w:val="2393BC78"/>
    <w:rsid w:val="23B9743F"/>
    <w:rsid w:val="2414F795"/>
    <w:rsid w:val="24AD152F"/>
    <w:rsid w:val="2509CB05"/>
    <w:rsid w:val="2558D6B2"/>
    <w:rsid w:val="2573A31B"/>
    <w:rsid w:val="25F85F76"/>
    <w:rsid w:val="2706CA2D"/>
    <w:rsid w:val="270C7B63"/>
    <w:rsid w:val="272A5821"/>
    <w:rsid w:val="275827E7"/>
    <w:rsid w:val="27C1838F"/>
    <w:rsid w:val="27C4B22D"/>
    <w:rsid w:val="27E106E8"/>
    <w:rsid w:val="28263A4F"/>
    <w:rsid w:val="2833D712"/>
    <w:rsid w:val="285A7E7A"/>
    <w:rsid w:val="28E37793"/>
    <w:rsid w:val="28F9C0EA"/>
    <w:rsid w:val="295B290B"/>
    <w:rsid w:val="2A4F3953"/>
    <w:rsid w:val="2AB955C8"/>
    <w:rsid w:val="2AB9E000"/>
    <w:rsid w:val="2B152D1F"/>
    <w:rsid w:val="2B2D5E32"/>
    <w:rsid w:val="2B572420"/>
    <w:rsid w:val="2B908401"/>
    <w:rsid w:val="2B9F6BDF"/>
    <w:rsid w:val="2C5FC286"/>
    <w:rsid w:val="2C8FCF7E"/>
    <w:rsid w:val="2CC2F464"/>
    <w:rsid w:val="2CCB3122"/>
    <w:rsid w:val="2CE6D687"/>
    <w:rsid w:val="2CE8676F"/>
    <w:rsid w:val="2D12BD87"/>
    <w:rsid w:val="2DCEDFBE"/>
    <w:rsid w:val="2E4AAF82"/>
    <w:rsid w:val="2E84983C"/>
    <w:rsid w:val="2EDC11CD"/>
    <w:rsid w:val="302A98B7"/>
    <w:rsid w:val="307EDD73"/>
    <w:rsid w:val="309135C3"/>
    <w:rsid w:val="313F768C"/>
    <w:rsid w:val="3182903C"/>
    <w:rsid w:val="31B8A1C4"/>
    <w:rsid w:val="320B0B26"/>
    <w:rsid w:val="32400A2A"/>
    <w:rsid w:val="32773D8D"/>
    <w:rsid w:val="3367FEEB"/>
    <w:rsid w:val="33BFA944"/>
    <w:rsid w:val="3442E6EB"/>
    <w:rsid w:val="34813476"/>
    <w:rsid w:val="34D2EDF9"/>
    <w:rsid w:val="352974D2"/>
    <w:rsid w:val="3545AE16"/>
    <w:rsid w:val="356A12E8"/>
    <w:rsid w:val="35C3D66B"/>
    <w:rsid w:val="361E0013"/>
    <w:rsid w:val="362A038D"/>
    <w:rsid w:val="363DBF6C"/>
    <w:rsid w:val="363E371A"/>
    <w:rsid w:val="36B3E241"/>
    <w:rsid w:val="3741E6D0"/>
    <w:rsid w:val="37F22AAA"/>
    <w:rsid w:val="38C9067A"/>
    <w:rsid w:val="39A6DF23"/>
    <w:rsid w:val="3A0DCB2D"/>
    <w:rsid w:val="3A1BC2E5"/>
    <w:rsid w:val="3A80BFAB"/>
    <w:rsid w:val="3AA3D871"/>
    <w:rsid w:val="3D10FB3C"/>
    <w:rsid w:val="3D33F216"/>
    <w:rsid w:val="3D38B3AC"/>
    <w:rsid w:val="3E23093B"/>
    <w:rsid w:val="3E4FFBF2"/>
    <w:rsid w:val="3F8EA8B1"/>
    <w:rsid w:val="3F9342B2"/>
    <w:rsid w:val="3FAB456C"/>
    <w:rsid w:val="3FD88E05"/>
    <w:rsid w:val="40164DE2"/>
    <w:rsid w:val="40221590"/>
    <w:rsid w:val="402DE01B"/>
    <w:rsid w:val="4039A4A9"/>
    <w:rsid w:val="40F5E6CC"/>
    <w:rsid w:val="41095CC5"/>
    <w:rsid w:val="410A002F"/>
    <w:rsid w:val="414F0FD2"/>
    <w:rsid w:val="417EA0A6"/>
    <w:rsid w:val="41D9F420"/>
    <w:rsid w:val="427C2A9A"/>
    <w:rsid w:val="429F1230"/>
    <w:rsid w:val="42B420C3"/>
    <w:rsid w:val="43069357"/>
    <w:rsid w:val="4363FA07"/>
    <w:rsid w:val="43992B5E"/>
    <w:rsid w:val="43B1C974"/>
    <w:rsid w:val="43C3F686"/>
    <w:rsid w:val="44049010"/>
    <w:rsid w:val="447CC443"/>
    <w:rsid w:val="4529C1AD"/>
    <w:rsid w:val="4563ED0B"/>
    <w:rsid w:val="459A19CC"/>
    <w:rsid w:val="45ADC0B1"/>
    <w:rsid w:val="45B265BA"/>
    <w:rsid w:val="469AEFE4"/>
    <w:rsid w:val="46A781D0"/>
    <w:rsid w:val="46DDB341"/>
    <w:rsid w:val="46FB2A5C"/>
    <w:rsid w:val="475F5A71"/>
    <w:rsid w:val="47717508"/>
    <w:rsid w:val="477D5D63"/>
    <w:rsid w:val="47B7383E"/>
    <w:rsid w:val="489018D7"/>
    <w:rsid w:val="49003D6E"/>
    <w:rsid w:val="4904DC29"/>
    <w:rsid w:val="490682D5"/>
    <w:rsid w:val="49ABB79B"/>
    <w:rsid w:val="4A21D928"/>
    <w:rsid w:val="4A5CB54A"/>
    <w:rsid w:val="4A8B4CD0"/>
    <w:rsid w:val="4AA03F04"/>
    <w:rsid w:val="4ACBD50E"/>
    <w:rsid w:val="4ACF776A"/>
    <w:rsid w:val="4AD2BA1E"/>
    <w:rsid w:val="4BD86050"/>
    <w:rsid w:val="4BE2760C"/>
    <w:rsid w:val="4C430923"/>
    <w:rsid w:val="4C977F57"/>
    <w:rsid w:val="4CCD3680"/>
    <w:rsid w:val="4CF2AEB5"/>
    <w:rsid w:val="4D8EDECD"/>
    <w:rsid w:val="4DDE055B"/>
    <w:rsid w:val="4E02F42B"/>
    <w:rsid w:val="4E249C20"/>
    <w:rsid w:val="4E571FA8"/>
    <w:rsid w:val="4ECA1ACD"/>
    <w:rsid w:val="4EF1FB62"/>
    <w:rsid w:val="4EF7D9E3"/>
    <w:rsid w:val="4F584C21"/>
    <w:rsid w:val="4F7E0848"/>
    <w:rsid w:val="509E31A4"/>
    <w:rsid w:val="513D1FE0"/>
    <w:rsid w:val="514C209C"/>
    <w:rsid w:val="51C87557"/>
    <w:rsid w:val="52445F66"/>
    <w:rsid w:val="5258F76B"/>
    <w:rsid w:val="53432D27"/>
    <w:rsid w:val="5360FE80"/>
    <w:rsid w:val="537B9417"/>
    <w:rsid w:val="539DE60D"/>
    <w:rsid w:val="54FC45F1"/>
    <w:rsid w:val="55B75EA7"/>
    <w:rsid w:val="55EDD117"/>
    <w:rsid w:val="5606A249"/>
    <w:rsid w:val="563AC40A"/>
    <w:rsid w:val="5641F688"/>
    <w:rsid w:val="5654493E"/>
    <w:rsid w:val="569382CF"/>
    <w:rsid w:val="56DE83E9"/>
    <w:rsid w:val="59154CDA"/>
    <w:rsid w:val="592B78EA"/>
    <w:rsid w:val="59E61674"/>
    <w:rsid w:val="5A1B44C0"/>
    <w:rsid w:val="5AA682E0"/>
    <w:rsid w:val="5AE036B3"/>
    <w:rsid w:val="5B57870C"/>
    <w:rsid w:val="5B842FA0"/>
    <w:rsid w:val="5BE39071"/>
    <w:rsid w:val="5C7046AE"/>
    <w:rsid w:val="5CD9BB9D"/>
    <w:rsid w:val="5DFA40BE"/>
    <w:rsid w:val="5E0ED072"/>
    <w:rsid w:val="5EA72704"/>
    <w:rsid w:val="5ECA8026"/>
    <w:rsid w:val="5F6D14D9"/>
    <w:rsid w:val="5F7CFC23"/>
    <w:rsid w:val="607374DE"/>
    <w:rsid w:val="60B46D75"/>
    <w:rsid w:val="61520335"/>
    <w:rsid w:val="622E2F87"/>
    <w:rsid w:val="62387100"/>
    <w:rsid w:val="64E416D0"/>
    <w:rsid w:val="65364B8E"/>
    <w:rsid w:val="65CC724A"/>
    <w:rsid w:val="65F76EF7"/>
    <w:rsid w:val="6666B201"/>
    <w:rsid w:val="66930F20"/>
    <w:rsid w:val="66980F05"/>
    <w:rsid w:val="66D46452"/>
    <w:rsid w:val="66D8CBD0"/>
    <w:rsid w:val="66E1018C"/>
    <w:rsid w:val="67DB64B3"/>
    <w:rsid w:val="6877C942"/>
    <w:rsid w:val="6898C92B"/>
    <w:rsid w:val="68A903EF"/>
    <w:rsid w:val="699FF3CD"/>
    <w:rsid w:val="69A6DF6A"/>
    <w:rsid w:val="69CEB431"/>
    <w:rsid w:val="6A2A380C"/>
    <w:rsid w:val="6A730F9C"/>
    <w:rsid w:val="6A89A4AB"/>
    <w:rsid w:val="6AC2CB91"/>
    <w:rsid w:val="6AD6EF18"/>
    <w:rsid w:val="6AEEA0FD"/>
    <w:rsid w:val="6B1B44C0"/>
    <w:rsid w:val="6B2CAEAC"/>
    <w:rsid w:val="6B89F999"/>
    <w:rsid w:val="6B9732B3"/>
    <w:rsid w:val="6BC9624D"/>
    <w:rsid w:val="6BF0A4CE"/>
    <w:rsid w:val="6C3A2253"/>
    <w:rsid w:val="6D3D092C"/>
    <w:rsid w:val="6D5671BD"/>
    <w:rsid w:val="6D9B75A8"/>
    <w:rsid w:val="6DA1006B"/>
    <w:rsid w:val="6E34690B"/>
    <w:rsid w:val="6E9B6492"/>
    <w:rsid w:val="6EF8A03B"/>
    <w:rsid w:val="6FD5DBAB"/>
    <w:rsid w:val="7086E5A6"/>
    <w:rsid w:val="7114F3DE"/>
    <w:rsid w:val="71A7BF85"/>
    <w:rsid w:val="71C21BD2"/>
    <w:rsid w:val="72056C35"/>
    <w:rsid w:val="720D1AB7"/>
    <w:rsid w:val="723F795A"/>
    <w:rsid w:val="72DF4005"/>
    <w:rsid w:val="7319674D"/>
    <w:rsid w:val="73458C80"/>
    <w:rsid w:val="736276CB"/>
    <w:rsid w:val="7392C781"/>
    <w:rsid w:val="74EEEDD3"/>
    <w:rsid w:val="74F856A5"/>
    <w:rsid w:val="750522CB"/>
    <w:rsid w:val="75223F4E"/>
    <w:rsid w:val="7560DC4A"/>
    <w:rsid w:val="756D67C6"/>
    <w:rsid w:val="75A09E10"/>
    <w:rsid w:val="7601AC76"/>
    <w:rsid w:val="761DE245"/>
    <w:rsid w:val="7632C1EA"/>
    <w:rsid w:val="76441196"/>
    <w:rsid w:val="7671FABB"/>
    <w:rsid w:val="7692CC86"/>
    <w:rsid w:val="772BDC4D"/>
    <w:rsid w:val="772D7A95"/>
    <w:rsid w:val="774FF26C"/>
    <w:rsid w:val="776F8137"/>
    <w:rsid w:val="77AB50EA"/>
    <w:rsid w:val="78173204"/>
    <w:rsid w:val="78683591"/>
    <w:rsid w:val="78B7193B"/>
    <w:rsid w:val="791A469C"/>
    <w:rsid w:val="79872725"/>
    <w:rsid w:val="79F6A425"/>
    <w:rsid w:val="7B6A51A4"/>
    <w:rsid w:val="7BFF0EDD"/>
    <w:rsid w:val="7C0571A6"/>
    <w:rsid w:val="7C438D4E"/>
    <w:rsid w:val="7C90D832"/>
    <w:rsid w:val="7CE00F5E"/>
    <w:rsid w:val="7D752E18"/>
    <w:rsid w:val="7DEAB58E"/>
    <w:rsid w:val="7DF701A7"/>
    <w:rsid w:val="7F78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DF0"/>
  <w15:chartTrackingRefBased/>
  <w15:docId w15:val="{0C108C01-DEC7-4A70-A899-A05E3FBD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E540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540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540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E540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E540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E540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E540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E540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E540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40D"/>
    <w:rPr>
      <w:rFonts w:eastAsiaTheme="majorEastAsia" w:cstheme="majorBidi"/>
      <w:color w:val="272727" w:themeColor="text1" w:themeTint="D8"/>
    </w:rPr>
  </w:style>
  <w:style w:type="paragraph" w:styleId="Title">
    <w:name w:val="Title"/>
    <w:basedOn w:val="Normal"/>
    <w:next w:val="Normal"/>
    <w:link w:val="TitleChar"/>
    <w:uiPriority w:val="10"/>
    <w:qFormat/>
    <w:rsid w:val="00AE54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5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40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E5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40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E540D"/>
    <w:rPr>
      <w:i/>
      <w:iCs/>
      <w:color w:val="404040" w:themeColor="text1" w:themeTint="BF"/>
    </w:rPr>
  </w:style>
  <w:style w:type="paragraph" w:styleId="ListParagraph">
    <w:name w:val="List Paragraph"/>
    <w:aliases w:val="List Paragraph Red,Buletai,Bullet EY,List Paragraph21,List Paragraph2,lp1,Bullet 1,Use Case List Paragraph,Numbering,ERP-List Paragraph,List Paragraph11,List Paragraph111,Paragraph,List Paragraph1,Table of contents numbered,Bul,VARNELES"/>
    <w:basedOn w:val="Normal"/>
    <w:link w:val="ListParagraphChar"/>
    <w:uiPriority w:val="34"/>
    <w:qFormat/>
    <w:rsid w:val="00AE540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E540D"/>
    <w:rPr>
      <w:i/>
      <w:iCs/>
      <w:color w:val="0F4761" w:themeColor="accent1" w:themeShade="BF"/>
    </w:rPr>
  </w:style>
  <w:style w:type="paragraph" w:styleId="IntenseQuote">
    <w:name w:val="Intense Quote"/>
    <w:basedOn w:val="Normal"/>
    <w:next w:val="Normal"/>
    <w:link w:val="IntenseQuoteChar"/>
    <w:uiPriority w:val="30"/>
    <w:qFormat/>
    <w:rsid w:val="00AE54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E540D"/>
    <w:rPr>
      <w:i/>
      <w:iCs/>
      <w:color w:val="0F4761" w:themeColor="accent1" w:themeShade="BF"/>
    </w:rPr>
  </w:style>
  <w:style w:type="character" w:styleId="IntenseReference">
    <w:name w:val="Intense Reference"/>
    <w:basedOn w:val="DefaultParagraphFont"/>
    <w:uiPriority w:val="32"/>
    <w:qFormat/>
    <w:rsid w:val="00AE540D"/>
    <w:rPr>
      <w:b/>
      <w:bCs/>
      <w:smallCaps/>
      <w:color w:val="0F4761" w:themeColor="accent1" w:themeShade="BF"/>
      <w:spacing w:val="5"/>
    </w:rPr>
  </w:style>
  <w:style w:type="paragraph" w:styleId="Revision">
    <w:name w:val="Revision"/>
    <w:hidden/>
    <w:uiPriority w:val="99"/>
    <w:semiHidden/>
    <w:rsid w:val="00B46B91"/>
    <w:pPr>
      <w:spacing w:after="0" w:line="240" w:lineRule="auto"/>
    </w:pPr>
    <w:rPr>
      <w:rFonts w:ascii="Times New Roman" w:eastAsia="Times New Roman" w:hAnsi="Times New Roman" w:cs="Times New Roman"/>
      <w:kern w:val="0"/>
      <w:sz w:val="20"/>
      <w:szCs w:val="20"/>
      <w14:ligatures w14:val="none"/>
    </w:rPr>
  </w:style>
  <w:style w:type="paragraph" w:customStyle="1" w:styleId="Default">
    <w:name w:val="Default"/>
    <w:rsid w:val="00B70E49"/>
    <w:pPr>
      <w:autoSpaceDE w:val="0"/>
      <w:autoSpaceDN w:val="0"/>
      <w:adjustRightInd w:val="0"/>
      <w:spacing w:after="0" w:line="240" w:lineRule="auto"/>
    </w:pPr>
    <w:rPr>
      <w:rFonts w:ascii="Arial" w:eastAsia="Times New Roman" w:hAnsi="Arial" w:cs="Arial"/>
      <w:color w:val="000000"/>
      <w:kern w:val="0"/>
      <w:sz w:val="24"/>
      <w:szCs w:val="24"/>
      <w:lang w:val="lt-LT"/>
      <w14:ligatures w14:val="none"/>
    </w:rPr>
  </w:style>
  <w:style w:type="character" w:styleId="CommentReference">
    <w:name w:val="annotation reference"/>
    <w:basedOn w:val="DefaultParagraphFont"/>
    <w:uiPriority w:val="99"/>
    <w:semiHidden/>
    <w:unhideWhenUsed/>
    <w:rsid w:val="001C6DAC"/>
    <w:rPr>
      <w:sz w:val="16"/>
      <w:szCs w:val="16"/>
    </w:rPr>
  </w:style>
  <w:style w:type="paragraph" w:styleId="CommentText">
    <w:name w:val="annotation text"/>
    <w:basedOn w:val="Normal"/>
    <w:link w:val="CommentTextChar"/>
    <w:uiPriority w:val="99"/>
    <w:unhideWhenUsed/>
    <w:rsid w:val="001C6DAC"/>
    <w:pPr>
      <w:spacing w:after="160"/>
    </w:pPr>
    <w:rPr>
      <w:rFonts w:eastAsiaTheme="minorHAnsi" w:cstheme="minorBidi"/>
      <w:lang w:val="lt-LT"/>
    </w:rPr>
  </w:style>
  <w:style w:type="character" w:customStyle="1" w:styleId="CommentTextChar">
    <w:name w:val="Comment Text Char"/>
    <w:basedOn w:val="DefaultParagraphFont"/>
    <w:link w:val="CommentText"/>
    <w:uiPriority w:val="99"/>
    <w:rsid w:val="001C6DAC"/>
    <w:rPr>
      <w:rFonts w:ascii="Times New Roman" w:hAnsi="Times New Roman"/>
      <w:kern w:val="0"/>
      <w:sz w:val="20"/>
      <w:szCs w:val="20"/>
      <w:lang w:val="lt-LT"/>
      <w14:ligatures w14:val="none"/>
    </w:rPr>
  </w:style>
  <w:style w:type="character" w:customStyle="1" w:styleId="ListParagraphChar">
    <w:name w:val="List Paragraph Char"/>
    <w:aliases w:val="List Paragraph Red Char,Buletai Char,Bullet EY Char,List Paragraph21 Char,List Paragraph2 Char,lp1 Char,Bullet 1 Char,Use Case List Paragraph Char,Numbering Char,ERP-List Paragraph Char,List Paragraph11 Char,List Paragraph111 Char"/>
    <w:link w:val="ListParagraph"/>
    <w:uiPriority w:val="34"/>
    <w:qFormat/>
    <w:locked/>
    <w:rsid w:val="005B4A6C"/>
  </w:style>
  <w:style w:type="paragraph" w:styleId="CommentSubject">
    <w:name w:val="annotation subject"/>
    <w:basedOn w:val="CommentText"/>
    <w:next w:val="CommentText"/>
    <w:link w:val="CommentSubjectChar"/>
    <w:uiPriority w:val="99"/>
    <w:semiHidden/>
    <w:unhideWhenUsed/>
    <w:rsid w:val="00AD158A"/>
    <w:pPr>
      <w:spacing w:after="0"/>
    </w:pPr>
    <w:rPr>
      <w:rFonts w:eastAsia="Times New Roman" w:cs="Times New Roman"/>
      <w:b/>
      <w:bCs/>
      <w:lang w:val="en-US"/>
    </w:rPr>
  </w:style>
  <w:style w:type="character" w:customStyle="1" w:styleId="CommentSubjectChar">
    <w:name w:val="Comment Subject Char"/>
    <w:basedOn w:val="CommentTextChar"/>
    <w:link w:val="CommentSubject"/>
    <w:uiPriority w:val="99"/>
    <w:semiHidden/>
    <w:rsid w:val="00AD158A"/>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8944">
      <w:bodyDiv w:val="1"/>
      <w:marLeft w:val="0"/>
      <w:marRight w:val="0"/>
      <w:marTop w:val="0"/>
      <w:marBottom w:val="0"/>
      <w:divBdr>
        <w:top w:val="none" w:sz="0" w:space="0" w:color="auto"/>
        <w:left w:val="none" w:sz="0" w:space="0" w:color="auto"/>
        <w:bottom w:val="none" w:sz="0" w:space="0" w:color="auto"/>
        <w:right w:val="none" w:sz="0" w:space="0" w:color="auto"/>
      </w:divBdr>
    </w:div>
    <w:div w:id="341010418">
      <w:bodyDiv w:val="1"/>
      <w:marLeft w:val="0"/>
      <w:marRight w:val="0"/>
      <w:marTop w:val="0"/>
      <w:marBottom w:val="0"/>
      <w:divBdr>
        <w:top w:val="none" w:sz="0" w:space="0" w:color="auto"/>
        <w:left w:val="none" w:sz="0" w:space="0" w:color="auto"/>
        <w:bottom w:val="none" w:sz="0" w:space="0" w:color="auto"/>
        <w:right w:val="none" w:sz="0" w:space="0" w:color="auto"/>
      </w:divBdr>
    </w:div>
    <w:div w:id="352076720">
      <w:bodyDiv w:val="1"/>
      <w:marLeft w:val="0"/>
      <w:marRight w:val="0"/>
      <w:marTop w:val="0"/>
      <w:marBottom w:val="0"/>
      <w:divBdr>
        <w:top w:val="none" w:sz="0" w:space="0" w:color="auto"/>
        <w:left w:val="none" w:sz="0" w:space="0" w:color="auto"/>
        <w:bottom w:val="none" w:sz="0" w:space="0" w:color="auto"/>
        <w:right w:val="none" w:sz="0" w:space="0" w:color="auto"/>
      </w:divBdr>
    </w:div>
    <w:div w:id="413865708">
      <w:bodyDiv w:val="1"/>
      <w:marLeft w:val="0"/>
      <w:marRight w:val="0"/>
      <w:marTop w:val="0"/>
      <w:marBottom w:val="0"/>
      <w:divBdr>
        <w:top w:val="none" w:sz="0" w:space="0" w:color="auto"/>
        <w:left w:val="none" w:sz="0" w:space="0" w:color="auto"/>
        <w:bottom w:val="none" w:sz="0" w:space="0" w:color="auto"/>
        <w:right w:val="none" w:sz="0" w:space="0" w:color="auto"/>
      </w:divBdr>
    </w:div>
    <w:div w:id="447286148">
      <w:bodyDiv w:val="1"/>
      <w:marLeft w:val="0"/>
      <w:marRight w:val="0"/>
      <w:marTop w:val="0"/>
      <w:marBottom w:val="0"/>
      <w:divBdr>
        <w:top w:val="none" w:sz="0" w:space="0" w:color="auto"/>
        <w:left w:val="none" w:sz="0" w:space="0" w:color="auto"/>
        <w:bottom w:val="none" w:sz="0" w:space="0" w:color="auto"/>
        <w:right w:val="none" w:sz="0" w:space="0" w:color="auto"/>
      </w:divBdr>
    </w:div>
    <w:div w:id="454644938">
      <w:bodyDiv w:val="1"/>
      <w:marLeft w:val="0"/>
      <w:marRight w:val="0"/>
      <w:marTop w:val="0"/>
      <w:marBottom w:val="0"/>
      <w:divBdr>
        <w:top w:val="none" w:sz="0" w:space="0" w:color="auto"/>
        <w:left w:val="none" w:sz="0" w:space="0" w:color="auto"/>
        <w:bottom w:val="none" w:sz="0" w:space="0" w:color="auto"/>
        <w:right w:val="none" w:sz="0" w:space="0" w:color="auto"/>
      </w:divBdr>
      <w:divsChild>
        <w:div w:id="2096705313">
          <w:marLeft w:val="0"/>
          <w:marRight w:val="0"/>
          <w:marTop w:val="0"/>
          <w:marBottom w:val="0"/>
          <w:divBdr>
            <w:top w:val="none" w:sz="0" w:space="0" w:color="auto"/>
            <w:left w:val="none" w:sz="0" w:space="0" w:color="auto"/>
            <w:bottom w:val="none" w:sz="0" w:space="0" w:color="auto"/>
            <w:right w:val="none" w:sz="0" w:space="0" w:color="auto"/>
          </w:divBdr>
          <w:divsChild>
            <w:div w:id="190190350">
              <w:marLeft w:val="0"/>
              <w:marRight w:val="0"/>
              <w:marTop w:val="0"/>
              <w:marBottom w:val="0"/>
              <w:divBdr>
                <w:top w:val="none" w:sz="0" w:space="0" w:color="auto"/>
                <w:left w:val="none" w:sz="0" w:space="0" w:color="auto"/>
                <w:bottom w:val="none" w:sz="0" w:space="0" w:color="auto"/>
                <w:right w:val="none" w:sz="0" w:space="0" w:color="auto"/>
              </w:divBdr>
              <w:divsChild>
                <w:div w:id="1530949493">
                  <w:marLeft w:val="0"/>
                  <w:marRight w:val="0"/>
                  <w:marTop w:val="0"/>
                  <w:marBottom w:val="0"/>
                  <w:divBdr>
                    <w:top w:val="none" w:sz="0" w:space="0" w:color="auto"/>
                    <w:left w:val="none" w:sz="0" w:space="0" w:color="auto"/>
                    <w:bottom w:val="none" w:sz="0" w:space="0" w:color="auto"/>
                    <w:right w:val="none" w:sz="0" w:space="0" w:color="auto"/>
                  </w:divBdr>
                  <w:divsChild>
                    <w:div w:id="1327706047">
                      <w:marLeft w:val="0"/>
                      <w:marRight w:val="0"/>
                      <w:marTop w:val="0"/>
                      <w:marBottom w:val="0"/>
                      <w:divBdr>
                        <w:top w:val="none" w:sz="0" w:space="0" w:color="auto"/>
                        <w:left w:val="none" w:sz="0" w:space="0" w:color="auto"/>
                        <w:bottom w:val="none" w:sz="0" w:space="0" w:color="auto"/>
                        <w:right w:val="none" w:sz="0" w:space="0" w:color="auto"/>
                      </w:divBdr>
                      <w:divsChild>
                        <w:div w:id="1712420117">
                          <w:marLeft w:val="0"/>
                          <w:marRight w:val="0"/>
                          <w:marTop w:val="0"/>
                          <w:marBottom w:val="0"/>
                          <w:divBdr>
                            <w:top w:val="none" w:sz="0" w:space="0" w:color="auto"/>
                            <w:left w:val="none" w:sz="0" w:space="0" w:color="auto"/>
                            <w:bottom w:val="none" w:sz="0" w:space="0" w:color="auto"/>
                            <w:right w:val="none" w:sz="0" w:space="0" w:color="auto"/>
                          </w:divBdr>
                          <w:divsChild>
                            <w:div w:id="374474131">
                              <w:marLeft w:val="0"/>
                              <w:marRight w:val="0"/>
                              <w:marTop w:val="0"/>
                              <w:marBottom w:val="0"/>
                              <w:divBdr>
                                <w:top w:val="none" w:sz="0" w:space="0" w:color="auto"/>
                                <w:left w:val="none" w:sz="0" w:space="0" w:color="auto"/>
                                <w:bottom w:val="none" w:sz="0" w:space="0" w:color="auto"/>
                                <w:right w:val="none" w:sz="0" w:space="0" w:color="auto"/>
                              </w:divBdr>
                              <w:divsChild>
                                <w:div w:id="1086417865">
                                  <w:marLeft w:val="0"/>
                                  <w:marRight w:val="0"/>
                                  <w:marTop w:val="0"/>
                                  <w:marBottom w:val="0"/>
                                  <w:divBdr>
                                    <w:top w:val="none" w:sz="0" w:space="0" w:color="auto"/>
                                    <w:left w:val="none" w:sz="0" w:space="0" w:color="auto"/>
                                    <w:bottom w:val="none" w:sz="0" w:space="0" w:color="auto"/>
                                    <w:right w:val="none" w:sz="0" w:space="0" w:color="auto"/>
                                  </w:divBdr>
                                  <w:divsChild>
                                    <w:div w:id="67399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479316">
      <w:bodyDiv w:val="1"/>
      <w:marLeft w:val="0"/>
      <w:marRight w:val="0"/>
      <w:marTop w:val="0"/>
      <w:marBottom w:val="0"/>
      <w:divBdr>
        <w:top w:val="none" w:sz="0" w:space="0" w:color="auto"/>
        <w:left w:val="none" w:sz="0" w:space="0" w:color="auto"/>
        <w:bottom w:val="none" w:sz="0" w:space="0" w:color="auto"/>
        <w:right w:val="none" w:sz="0" w:space="0" w:color="auto"/>
      </w:divBdr>
    </w:div>
    <w:div w:id="788360333">
      <w:bodyDiv w:val="1"/>
      <w:marLeft w:val="0"/>
      <w:marRight w:val="0"/>
      <w:marTop w:val="0"/>
      <w:marBottom w:val="0"/>
      <w:divBdr>
        <w:top w:val="none" w:sz="0" w:space="0" w:color="auto"/>
        <w:left w:val="none" w:sz="0" w:space="0" w:color="auto"/>
        <w:bottom w:val="none" w:sz="0" w:space="0" w:color="auto"/>
        <w:right w:val="none" w:sz="0" w:space="0" w:color="auto"/>
      </w:divBdr>
    </w:div>
    <w:div w:id="907106633">
      <w:bodyDiv w:val="1"/>
      <w:marLeft w:val="0"/>
      <w:marRight w:val="0"/>
      <w:marTop w:val="0"/>
      <w:marBottom w:val="0"/>
      <w:divBdr>
        <w:top w:val="none" w:sz="0" w:space="0" w:color="auto"/>
        <w:left w:val="none" w:sz="0" w:space="0" w:color="auto"/>
        <w:bottom w:val="none" w:sz="0" w:space="0" w:color="auto"/>
        <w:right w:val="none" w:sz="0" w:space="0" w:color="auto"/>
      </w:divBdr>
    </w:div>
    <w:div w:id="1129590104">
      <w:bodyDiv w:val="1"/>
      <w:marLeft w:val="0"/>
      <w:marRight w:val="0"/>
      <w:marTop w:val="0"/>
      <w:marBottom w:val="0"/>
      <w:divBdr>
        <w:top w:val="none" w:sz="0" w:space="0" w:color="auto"/>
        <w:left w:val="none" w:sz="0" w:space="0" w:color="auto"/>
        <w:bottom w:val="none" w:sz="0" w:space="0" w:color="auto"/>
        <w:right w:val="none" w:sz="0" w:space="0" w:color="auto"/>
      </w:divBdr>
    </w:div>
    <w:div w:id="1248416063">
      <w:bodyDiv w:val="1"/>
      <w:marLeft w:val="0"/>
      <w:marRight w:val="0"/>
      <w:marTop w:val="0"/>
      <w:marBottom w:val="0"/>
      <w:divBdr>
        <w:top w:val="none" w:sz="0" w:space="0" w:color="auto"/>
        <w:left w:val="none" w:sz="0" w:space="0" w:color="auto"/>
        <w:bottom w:val="none" w:sz="0" w:space="0" w:color="auto"/>
        <w:right w:val="none" w:sz="0" w:space="0" w:color="auto"/>
      </w:divBdr>
    </w:div>
    <w:div w:id="1376930469">
      <w:bodyDiv w:val="1"/>
      <w:marLeft w:val="0"/>
      <w:marRight w:val="0"/>
      <w:marTop w:val="0"/>
      <w:marBottom w:val="0"/>
      <w:divBdr>
        <w:top w:val="none" w:sz="0" w:space="0" w:color="auto"/>
        <w:left w:val="none" w:sz="0" w:space="0" w:color="auto"/>
        <w:bottom w:val="none" w:sz="0" w:space="0" w:color="auto"/>
        <w:right w:val="none" w:sz="0" w:space="0" w:color="auto"/>
      </w:divBdr>
    </w:div>
    <w:div w:id="1384794638">
      <w:bodyDiv w:val="1"/>
      <w:marLeft w:val="0"/>
      <w:marRight w:val="0"/>
      <w:marTop w:val="0"/>
      <w:marBottom w:val="0"/>
      <w:divBdr>
        <w:top w:val="none" w:sz="0" w:space="0" w:color="auto"/>
        <w:left w:val="none" w:sz="0" w:space="0" w:color="auto"/>
        <w:bottom w:val="none" w:sz="0" w:space="0" w:color="auto"/>
        <w:right w:val="none" w:sz="0" w:space="0" w:color="auto"/>
      </w:divBdr>
    </w:div>
    <w:div w:id="1549338481">
      <w:bodyDiv w:val="1"/>
      <w:marLeft w:val="0"/>
      <w:marRight w:val="0"/>
      <w:marTop w:val="0"/>
      <w:marBottom w:val="0"/>
      <w:divBdr>
        <w:top w:val="none" w:sz="0" w:space="0" w:color="auto"/>
        <w:left w:val="none" w:sz="0" w:space="0" w:color="auto"/>
        <w:bottom w:val="none" w:sz="0" w:space="0" w:color="auto"/>
        <w:right w:val="none" w:sz="0" w:space="0" w:color="auto"/>
      </w:divBdr>
    </w:div>
    <w:div w:id="1613588526">
      <w:bodyDiv w:val="1"/>
      <w:marLeft w:val="0"/>
      <w:marRight w:val="0"/>
      <w:marTop w:val="0"/>
      <w:marBottom w:val="0"/>
      <w:divBdr>
        <w:top w:val="none" w:sz="0" w:space="0" w:color="auto"/>
        <w:left w:val="none" w:sz="0" w:space="0" w:color="auto"/>
        <w:bottom w:val="none" w:sz="0" w:space="0" w:color="auto"/>
        <w:right w:val="none" w:sz="0" w:space="0" w:color="auto"/>
      </w:divBdr>
    </w:div>
    <w:div w:id="1657954961">
      <w:bodyDiv w:val="1"/>
      <w:marLeft w:val="0"/>
      <w:marRight w:val="0"/>
      <w:marTop w:val="0"/>
      <w:marBottom w:val="0"/>
      <w:divBdr>
        <w:top w:val="none" w:sz="0" w:space="0" w:color="auto"/>
        <w:left w:val="none" w:sz="0" w:space="0" w:color="auto"/>
        <w:bottom w:val="none" w:sz="0" w:space="0" w:color="auto"/>
        <w:right w:val="none" w:sz="0" w:space="0" w:color="auto"/>
      </w:divBdr>
    </w:div>
    <w:div w:id="1668825544">
      <w:bodyDiv w:val="1"/>
      <w:marLeft w:val="0"/>
      <w:marRight w:val="0"/>
      <w:marTop w:val="0"/>
      <w:marBottom w:val="0"/>
      <w:divBdr>
        <w:top w:val="none" w:sz="0" w:space="0" w:color="auto"/>
        <w:left w:val="none" w:sz="0" w:space="0" w:color="auto"/>
        <w:bottom w:val="none" w:sz="0" w:space="0" w:color="auto"/>
        <w:right w:val="none" w:sz="0" w:space="0" w:color="auto"/>
      </w:divBdr>
    </w:div>
    <w:div w:id="1790736522">
      <w:bodyDiv w:val="1"/>
      <w:marLeft w:val="0"/>
      <w:marRight w:val="0"/>
      <w:marTop w:val="0"/>
      <w:marBottom w:val="0"/>
      <w:divBdr>
        <w:top w:val="none" w:sz="0" w:space="0" w:color="auto"/>
        <w:left w:val="none" w:sz="0" w:space="0" w:color="auto"/>
        <w:bottom w:val="none" w:sz="0" w:space="0" w:color="auto"/>
        <w:right w:val="none" w:sz="0" w:space="0" w:color="auto"/>
      </w:divBdr>
    </w:div>
    <w:div w:id="1844079070">
      <w:bodyDiv w:val="1"/>
      <w:marLeft w:val="0"/>
      <w:marRight w:val="0"/>
      <w:marTop w:val="0"/>
      <w:marBottom w:val="0"/>
      <w:divBdr>
        <w:top w:val="none" w:sz="0" w:space="0" w:color="auto"/>
        <w:left w:val="none" w:sz="0" w:space="0" w:color="auto"/>
        <w:bottom w:val="none" w:sz="0" w:space="0" w:color="auto"/>
        <w:right w:val="none" w:sz="0" w:space="0" w:color="auto"/>
      </w:divBdr>
      <w:divsChild>
        <w:div w:id="1127972385">
          <w:marLeft w:val="0"/>
          <w:marRight w:val="0"/>
          <w:marTop w:val="0"/>
          <w:marBottom w:val="0"/>
          <w:divBdr>
            <w:top w:val="none" w:sz="0" w:space="0" w:color="auto"/>
            <w:left w:val="none" w:sz="0" w:space="0" w:color="auto"/>
            <w:bottom w:val="none" w:sz="0" w:space="0" w:color="auto"/>
            <w:right w:val="none" w:sz="0" w:space="0" w:color="auto"/>
          </w:divBdr>
          <w:divsChild>
            <w:div w:id="1611202695">
              <w:marLeft w:val="0"/>
              <w:marRight w:val="0"/>
              <w:marTop w:val="0"/>
              <w:marBottom w:val="0"/>
              <w:divBdr>
                <w:top w:val="none" w:sz="0" w:space="0" w:color="auto"/>
                <w:left w:val="none" w:sz="0" w:space="0" w:color="auto"/>
                <w:bottom w:val="none" w:sz="0" w:space="0" w:color="auto"/>
                <w:right w:val="none" w:sz="0" w:space="0" w:color="auto"/>
              </w:divBdr>
              <w:divsChild>
                <w:div w:id="1656568115">
                  <w:marLeft w:val="0"/>
                  <w:marRight w:val="0"/>
                  <w:marTop w:val="0"/>
                  <w:marBottom w:val="0"/>
                  <w:divBdr>
                    <w:top w:val="none" w:sz="0" w:space="0" w:color="auto"/>
                    <w:left w:val="none" w:sz="0" w:space="0" w:color="auto"/>
                    <w:bottom w:val="none" w:sz="0" w:space="0" w:color="auto"/>
                    <w:right w:val="none" w:sz="0" w:space="0" w:color="auto"/>
                  </w:divBdr>
                  <w:divsChild>
                    <w:div w:id="1317997481">
                      <w:marLeft w:val="0"/>
                      <w:marRight w:val="0"/>
                      <w:marTop w:val="0"/>
                      <w:marBottom w:val="0"/>
                      <w:divBdr>
                        <w:top w:val="none" w:sz="0" w:space="0" w:color="auto"/>
                        <w:left w:val="none" w:sz="0" w:space="0" w:color="auto"/>
                        <w:bottom w:val="none" w:sz="0" w:space="0" w:color="auto"/>
                        <w:right w:val="none" w:sz="0" w:space="0" w:color="auto"/>
                      </w:divBdr>
                      <w:divsChild>
                        <w:div w:id="1003320620">
                          <w:marLeft w:val="0"/>
                          <w:marRight w:val="0"/>
                          <w:marTop w:val="0"/>
                          <w:marBottom w:val="0"/>
                          <w:divBdr>
                            <w:top w:val="none" w:sz="0" w:space="0" w:color="auto"/>
                            <w:left w:val="none" w:sz="0" w:space="0" w:color="auto"/>
                            <w:bottom w:val="none" w:sz="0" w:space="0" w:color="auto"/>
                            <w:right w:val="none" w:sz="0" w:space="0" w:color="auto"/>
                          </w:divBdr>
                          <w:divsChild>
                            <w:div w:id="1656646301">
                              <w:marLeft w:val="0"/>
                              <w:marRight w:val="0"/>
                              <w:marTop w:val="0"/>
                              <w:marBottom w:val="0"/>
                              <w:divBdr>
                                <w:top w:val="none" w:sz="0" w:space="0" w:color="auto"/>
                                <w:left w:val="none" w:sz="0" w:space="0" w:color="auto"/>
                                <w:bottom w:val="none" w:sz="0" w:space="0" w:color="auto"/>
                                <w:right w:val="none" w:sz="0" w:space="0" w:color="auto"/>
                              </w:divBdr>
                              <w:divsChild>
                                <w:div w:id="2046130807">
                                  <w:marLeft w:val="0"/>
                                  <w:marRight w:val="0"/>
                                  <w:marTop w:val="0"/>
                                  <w:marBottom w:val="0"/>
                                  <w:divBdr>
                                    <w:top w:val="none" w:sz="0" w:space="0" w:color="auto"/>
                                    <w:left w:val="none" w:sz="0" w:space="0" w:color="auto"/>
                                    <w:bottom w:val="none" w:sz="0" w:space="0" w:color="auto"/>
                                    <w:right w:val="none" w:sz="0" w:space="0" w:color="auto"/>
                                  </w:divBdr>
                                  <w:divsChild>
                                    <w:div w:id="8961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483175">
      <w:bodyDiv w:val="1"/>
      <w:marLeft w:val="0"/>
      <w:marRight w:val="0"/>
      <w:marTop w:val="0"/>
      <w:marBottom w:val="0"/>
      <w:divBdr>
        <w:top w:val="none" w:sz="0" w:space="0" w:color="auto"/>
        <w:left w:val="none" w:sz="0" w:space="0" w:color="auto"/>
        <w:bottom w:val="none" w:sz="0" w:space="0" w:color="auto"/>
        <w:right w:val="none" w:sz="0" w:space="0" w:color="auto"/>
      </w:divBdr>
    </w:div>
    <w:div w:id="1964076709">
      <w:bodyDiv w:val="1"/>
      <w:marLeft w:val="0"/>
      <w:marRight w:val="0"/>
      <w:marTop w:val="0"/>
      <w:marBottom w:val="0"/>
      <w:divBdr>
        <w:top w:val="none" w:sz="0" w:space="0" w:color="auto"/>
        <w:left w:val="none" w:sz="0" w:space="0" w:color="auto"/>
        <w:bottom w:val="none" w:sz="0" w:space="0" w:color="auto"/>
        <w:right w:val="none" w:sz="0" w:space="0" w:color="auto"/>
      </w:divBdr>
    </w:div>
    <w:div w:id="210673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7c5f11f-a6cf-4485-abb9-8d4cde006b9b" xsi:nil="true"/>
    <TaxCatchAll xmlns="3752980b-016e-4c2e-99ed-4e70bda636a2" xsi:nil="true"/>
    <lcf76f155ced4ddcb4097134ff3c332f xmlns="47c5f11f-a6cf-4485-abb9-8d4cde006b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7FD0579DDB2234DB9E0D257A393D47C" ma:contentTypeVersion="15" ma:contentTypeDescription="Kurkite naują dokumentą." ma:contentTypeScope="" ma:versionID="1c45d60efcbb9a08467a23e8be25f27c">
  <xsd:schema xmlns:xsd="http://www.w3.org/2001/XMLSchema" xmlns:xs="http://www.w3.org/2001/XMLSchema" xmlns:p="http://schemas.microsoft.com/office/2006/metadata/properties" xmlns:ns2="3752980b-016e-4c2e-99ed-4e70bda636a2" xmlns:ns3="47c5f11f-a6cf-4485-abb9-8d4cde006b9b" targetNamespace="http://schemas.microsoft.com/office/2006/metadata/properties" ma:root="true" ma:fieldsID="a68bee2f459b84c9329beffc510cbe3a" ns2:_="" ns3:_="">
    <xsd:import namespace="3752980b-016e-4c2e-99ed-4e70bda636a2"/>
    <xsd:import namespace="47c5f11f-a6cf-4485-abb9-8d4cde006b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2980b-016e-4c2e-99ed-4e70bda636a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3582e5b-5c45-4e45-ad92-96b03da43725}" ma:internalName="TaxCatchAll" ma:showField="CatchAllData" ma:web="3752980b-016e-4c2e-99ed-4e70bda636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c5f11f-a6cf-4485-abb9-8d4cde006b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ED39A-899E-465C-9903-E559C905102D}">
  <ds:schemaRefs>
    <ds:schemaRef ds:uri="http://schemas.microsoft.com/office/2006/metadata/properties"/>
    <ds:schemaRef ds:uri="http://schemas.microsoft.com/office/infopath/2007/PartnerControls"/>
    <ds:schemaRef ds:uri="47c5f11f-a6cf-4485-abb9-8d4cde006b9b"/>
    <ds:schemaRef ds:uri="3752980b-016e-4c2e-99ed-4e70bda636a2"/>
  </ds:schemaRefs>
</ds:datastoreItem>
</file>

<file path=customXml/itemProps2.xml><?xml version="1.0" encoding="utf-8"?>
<ds:datastoreItem xmlns:ds="http://schemas.openxmlformats.org/officeDocument/2006/customXml" ds:itemID="{D510280A-7C11-4390-A394-9C43FAEE3848}">
  <ds:schemaRefs>
    <ds:schemaRef ds:uri="http://schemas.microsoft.com/sharepoint/v3/contenttype/forms"/>
  </ds:schemaRefs>
</ds:datastoreItem>
</file>

<file path=customXml/itemProps3.xml><?xml version="1.0" encoding="utf-8"?>
<ds:datastoreItem xmlns:ds="http://schemas.openxmlformats.org/officeDocument/2006/customXml" ds:itemID="{AB1DA13C-B326-46EF-AC36-380C5648A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2980b-016e-4c2e-99ed-4e70bda636a2"/>
    <ds:schemaRef ds:uri="47c5f11f-a6cf-4485-abb9-8d4cde006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4375</Words>
  <Characters>2495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Rimvaldas Baublys</cp:lastModifiedBy>
  <cp:revision>3</cp:revision>
  <dcterms:created xsi:type="dcterms:W3CDTF">2025-02-20T13:44:00Z</dcterms:created>
  <dcterms:modified xsi:type="dcterms:W3CDTF">2025-02-21T09:03:00Z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0x01010087FD0579DDB2234DB9E0D257A393D47C</vt:lpwstr>
  </property>
  <property fmtid="{D5CDD505-2E9C-101B-9397-08002B2CF9AE}" pid="3" name="MediaServiceImageTags">
    <vt:lpwstr/>
  </property>
</Properties>
</file>