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451D8" w14:textId="77777777"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Pr="00FA7E4C">
        <w:rPr>
          <w:rFonts w:ascii="Times New Roman" w:eastAsia="Calibri" w:hAnsi="Times New Roman" w:cs="Times New Roman"/>
          <w:sz w:val="24"/>
          <w:szCs w:val="24"/>
        </w:rPr>
        <w:t>3</w:t>
      </w:r>
      <w:r w:rsidRPr="00FA7E4C">
        <w:rPr>
          <w:rFonts w:ascii="Times New Roman" w:hAnsi="Times New Roman" w:cs="Times New Roman"/>
          <w:sz w:val="24"/>
          <w:szCs w:val="24"/>
        </w:rPr>
        <w:t xml:space="preserve"> priedas</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B21D0F">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0F7174">
            <w:pPr>
              <w:pStyle w:val="Puslapioinaostekstas"/>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68119C">
            <w:pPr>
              <w:pStyle w:val="Betarp"/>
              <w:numPr>
                <w:ilvl w:val="0"/>
                <w:numId w:val="5"/>
              </w:numP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straipsnio 3 dalies atveju – galutinis administracinis sprendimas, jeigu toks sprendimas priimamas pagal 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lastRenderedPageBreak/>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FA7E4C">
              <w:rPr>
                <w:rFonts w:ascii="Times New Roman" w:eastAsia="Yu Mincho" w:hAnsi="Times New Roman" w:cs="Times New Roman"/>
                <w:sz w:val="24"/>
                <w:szCs w:val="24"/>
              </w:rPr>
              <w:lastRenderedPageBreak/>
              <w:t>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 xml:space="preserve">tos dienos, kai tiekėjas perkančiosios organizacijos </w:t>
            </w:r>
            <w:r w:rsidRPr="00FA7E4C">
              <w:rPr>
                <w:rFonts w:ascii="Times New Roman" w:eastAsia="Times New Roman" w:hAnsi="Times New Roman" w:cs="Times New Roman"/>
                <w:sz w:val="24"/>
                <w:szCs w:val="24"/>
              </w:rPr>
              <w:lastRenderedPageBreak/>
              <w:t>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FA5185">
            <w:pPr>
              <w:pStyle w:val="Betarp"/>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68119C">
            <w:pPr>
              <w:pStyle w:val="Betarp"/>
              <w:numPr>
                <w:ilvl w:val="0"/>
                <w:numId w:val="5"/>
              </w:numP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Laikoma, kad atitinkamos padėties dėl interesų konflikto negalima ištaisyti, jeigu į interesų konfliktą patekę asmenys nulėmė viešojo pirkimo </w:t>
            </w:r>
            <w:r w:rsidRPr="00FA7E4C">
              <w:rPr>
                <w:rFonts w:ascii="Times New Roman" w:hAnsi="Times New Roman" w:cs="Times New Roman"/>
                <w:sz w:val="24"/>
                <w:szCs w:val="24"/>
              </w:rPr>
              <w:lastRenderedPageBreak/>
              <w:t>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FA7E4C">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FA7E4C">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 xml:space="preserve">yra padaręs draudimo sudaryti draudžiamus susitarimus, įtvirtinto Lietuvos Respublikos </w:t>
            </w:r>
            <w:r w:rsidRPr="00FA7E4C">
              <w:rPr>
                <w:rFonts w:ascii="Times New Roman" w:hAnsi="Times New Roman" w:cs="Times New Roman"/>
                <w:color w:val="000000" w:themeColor="text1"/>
                <w:sz w:val="24"/>
                <w:szCs w:val="24"/>
              </w:rPr>
              <w:lastRenderedPageBreak/>
              <w:t>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3B538ABE" w14:textId="397B95EB" w:rsidR="00FA5185" w:rsidRPr="00FA7E4C" w:rsidRDefault="00FA5185" w:rsidP="008D03C1">
            <w:pPr>
              <w:pStyle w:val="Betarp"/>
              <w:jc w:val="both"/>
              <w:rPr>
                <w:rFonts w:ascii="Times New Roman" w:eastAsia="Yu Mincho" w:hAnsi="Times New Roman" w:cs="Times New Roman"/>
                <w:i/>
                <w:iCs/>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FA7E4C" w:rsidRDefault="00FA5185" w:rsidP="008D03C1">
            <w:pPr>
              <w:pStyle w:val="Betarp"/>
              <w:jc w:val="both"/>
              <w:rPr>
                <w:rFonts w:ascii="Times New Roman" w:eastAsia="Yu Mincho" w:hAnsi="Times New Roman" w:cs="Times New Roman"/>
                <w:b/>
                <w:bCs/>
                <w:sz w:val="24"/>
                <w:szCs w:val="24"/>
              </w:rPr>
            </w:pPr>
          </w:p>
          <w:p w14:paraId="03AD5794" w14:textId="12AFEA1A" w:rsidR="00FA5185" w:rsidRPr="00FA7E4C" w:rsidRDefault="00FA5185" w:rsidP="008B0B2B">
            <w:pPr>
              <w:pStyle w:val="Betarp"/>
              <w:jc w:val="both"/>
              <w:rPr>
                <w:rFonts w:ascii="Times New Roman" w:hAnsi="Times New Roman" w:cs="Times New Roman"/>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000000" w:rsidP="008B0B2B">
            <w:pPr>
              <w:pStyle w:val="Betarp"/>
              <w:jc w:val="both"/>
              <w:rPr>
                <w:rFonts w:ascii="Times New Roman" w:hAnsi="Times New Roman" w:cs="Times New Roman"/>
                <w:sz w:val="24"/>
                <w:szCs w:val="24"/>
                <w:u w:val="single"/>
              </w:rPr>
            </w:pPr>
            <w:hyperlink r:id="rId12">
              <w:r w:rsidR="00FA5185"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000000" w:rsidP="007069FE">
            <w:pPr>
              <w:pStyle w:val="Betarp"/>
              <w:jc w:val="both"/>
              <w:rPr>
                <w:rStyle w:val="Hipersaitas"/>
                <w:rFonts w:ascii="Times New Roman" w:hAnsi="Times New Roman" w:cs="Times New Roman"/>
                <w:sz w:val="24"/>
                <w:szCs w:val="24"/>
              </w:rPr>
            </w:pPr>
            <w:hyperlink r:id="rId13" w:history="1">
              <w:r w:rsidR="00FA5185"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000000" w:rsidP="007069FE">
            <w:pPr>
              <w:pStyle w:val="Betarp"/>
              <w:jc w:val="both"/>
              <w:rPr>
                <w:rFonts w:ascii="Times New Roman" w:hAnsi="Times New Roman" w:cs="Times New Roman"/>
                <w:sz w:val="24"/>
                <w:szCs w:val="24"/>
              </w:rPr>
            </w:pPr>
            <w:hyperlink r:id="rId14" w:history="1">
              <w:r w:rsidR="00FA5185"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000000" w:rsidP="00D94E45">
            <w:pPr>
              <w:pStyle w:val="Betarp"/>
              <w:jc w:val="both"/>
              <w:rPr>
                <w:rFonts w:ascii="Times New Roman" w:hAnsi="Times New Roman" w:cs="Times New Roman"/>
                <w:sz w:val="24"/>
                <w:szCs w:val="24"/>
                <w:lang w:eastAsia="en-US"/>
              </w:rPr>
            </w:pPr>
            <w:hyperlink r:id="rId16" w:history="1">
              <w:r w:rsidR="00FA5185"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FA7E4C" w:rsidRDefault="00000000" w:rsidP="008D03C1">
            <w:pPr>
              <w:pStyle w:val="Betarp"/>
              <w:jc w:val="both"/>
              <w:rPr>
                <w:rFonts w:ascii="Times New Roman" w:hAnsi="Times New Roman" w:cs="Times New Roman"/>
                <w:b/>
                <w:bCs/>
                <w:iCs/>
                <w:sz w:val="24"/>
                <w:szCs w:val="24"/>
                <w:lang w:eastAsia="en-US"/>
              </w:rPr>
            </w:pPr>
            <w:hyperlink r:id="rId18" w:history="1">
              <w:r w:rsidR="00FA5185" w:rsidRPr="00FA7E4C">
                <w:rPr>
                  <w:rStyle w:val="Hipersaitas"/>
                  <w:rFonts w:ascii="Times New Roman" w:hAnsi="Times New Roman" w:cs="Times New Roman"/>
                  <w:sz w:val="24"/>
                  <w:szCs w:val="24"/>
                  <w:u w:val="single"/>
                </w:rPr>
                <w:t>https://kt.gov.lt/lt/atviri-duomenys/diskvalifikavimas-is-viesuju-pirkimu</w:t>
              </w:r>
            </w:hyperlink>
            <w:r w:rsidR="00FA5185"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FA5185">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05E60" w14:textId="77777777" w:rsidR="0059527A" w:rsidRDefault="0059527A" w:rsidP="00B97C4F">
      <w:pPr>
        <w:spacing w:after="0" w:line="240" w:lineRule="auto"/>
      </w:pPr>
      <w:r>
        <w:separator/>
      </w:r>
    </w:p>
  </w:endnote>
  <w:endnote w:type="continuationSeparator" w:id="0">
    <w:p w14:paraId="47CBA575" w14:textId="77777777" w:rsidR="0059527A" w:rsidRDefault="0059527A" w:rsidP="00B97C4F">
      <w:pPr>
        <w:spacing w:after="0" w:line="240" w:lineRule="auto"/>
      </w:pPr>
      <w:r>
        <w:continuationSeparator/>
      </w:r>
    </w:p>
  </w:endnote>
  <w:endnote w:type="continuationNotice" w:id="1">
    <w:p w14:paraId="49B2F0A9" w14:textId="77777777" w:rsidR="0059527A" w:rsidRDefault="00595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C3F152"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0B691" w14:textId="77777777" w:rsidR="0059527A" w:rsidRDefault="0059527A" w:rsidP="00B97C4F">
      <w:pPr>
        <w:spacing w:after="0" w:line="240" w:lineRule="auto"/>
      </w:pPr>
      <w:r>
        <w:separator/>
      </w:r>
    </w:p>
  </w:footnote>
  <w:footnote w:type="continuationSeparator" w:id="0">
    <w:p w14:paraId="054FFA1E" w14:textId="77777777" w:rsidR="0059527A" w:rsidRDefault="0059527A" w:rsidP="00B97C4F">
      <w:pPr>
        <w:spacing w:after="0" w:line="240" w:lineRule="auto"/>
      </w:pPr>
      <w:r>
        <w:continuationSeparator/>
      </w:r>
    </w:p>
  </w:footnote>
  <w:footnote w:type="continuationNotice" w:id="1">
    <w:p w14:paraId="384F4923" w14:textId="77777777" w:rsidR="0059527A" w:rsidRDefault="00595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60B5D"/>
    <w:rsid w:val="0016130B"/>
    <w:rsid w:val="001620D3"/>
    <w:rsid w:val="001640C2"/>
    <w:rsid w:val="0016677C"/>
    <w:rsid w:val="00166FED"/>
    <w:rsid w:val="001670FA"/>
    <w:rsid w:val="0017455B"/>
    <w:rsid w:val="00177EAE"/>
    <w:rsid w:val="00180614"/>
    <w:rsid w:val="00181744"/>
    <w:rsid w:val="00186297"/>
    <w:rsid w:val="001A0108"/>
    <w:rsid w:val="001A1EAC"/>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5054A2"/>
    <w:rsid w:val="00506786"/>
    <w:rsid w:val="0051108B"/>
    <w:rsid w:val="005111BC"/>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Value>244</Value>
      <Value>3465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4" ma:contentTypeDescription="Create a new document." ma:contentTypeScope="" ma:versionID="0ee44f936e68c4f119094fbc68db4abc">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e3596cca16cf2f765e50bd70db60f789"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4.xml><?xml version="1.0" encoding="utf-8"?>
<ds:datastoreItem xmlns:ds="http://schemas.openxmlformats.org/officeDocument/2006/customXml" ds:itemID="{D1F97E61-D91A-4B68-A3A1-86488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13152</Words>
  <Characters>7498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4</cp:revision>
  <cp:lastPrinted>2022-12-15T10:27:00Z</cp:lastPrinted>
  <dcterms:created xsi:type="dcterms:W3CDTF">2024-10-14T15:17:00Z</dcterms:created>
  <dcterms:modified xsi:type="dcterms:W3CDTF">2024-10-14T19:53:00Z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0x0101002990BBDC8FD9A04584EBA75A48D327E2</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