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rPr>
              <w:rFonts w:ascii="Times New Roman" w:hAnsi="Times New Roman" w:cs="Times New Roman"/>
              <w:lang w:val="lt-LT" w:eastAsia="lt-LT"/>
            </w:rPr>
          </w:pPr>
          <w:r>
            <w:rPr>
              <w:rFonts w:cs="Times New Roman" w:ascii="Times New Roman" w:hAnsi="Times New Roman"/>
              <w:lang w:val="lt-LT" w:eastAsia="lt-LT"/>
            </w:rPr>
            <w:t xml:space="preserve"> </w:t>
          </w:r>
        </w:p>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spacing w:lineRule="atLeast" w:line="20" w:before="0" w:after="120"/>
            <w:contextualSpacing/>
            <w:jc w:val="center"/>
            <w:rPr>
              <w:rFonts w:ascii="Times New Roman" w:hAnsi="Times New Roman" w:cs="Times New Roman"/>
              <w:b/>
              <w:bCs/>
              <w:sz w:val="32"/>
              <w:szCs w:val="32"/>
              <w:lang w:val="lt-LT"/>
            </w:rPr>
          </w:pPr>
          <w:r>
            <w:rPr>
              <w:rFonts w:cs="Times New Roman" w:ascii="Times New Roman" w:hAnsi="Times New Roman"/>
              <w:b/>
              <w:bCs/>
              <w:sz w:val="32"/>
              <w:szCs w:val="32"/>
              <w:lang w:val="lt-LT"/>
            </w:rPr>
            <w:t>HIGIENOS INSTITUTAS</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t>Įmonės kodas 111958286</w:t>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both"/>
                  <w:rPr>
                    <w:rFonts w:ascii="Times New Roman" w:hAnsi="Times New Roman" w:eastAsia="" w:cs="Times New Roman" w:eastAsiaTheme="majorEastAsia"/>
                    <w:b/>
                    <w:bCs/>
                    <w:color w:themeColor="accent1" w:val="4472C4"/>
                    <w:sz w:val="36"/>
                    <w:szCs w:val="36"/>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SUPAPRASTINTO ATVIRO VIEŠOJO PIRKIMO „„KVALIFIKACIJOS KĖLIMO UŽSIENYJE ORGANIZAVIMO PASLAUGOS (DALYVIO REGISTRACIJOS MOKESTIS“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rPr>
              <w:t>Pirkimo sąlygų paaiškinimai ir patikslinimai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11</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rPr>
              <w:t>Teisė ginčyti perkančiosios organizacijos veiksmus ar priimtus sprendimus</w:t>
              <w:tab/>
              <w:t>16</w:t>
            </w:r>
            <w:r>
              <w:rPr>
                <w:webHidden/>
              </w:rPr>
              <w:fldChar w:fldCharType="end"/>
            </w:r>
          </w:hyperlink>
          <w:r>
            <w:rPr>
              <w:rStyle w:val="IndexLink"/>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4323603"/>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1" w:name="_Toc124323604"/>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2" w:name="_Toc124323605"/>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Ref38446847"/>
      <w:bookmarkStart w:id="4" w:name="_Ref38446850"/>
      <w:bookmarkStart w:id="5" w:name="_Toc48053161"/>
      <w:bookmarkStart w:id="6" w:name="_Toc124323606"/>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Informacija apie Komisijos narius, kurie įgalioti palaikyti tiesioginį ryšį su tiekėjais ir gauti iš jų (ne </w:t>
      </w:r>
      <w:r>
        <w:rPr>
          <w:rFonts w:cs="Times New Roman" w:ascii="Times New Roman" w:hAnsi="Times New Roman"/>
          <w:lang w:val="lt-LT"/>
        </w:rPr>
        <w:t xml:space="preserve">tarpininkų)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Ref38446835"/>
      <w:bookmarkStart w:id="17" w:name="_Toc48053162"/>
      <w:bookmarkStart w:id="18" w:name="_Toc124323607"/>
      <w:r>
        <w:rPr>
          <w:rFonts w:cs="Times New Roman" w:ascii="Times New Roman" w:hAnsi="Times New Roman"/>
          <w:color w:val="auto"/>
          <w:lang w:val="lt-LT"/>
        </w:rPr>
        <w:t>Pirkimo sąlygų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4323608"/>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5"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5"/>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48053165"/>
      <w:bookmarkStart w:id="27" w:name="_Toc124323609"/>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48053166"/>
      <w:bookmarkStart w:id="29" w:name="_Toc124323610"/>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šiame skyriuje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7"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7"/>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4323611"/>
      <w:r>
        <w:rPr>
          <w:rFonts w:cs="Times New Roman" w:ascii="Times New Roman" w:hAnsi="Times New Roman"/>
          <w:color w:val="auto"/>
          <w:lang w:val="lt-LT"/>
        </w:rPr>
        <w:t>EBVPD pateikimo tvarka ir EBVPD pateikiamos informacijos patvirtinimo priemonės</w:t>
      </w:r>
      <w:bookmarkEnd w:id="38"/>
      <w:bookmarkEnd w:id="39"/>
      <w:bookmarkEnd w:id="40"/>
      <w:bookmarkEnd w:id="41"/>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2" w:name="_Ref39744259"/>
      <w:r>
        <w:rPr>
          <w:rFonts w:cs="Times New Roman" w:ascii="Times New Roman" w:hAnsi="Times New Roman"/>
          <w:sz w:val="24"/>
          <w:szCs w:val="24"/>
          <w:lang w:val="lt-LT"/>
        </w:rPr>
        <w:t>pasiūlymo teikimo metu žinomi subtiekėjai.</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Toc48053168"/>
      <w:bookmarkStart w:id="44" w:name="_Toc124323612"/>
      <w:bookmarkStart w:id="45" w:name="_Hlk90906609"/>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48053169"/>
      <w:bookmarkStart w:id="47" w:name="_Toc124323613"/>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Ref39668380"/>
      <w:bookmarkStart w:id="49" w:name="_Ref39668383"/>
      <w:bookmarkStart w:id="50" w:name="_Toc48053170"/>
      <w:bookmarkStart w:id="51" w:name="_Toc124323614"/>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2" w:name="_Ref39666794"/>
      <w:bookmarkStart w:id="73" w:name="_Ref39666796"/>
      <w:bookmarkStart w:id="74" w:name="_Toc48053171"/>
      <w:bookmarkStart w:id="75" w:name="_Toc124323615"/>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Hlk90910113"/>
      <w:bookmarkEnd w:id="76"/>
      <w:bookmarkEnd w:id="77"/>
      <w:bookmarkEnd w:id="78"/>
      <w:bookmarkEnd w:id="79"/>
      <w:bookmarkEnd w:id="80"/>
      <w:bookmarkEnd w:id="81"/>
      <w:bookmarkEnd w:id="82"/>
      <w:bookmarkEnd w:id="83"/>
      <w:bookmarkEnd w:id="84"/>
      <w:r>
        <w:rPr>
          <w:rFonts w:cs="Times New Roman" w:ascii="Times New Roman" w:hAnsi="Times New Roman"/>
          <w:color w:val="auto"/>
          <w:lang w:val="lt-LT"/>
        </w:rPr>
        <w:t>Reikalavimai pasiūlymų rengimui ir pateikimui</w:t>
      </w:r>
      <w:bookmarkEnd w:id="72"/>
      <w:bookmarkEnd w:id="73"/>
      <w:bookmarkEnd w:id="74"/>
      <w:bookmarkEnd w:id="75"/>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highlight w:val="yellow"/>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48053175"/>
      <w:bookmarkStart w:id="87" w:name="_Toc124323616"/>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8" w:name="_Ref39754676"/>
      <w:bookmarkStart w:id="89" w:name="_Hlk91497587"/>
      <w:bookmarkEnd w:id="89"/>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8"/>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45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0"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0"/>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1"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1"/>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2"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2"/>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4323617"/>
      <w:r>
        <w:rPr>
          <w:rFonts w:cs="Times New Roman" w:ascii="Times New Roman" w:hAnsi="Times New Roman"/>
          <w:color w:val="auto"/>
          <w:lang w:val="lt-LT"/>
        </w:rPr>
        <w:t>Susipažinimas su pasiūlymais</w:t>
      </w:r>
      <w:bookmarkEnd w:id="93"/>
      <w:bookmarkEnd w:id="94"/>
      <w:bookmarkEnd w:id="95"/>
      <w:bookmarkEnd w:id="96"/>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7" w:name="_Hlk91497725"/>
      <w:bookmarkEnd w:id="97"/>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4323618"/>
      <w:bookmarkStart w:id="105" w:name="_Ref39756072"/>
      <w:bookmarkEnd w:id="105"/>
      <w:r>
        <w:rPr>
          <w:rFonts w:cs="Times New Roman" w:ascii="Times New Roman" w:hAnsi="Times New Roman"/>
          <w:color w:val="auto"/>
          <w:lang w:val="lt-LT"/>
        </w:rPr>
        <w:t>Elektroninis aukcionas</w:t>
      </w:r>
      <w:bookmarkEnd w:id="99"/>
      <w:bookmarkEnd w:id="100"/>
      <w:bookmarkEnd w:id="101"/>
      <w:bookmarkEnd w:id="102"/>
      <w:bookmarkEnd w:id="103"/>
      <w:bookmarkEnd w:id="104"/>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4323619"/>
      <w:r>
        <w:rPr>
          <w:rFonts w:cs="Times New Roman" w:ascii="Times New Roman" w:hAnsi="Times New Roman"/>
          <w:color w:val="auto"/>
          <w:lang w:val="lt-LT"/>
        </w:rPr>
        <w:t>Pasiūlymų vertinimas</w:t>
      </w:r>
      <w:bookmarkEnd w:id="106"/>
      <w:bookmarkEnd w:id="107"/>
      <w:bookmarkEnd w:id="108"/>
      <w:bookmarkEnd w:id="109"/>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cs="Times New Roman" w:ascii="Times New Roman" w:hAnsi="Times New Roman"/>
          <w:sz w:val="24"/>
          <w:szCs w:val="24"/>
          <w:lang w:val="lt-LT"/>
        </w:rPr>
        <w:t xml:space="preserve">tiekėjams ir (ar) jų įgaliotiesiems atstovams </w:t>
      </w:r>
      <w:bookmarkEnd w:id="110"/>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1" w:name="_Toc124323620"/>
      <w:bookmarkStart w:id="112" w:name="_Toc48053179"/>
      <w:r>
        <w:rPr>
          <w:rFonts w:cs="Times New Roman" w:ascii="Times New Roman" w:hAnsi="Times New Roman"/>
          <w:color w:val="auto"/>
          <w:lang w:val="lt-LT"/>
        </w:rPr>
        <w:t xml:space="preserve">Pasiūlymų atmetimo </w:t>
      </w:r>
      <w:bookmarkEnd w:id="112"/>
      <w:r>
        <w:rPr>
          <w:rFonts w:cs="Times New Roman" w:ascii="Times New Roman" w:hAnsi="Times New Roman"/>
          <w:color w:val="auto"/>
          <w:lang w:val="lt-LT"/>
        </w:rPr>
        <w:t>pagrindai</w:t>
      </w:r>
      <w:bookmarkEnd w:id="111"/>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3" w:name="_Ref40443104"/>
      <w:bookmarkStart w:id="114" w:name="_Toc48053180"/>
      <w:bookmarkStart w:id="115" w:name="_Toc124323621"/>
      <w:r>
        <w:rPr>
          <w:rFonts w:cs="Times New Roman" w:ascii="Times New Roman" w:hAnsi="Times New Roman"/>
          <w:color w:val="auto"/>
          <w:lang w:val="lt-LT"/>
        </w:rPr>
        <w:t>Pasiūlymų eilė ir laimėtojo nustatymas</w:t>
      </w:r>
      <w:bookmarkEnd w:id="113"/>
      <w:bookmarkEnd w:id="114"/>
      <w:bookmarkEnd w:id="115"/>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6" w:name="_Toc124323622"/>
      <w:bookmarkStart w:id="117" w:name="_Hlk91498524"/>
      <w:r>
        <w:rPr>
          <w:rFonts w:cs="Times New Roman" w:ascii="Times New Roman" w:hAnsi="Times New Roman"/>
          <w:color w:val="auto"/>
          <w:lang w:val="lt-LT"/>
        </w:rPr>
        <w:t>Informavimas apie pirkimo procedūrų rezultatus</w:t>
      </w:r>
      <w:bookmarkEnd w:id="116"/>
      <w:bookmarkEnd w:id="117"/>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4323623"/>
      <w:r>
        <w:rPr>
          <w:rFonts w:cs="Times New Roman" w:ascii="Times New Roman" w:hAnsi="Times New Roman"/>
          <w:color w:val="auto"/>
          <w:lang w:val="lt-LT"/>
        </w:rPr>
        <w:t>Sutarties sudarymas</w:t>
      </w:r>
      <w:bookmarkEnd w:id="118"/>
      <w:bookmarkEnd w:id="119"/>
      <w:bookmarkEnd w:id="120"/>
      <w:bookmarkEnd w:id="121"/>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2" w:name="_Hlk91498650"/>
      <w:r>
        <w:rPr>
          <w:rFonts w:cs="Times New Roman" w:ascii="Times New Roman" w:hAnsi="Times New Roman"/>
          <w:color w:val="auto"/>
          <w:lang w:val="lt-LT"/>
        </w:rPr>
        <w:t xml:space="preserve"> </w:t>
      </w:r>
      <w:bookmarkStart w:id="123" w:name="_Toc124323624"/>
      <w:r>
        <w:rPr>
          <w:rFonts w:cs="Times New Roman" w:ascii="Times New Roman" w:hAnsi="Times New Roman"/>
          <w:color w:val="auto"/>
          <w:lang w:val="lt-LT"/>
        </w:rPr>
        <w:t>Teisė ginčyti perkančiosios organizacijos veiksmus ar priimtus sprendimus</w:t>
      </w:r>
      <w:bookmarkEnd w:id="123"/>
      <w:r>
        <w:rPr>
          <w:rFonts w:cs="Times New Roman" w:ascii="Times New Roman" w:hAnsi="Times New Roman"/>
          <w:color w:val="auto"/>
          <w:lang w:val="lt-LT"/>
        </w:rPr>
        <w:tab/>
      </w:r>
      <w:bookmarkEnd w:id="122"/>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1208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 xml:space="preserve"> </w:t>
      </w:r>
      <w:hyperlink r:id="rId2">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C21BEC"/>
    <w:rsid w:val="00C40F63"/>
    <w:rsid w:val="00D23DD6"/>
    <w:rsid w:val="00D63C44"/>
    <w:rsid w:val="00D8236E"/>
    <w:rsid w:val="00D93133"/>
    <w:rsid w:val="00D953CC"/>
    <w:rsid w:val="00DC4FE0"/>
    <w:rsid w:val="00E147EE"/>
    <w:rsid w:val="00EB0EF1"/>
    <w:rsid w:val="00F06192"/>
    <w:rsid w:val="00F11B5C"/>
    <w:rsid w:val="00F2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2021-11-30T00:00:00</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0509-2127-42F5-99A1-D41152ABD87D}">
  <ds:schemaRefs>
    <ds:schemaRef ds:uri="http://schemas.microsoft.com/sharepoint/v3/contenttype/forms"/>
  </ds:schemaRefs>
</ds:datastoreItem>
</file>

<file path=customXml/itemProps2.xml><?xml version="1.0" encoding="utf-8"?>
<ds:datastoreItem xmlns:ds="http://schemas.openxmlformats.org/officeDocument/2006/customXml" ds:itemID="{B0AD0BB2-AA29-4C42-B0B9-82A5175D7DDE}">
  <ds:schemaRefs>
    <ds:schemaRef ds:uri="http://schemas.microsoft.com/office/2006/coverPageProps"/>
  </ds:schemaRefs>
</ds:datastoreItem>
</file>

<file path=customXml/itemProps3.xml><?xml version="1.0" encoding="utf-8"?>
<ds:datastoreItem xmlns:ds="http://schemas.openxmlformats.org/officeDocument/2006/customXml" ds:itemID="{FC714FAA-E114-48BC-9713-135D54D0AA78}">
  <ds:schemaRefs>
    <ds:schemaRef ds:uri="http://schemas.microsoft.com/office/2006/metadata/properties"/>
    <ds:schemaRef ds:uri="http://schemas.microsoft.com/office/infopath/2007/PartnerControls"/>
    <ds:schemaRef ds:uri="bd2a18c2-06d4-44cd-af38-3237b532008a"/>
  </ds:schemaRefs>
</ds:datastoreItem>
</file>

<file path=customXml/itemProps4.xml><?xml version="1.0" encoding="utf-8"?>
<ds:datastoreItem xmlns:ds="http://schemas.openxmlformats.org/officeDocument/2006/customXml" ds:itemID="{77713DC7-F3FC-4C28-97A8-862AA354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2D03DF-3508-4EB5-BAD3-CA03DF88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LibreOffice/7.6.4.1$Windows_X86_64 LibreOffice_project/e19e193f88cd6c0525a17fb7a176ed8e6a3e2aa1</Application>
  <AppVersion>15.0000</AppVersion>
  <Pages>15</Pages>
  <Words>6755</Words>
  <Characters>49171</Characters>
  <CharactersWithSpaces>55618</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2023-12-15T12:45:00Z</dcterms:created>
  <dc:creator>Arūnė Andrulionienė</dc:creator>
  <dc:description/>
  <dc:language>en-US</dc:language>
  <cp:lastModifiedBy>Juratė Miceikienė</cp:lastModifiedBy>
  <cp:lastPrinted>2023-02-06T12:15:00Z</cp:lastPrinted>
  <dcterms:modified xsi:type="dcterms:W3CDTF">2025-02-25T14:37:00Z</dcterms:modified>
  <cp:revision>3</cp:revision>
  <dc:subject>2023-xx-xx versija, skelbiama https://vpt.lrv.lt/</dc:subject>
  <dc:title>SUPAPRASTINTO ATVIRO VIEŠOJO PIRKIMO „„KVALIFIKACIJOS KĖLIMO UŽSIENYJE ORGANIZAVIMO PASLAUGOS (DALYVIO REGISTRACIJOS MOKESTIS“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