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0E1" w14:textId="689E06FC" w:rsidR="00363C7B" w:rsidRPr="008734B7" w:rsidRDefault="00363C7B" w:rsidP="00FB1D27">
      <w:pPr>
        <w:spacing w:line="240" w:lineRule="auto"/>
        <w:jc w:val="right"/>
        <w:rPr>
          <w:szCs w:val="20"/>
        </w:rPr>
      </w:pPr>
      <w:r w:rsidRPr="008734B7">
        <w:rPr>
          <w:szCs w:val="20"/>
        </w:rPr>
        <w:t>Pirkimo sąlygų 2 priedas „Techninė specifikacija“</w:t>
      </w:r>
    </w:p>
    <w:p w14:paraId="7461D41F" w14:textId="77777777" w:rsidR="00363C7B" w:rsidRPr="008734B7" w:rsidRDefault="00363C7B" w:rsidP="00FB1D27">
      <w:pPr>
        <w:spacing w:line="240" w:lineRule="auto"/>
        <w:jc w:val="right"/>
        <w:rPr>
          <w:szCs w:val="20"/>
        </w:rPr>
      </w:pPr>
    </w:p>
    <w:p w14:paraId="7C356B51" w14:textId="16F6965C" w:rsidR="00EA6E7C" w:rsidRPr="008734B7" w:rsidRDefault="00DB325F" w:rsidP="00FB1D27">
      <w:pPr>
        <w:spacing w:after="0" w:line="240" w:lineRule="auto"/>
        <w:jc w:val="center"/>
        <w:rPr>
          <w:b/>
          <w:bCs/>
          <w:szCs w:val="20"/>
        </w:rPr>
      </w:pPr>
      <w:r w:rsidRPr="008734B7">
        <w:rPr>
          <w:b/>
          <w:bCs/>
          <w:szCs w:val="20"/>
        </w:rPr>
        <w:t xml:space="preserve">AVID PROGRAMINĖS </w:t>
      </w:r>
      <w:r w:rsidR="008734B7">
        <w:rPr>
          <w:b/>
          <w:bCs/>
          <w:szCs w:val="20"/>
        </w:rPr>
        <w:t>Į</w:t>
      </w:r>
      <w:r w:rsidRPr="008734B7">
        <w:rPr>
          <w:b/>
          <w:bCs/>
          <w:szCs w:val="20"/>
        </w:rPr>
        <w:t>RANGOS</w:t>
      </w:r>
      <w:r w:rsidR="00EA6E7C" w:rsidRPr="008734B7">
        <w:rPr>
          <w:b/>
          <w:bCs/>
          <w:szCs w:val="20"/>
        </w:rPr>
        <w:t xml:space="preserve"> </w:t>
      </w:r>
      <w:r w:rsidR="005B53C3">
        <w:rPr>
          <w:b/>
          <w:bCs/>
          <w:szCs w:val="20"/>
        </w:rPr>
        <w:t xml:space="preserve">PALAIKYMO PASLAUGŲ </w:t>
      </w:r>
      <w:r w:rsidR="00EA6E7C" w:rsidRPr="008734B7">
        <w:rPr>
          <w:b/>
          <w:bCs/>
          <w:szCs w:val="20"/>
        </w:rPr>
        <w:t>PIRKIMO</w:t>
      </w:r>
    </w:p>
    <w:p w14:paraId="2862F9B7" w14:textId="77777777" w:rsidR="00EA6E7C" w:rsidRPr="008734B7" w:rsidRDefault="00EA6E7C" w:rsidP="00FB1D27">
      <w:pPr>
        <w:spacing w:after="0" w:line="240" w:lineRule="auto"/>
        <w:jc w:val="center"/>
        <w:rPr>
          <w:b/>
          <w:bCs/>
          <w:szCs w:val="20"/>
        </w:rPr>
      </w:pPr>
      <w:r w:rsidRPr="008734B7">
        <w:rPr>
          <w:b/>
          <w:bCs/>
          <w:szCs w:val="20"/>
        </w:rPr>
        <w:t>TECHNINĖ SPECIFIKACIJA</w:t>
      </w:r>
    </w:p>
    <w:p w14:paraId="114AE8A2" w14:textId="77777777" w:rsidR="00EA6E7C" w:rsidRPr="008734B7" w:rsidRDefault="00EA6E7C" w:rsidP="00FB1D27">
      <w:pPr>
        <w:spacing w:after="0" w:line="240" w:lineRule="auto"/>
        <w:jc w:val="center"/>
        <w:rPr>
          <w:b/>
          <w:bCs/>
          <w:szCs w:val="20"/>
        </w:rPr>
      </w:pPr>
    </w:p>
    <w:p w14:paraId="78CCF486" w14:textId="3F7FA4D1" w:rsidR="00DB325F" w:rsidRPr="00F82A0F" w:rsidRDefault="00DB325F" w:rsidP="00DB325F">
      <w:pPr>
        <w:spacing w:after="0" w:line="240" w:lineRule="auto"/>
        <w:ind w:firstLine="567"/>
        <w:jc w:val="both"/>
        <w:rPr>
          <w:rFonts w:eastAsia="TimesNewRomanPSMT"/>
          <w:szCs w:val="20"/>
          <w:lang w:eastAsia="lt-LT"/>
        </w:rPr>
      </w:pPr>
      <w:r w:rsidRPr="00F82A0F">
        <w:rPr>
          <w:rFonts w:eastAsia="TimesNewRomanPSMT"/>
          <w:szCs w:val="20"/>
          <w:lang w:eastAsia="lt-LT"/>
        </w:rPr>
        <w:t xml:space="preserve">1. </w:t>
      </w:r>
      <w:r w:rsidR="00363C7B" w:rsidRPr="00F82A0F">
        <w:rPr>
          <w:rFonts w:eastAsia="TimesNewRomanPSMT"/>
          <w:szCs w:val="20"/>
          <w:lang w:eastAsia="lt-LT"/>
        </w:rPr>
        <w:t>VšĮ Lietuvos nacionalinis radijas ir televizija (toliau – Perkančioji organizacija)</w:t>
      </w:r>
      <w:r w:rsidRPr="00F82A0F">
        <w:rPr>
          <w:rFonts w:eastAsia="TimesNewRomanPSMT"/>
          <w:szCs w:val="20"/>
          <w:lang w:eastAsia="lt-LT"/>
        </w:rPr>
        <w:t xml:space="preserve"> siekia įsigyti turimos ir naudojamos medija valdymo ir archyvavimo programinės įrangos AVID (toliau – Įranga) palaikymo paslaugas (toliau - Paslaugos).</w:t>
      </w:r>
    </w:p>
    <w:p w14:paraId="3C6D28A9" w14:textId="1752CB06" w:rsidR="00DB325F" w:rsidRPr="008734B7" w:rsidRDefault="00DB325F" w:rsidP="00DB325F">
      <w:pPr>
        <w:spacing w:after="0" w:line="240" w:lineRule="auto"/>
        <w:ind w:firstLine="567"/>
        <w:jc w:val="both"/>
        <w:rPr>
          <w:rFonts w:eastAsia="TimesNewRomanPSMT"/>
          <w:lang w:eastAsia="lt-LT"/>
        </w:rPr>
      </w:pPr>
      <w:r w:rsidRPr="00F82A0F">
        <w:rPr>
          <w:rFonts w:eastAsia="TimesNewRomanPSMT"/>
          <w:lang w:eastAsia="lt-LT"/>
        </w:rPr>
        <w:t xml:space="preserve">2. </w:t>
      </w:r>
      <w:r w:rsidR="00363C7B" w:rsidRPr="00F82A0F">
        <w:rPr>
          <w:rFonts w:eastAsia="TimesNewRomanPSMT"/>
          <w:lang w:eastAsia="lt-LT"/>
        </w:rPr>
        <w:t>Šiuo metu Perkančio</w:t>
      </w:r>
      <w:r w:rsidR="000C72D5" w:rsidRPr="00F82A0F">
        <w:rPr>
          <w:rFonts w:eastAsia="TimesNewRomanPSMT"/>
          <w:lang w:eastAsia="lt-LT"/>
        </w:rPr>
        <w:t xml:space="preserve">ji </w:t>
      </w:r>
      <w:r w:rsidR="00363C7B" w:rsidRPr="00F82A0F">
        <w:rPr>
          <w:rFonts w:eastAsia="TimesNewRomanPSMT"/>
          <w:lang w:eastAsia="lt-LT"/>
        </w:rPr>
        <w:t>organizacij</w:t>
      </w:r>
      <w:r w:rsidR="000C72D5" w:rsidRPr="00F82A0F">
        <w:rPr>
          <w:rFonts w:eastAsia="TimesNewRomanPSMT"/>
          <w:lang w:eastAsia="lt-LT"/>
        </w:rPr>
        <w:t xml:space="preserve">a </w:t>
      </w:r>
      <w:r w:rsidR="000C72D5" w:rsidRPr="00F82A0F">
        <w:t xml:space="preserve">naudoja </w:t>
      </w:r>
      <w:r w:rsidRPr="00F82A0F">
        <w:rPr>
          <w:rFonts w:eastAsia="TimesNewRomanPSMT"/>
          <w:lang w:eastAsia="lt-LT"/>
        </w:rPr>
        <w:t>medija valdymo ir archyvavimo programinę įrangą AVID, kurią įsigijo</w:t>
      </w:r>
      <w:r w:rsidR="00786344" w:rsidRPr="00F82A0F">
        <w:rPr>
          <w:rFonts w:eastAsia="TimesNewRomanPSMT"/>
          <w:lang w:eastAsia="lt-LT"/>
        </w:rPr>
        <w:t xml:space="preserve"> iš </w:t>
      </w:r>
      <w:r w:rsidR="00BE13AB" w:rsidRPr="00F82A0F">
        <w:rPr>
          <w:rFonts w:eastAsia="TimesNewRomanPSMT"/>
          <w:lang w:eastAsia="lt-LT"/>
        </w:rPr>
        <w:t xml:space="preserve">Europos Sąjungos struktūrinių fondų lėšų </w:t>
      </w:r>
      <w:r w:rsidR="0070129B" w:rsidRPr="00F82A0F">
        <w:rPr>
          <w:rFonts w:eastAsia="TimesNewRomanPSMT"/>
          <w:lang w:eastAsia="lt-LT"/>
        </w:rPr>
        <w:t>bendrai finansuojamo projekto Nr. 02.3.1-CPVA-V-</w:t>
      </w:r>
      <w:r w:rsidR="00A13C13" w:rsidRPr="00F82A0F">
        <w:rPr>
          <w:rFonts w:eastAsia="TimesNewRomanPSMT"/>
          <w:lang w:eastAsia="lt-LT"/>
        </w:rPr>
        <w:t xml:space="preserve">526-01-0005 „Naujos kartos elektroninių paslaugų kūrimas LRT archyvo </w:t>
      </w:r>
      <w:r w:rsidR="007162E7" w:rsidRPr="00F82A0F">
        <w:rPr>
          <w:rFonts w:eastAsia="TimesNewRomanPSMT"/>
          <w:lang w:eastAsia="lt-LT"/>
        </w:rPr>
        <w:t>duomenų pagrindu“</w:t>
      </w:r>
      <w:r w:rsidR="00F82A0F">
        <w:rPr>
          <w:rFonts w:eastAsia="TimesNewRomanPSMT"/>
          <w:lang w:eastAsia="lt-LT"/>
        </w:rPr>
        <w:t xml:space="preserve"> bei įsipareigojo palaikyti Įrangą ne trumpiau nei 5 metus po projekto finansavimo pabaigos.</w:t>
      </w:r>
      <w:r w:rsidR="00636FEC">
        <w:rPr>
          <w:rFonts w:eastAsia="TimesNewRomanPSMT"/>
          <w:lang w:eastAsia="lt-LT"/>
        </w:rPr>
        <w:t xml:space="preserve"> </w:t>
      </w:r>
      <w:r w:rsidR="00BE13AB">
        <w:rPr>
          <w:rFonts w:eastAsia="TimesNewRomanPSMT"/>
          <w:lang w:eastAsia="lt-LT"/>
        </w:rPr>
        <w:t xml:space="preserve"> </w:t>
      </w:r>
      <w:r w:rsidRPr="110C3564">
        <w:rPr>
          <w:rFonts w:eastAsia="TimesNewRomanPSMT"/>
          <w:lang w:eastAsia="lt-LT"/>
        </w:rPr>
        <w:t xml:space="preserve"> </w:t>
      </w:r>
    </w:p>
    <w:p w14:paraId="589E6482" w14:textId="77777777" w:rsidR="00DB325F" w:rsidRPr="008734B7" w:rsidRDefault="00DB325F" w:rsidP="00DB325F">
      <w:pPr>
        <w:spacing w:after="0" w:line="240" w:lineRule="auto"/>
        <w:ind w:firstLine="567"/>
        <w:jc w:val="both"/>
        <w:rPr>
          <w:rFonts w:eastAsia="TimesNewRomanPSMT"/>
          <w:szCs w:val="20"/>
          <w:lang w:eastAsia="lt-LT"/>
        </w:rPr>
      </w:pPr>
      <w:r w:rsidRPr="008734B7">
        <w:rPr>
          <w:rFonts w:eastAsia="TimesNewRomanPSMT"/>
          <w:szCs w:val="20"/>
          <w:lang w:eastAsia="lt-LT"/>
        </w:rPr>
        <w:t xml:space="preserve">3. </w:t>
      </w:r>
      <w:r w:rsidR="00363C7B" w:rsidRPr="008734B7">
        <w:rPr>
          <w:rFonts w:eastAsia="TimesNewRomanPSMT"/>
          <w:szCs w:val="20"/>
          <w:lang w:eastAsia="lt-LT"/>
        </w:rPr>
        <w:t>Šiuo pirkimu siekia</w:t>
      </w:r>
      <w:r w:rsidR="001036FE" w:rsidRPr="008734B7">
        <w:rPr>
          <w:rFonts w:eastAsia="TimesNewRomanPSMT"/>
          <w:szCs w:val="20"/>
          <w:lang w:eastAsia="lt-LT"/>
        </w:rPr>
        <w:t>ma</w:t>
      </w:r>
      <w:r w:rsidR="00363C7B" w:rsidRPr="008734B7">
        <w:rPr>
          <w:rFonts w:eastAsia="TimesNewRomanPSMT"/>
          <w:szCs w:val="20"/>
          <w:lang w:eastAsia="lt-LT"/>
        </w:rPr>
        <w:t xml:space="preserve"> pratęsti </w:t>
      </w:r>
      <w:r w:rsidRPr="008734B7">
        <w:rPr>
          <w:rFonts w:eastAsia="TimesNewRomanPSMT"/>
          <w:szCs w:val="20"/>
          <w:lang w:eastAsia="lt-LT"/>
        </w:rPr>
        <w:t xml:space="preserve">turimos </w:t>
      </w:r>
      <w:r w:rsidR="004B20F1" w:rsidRPr="008734B7">
        <w:rPr>
          <w:rFonts w:eastAsia="TimesNewRomanPSMT"/>
          <w:szCs w:val="20"/>
          <w:lang w:eastAsia="lt-LT"/>
        </w:rPr>
        <w:t>Į</w:t>
      </w:r>
      <w:r w:rsidR="00363C7B" w:rsidRPr="008734B7">
        <w:rPr>
          <w:rFonts w:eastAsia="TimesNewRomanPSMT"/>
          <w:szCs w:val="20"/>
          <w:lang w:eastAsia="lt-LT"/>
        </w:rPr>
        <w:t>rangos</w:t>
      </w:r>
      <w:r w:rsidR="004B20F1" w:rsidRPr="008734B7">
        <w:rPr>
          <w:rFonts w:eastAsia="TimesNewRomanPSMT"/>
          <w:szCs w:val="20"/>
          <w:lang w:eastAsia="lt-LT"/>
        </w:rPr>
        <w:t xml:space="preserve"> </w:t>
      </w:r>
      <w:r w:rsidR="00363C7B" w:rsidRPr="008734B7">
        <w:rPr>
          <w:rFonts w:eastAsia="TimesNewRomanPSMT"/>
          <w:szCs w:val="20"/>
          <w:lang w:eastAsia="lt-LT"/>
        </w:rPr>
        <w:t>p</w:t>
      </w:r>
      <w:r w:rsidRPr="008734B7">
        <w:rPr>
          <w:rFonts w:eastAsia="TimesNewRomanPSMT"/>
          <w:szCs w:val="20"/>
          <w:lang w:eastAsia="lt-LT"/>
        </w:rPr>
        <w:t>alaikymą.</w:t>
      </w:r>
    </w:p>
    <w:p w14:paraId="671D621C" w14:textId="04CE83A5" w:rsidR="00DB325F" w:rsidRPr="008734B7" w:rsidRDefault="00DB325F" w:rsidP="00DB325F">
      <w:pPr>
        <w:spacing w:after="0" w:line="240" w:lineRule="auto"/>
        <w:ind w:firstLine="567"/>
        <w:jc w:val="both"/>
        <w:rPr>
          <w:rFonts w:eastAsia="TimesNewRomanPSMT"/>
          <w:szCs w:val="20"/>
          <w:lang w:eastAsia="lt-LT"/>
        </w:rPr>
      </w:pPr>
      <w:r w:rsidRPr="008734B7">
        <w:rPr>
          <w:rFonts w:eastAsia="TimesNewRomanPSMT"/>
          <w:szCs w:val="20"/>
          <w:lang w:eastAsia="lt-LT"/>
        </w:rPr>
        <w:t xml:space="preserve">4. </w:t>
      </w:r>
      <w:r w:rsidRPr="008734B7">
        <w:rPr>
          <w:szCs w:val="20"/>
        </w:rPr>
        <w:t xml:space="preserve">Įranga, kuriai teikiamos Paslaugos, nurodyta šios techninės specifikacijos </w:t>
      </w:r>
      <w:r w:rsidR="008734B7" w:rsidRPr="008734B7">
        <w:rPr>
          <w:szCs w:val="20"/>
        </w:rPr>
        <w:t>2-oje lentelėje</w:t>
      </w:r>
      <w:r w:rsidRPr="008734B7">
        <w:rPr>
          <w:szCs w:val="20"/>
        </w:rPr>
        <w:t xml:space="preserve">. Paslaugos, atitinkančios techninės specifikacijos reikalavimus, turi būti teikiamos adresu S. Konarskio g. 49, 03123 Vilnius, arba nuotoliniu būdu. Pirmenybė teikiama nuotoliniam Paslaugų teikimui, o jei nuotoliniu būdu Paslaugų suteikti neįmanoma, jos turi būti teikiamos fiziškai atvykus į Perkančiosios organizacijos buveinę. </w:t>
      </w:r>
    </w:p>
    <w:p w14:paraId="10E673C2" w14:textId="77777777" w:rsidR="00DB325F" w:rsidRPr="008734B7" w:rsidRDefault="00DB325F" w:rsidP="00DB325F">
      <w:pPr>
        <w:spacing w:after="0" w:line="240" w:lineRule="auto"/>
        <w:ind w:firstLine="567"/>
        <w:jc w:val="both"/>
        <w:rPr>
          <w:rFonts w:eastAsia="TimesNewRomanPSMT"/>
          <w:szCs w:val="20"/>
          <w:lang w:eastAsia="lt-LT"/>
        </w:rPr>
      </w:pPr>
      <w:r w:rsidRPr="008734B7">
        <w:rPr>
          <w:rFonts w:eastAsia="TimesNewRomanPSMT"/>
          <w:szCs w:val="20"/>
          <w:lang w:eastAsia="lt-LT"/>
        </w:rPr>
        <w:t xml:space="preserve">5. </w:t>
      </w:r>
      <w:r w:rsidRPr="008734B7">
        <w:rPr>
          <w:rFonts w:eastAsia="Times New Roman"/>
          <w:szCs w:val="20"/>
          <w:lang w:eastAsia="lt-LT"/>
        </w:rPr>
        <w:t>Paslaugų teikimo terminas – 12 (dvylika) mėnesių, Paslaugas pradedant teikti pasirašius ir įsigaliojus Sutarčiai, bet ne anksčiau kaip nuo 2025 m. birželio 16 d., 00:00 val. Jei Sutartis pasirašoma ir įsigalioja vėliau nei 2025 m. birželio 16 d., 00:00 val., Paslaugos teikiamos 12 (dvylika) mėnesių nuo sekančios Sutarties pasirašymo ir įsigaliojimo dienos, 00:00 val. Paslaugų teikimo terminas gali būti pratęstas ne daugiau kaip 2 (du) kartus po 12 (dvylika) mėnesių sutartyje numatytomis sąlygomis. </w:t>
      </w:r>
    </w:p>
    <w:p w14:paraId="6CF0BAEC" w14:textId="77777777" w:rsidR="00DB325F" w:rsidRPr="008734B7" w:rsidRDefault="00DB325F" w:rsidP="00DB325F">
      <w:pPr>
        <w:spacing w:after="0" w:line="240" w:lineRule="auto"/>
        <w:ind w:firstLine="567"/>
        <w:jc w:val="both"/>
        <w:rPr>
          <w:rFonts w:eastAsia="Times New Roman"/>
          <w:b/>
          <w:bCs/>
          <w:szCs w:val="20"/>
          <w:lang w:eastAsia="lt-LT"/>
        </w:rPr>
      </w:pPr>
      <w:r w:rsidRPr="008734B7">
        <w:rPr>
          <w:rFonts w:eastAsia="TimesNewRomanPSMT"/>
          <w:b/>
          <w:bCs/>
          <w:szCs w:val="20"/>
          <w:lang w:eastAsia="lt-LT"/>
        </w:rPr>
        <w:t>6. Konkretūs r</w:t>
      </w:r>
      <w:r w:rsidR="00363C7B" w:rsidRPr="008734B7">
        <w:rPr>
          <w:rFonts w:eastAsia="Times New Roman"/>
          <w:b/>
          <w:bCs/>
          <w:szCs w:val="20"/>
          <w:lang w:eastAsia="lt-LT"/>
        </w:rPr>
        <w:t>eikalavimai Paslaugoms:</w:t>
      </w:r>
    </w:p>
    <w:p w14:paraId="7EB9A55E" w14:textId="77777777" w:rsidR="00DB325F" w:rsidRPr="008734B7" w:rsidRDefault="00DB325F" w:rsidP="43B6465A">
      <w:pPr>
        <w:spacing w:after="0" w:line="240" w:lineRule="auto"/>
        <w:ind w:firstLine="567"/>
        <w:jc w:val="both"/>
        <w:rPr>
          <w:rFonts w:eastAsia="Times New Roman"/>
          <w:b/>
          <w:lang w:eastAsia="lt-LT"/>
        </w:rPr>
      </w:pPr>
      <w:r w:rsidRPr="43B6465A">
        <w:rPr>
          <w:rFonts w:eastAsia="Times New Roman"/>
          <w:lang w:eastAsia="lt-LT"/>
        </w:rPr>
        <w:t xml:space="preserve">6.1. </w:t>
      </w:r>
      <w:r w:rsidRPr="43B6465A">
        <w:t xml:space="preserve">Paslaugų teikėjas privalo suteikti LRT nepertraukiamą prieigą prie Įrangos gamintojo žinių bazės (angl. </w:t>
      </w:r>
      <w:r w:rsidRPr="7BED82D1">
        <w:rPr>
          <w:i/>
        </w:rPr>
        <w:t>knowledge base</w:t>
      </w:r>
      <w:r w:rsidRPr="43B6465A">
        <w:t>) ir produktų forumų (</w:t>
      </w:r>
      <w:hyperlink r:id="rId8">
        <w:r w:rsidRPr="43B6465A">
          <w:rPr>
            <w:rStyle w:val="Hyperlink"/>
          </w:rPr>
          <w:t>www.avid.com/support</w:t>
        </w:r>
      </w:hyperlink>
      <w:r w:rsidRPr="43B6465A">
        <w:t>), užtikrindamas galimybę jais naudotis 24 valandas per parą, 7 dienas per savaitę (24x7) visą Paslaugų teikimo laikotarpį. Paslaugų teikėjas taip pat privalo suteikti visus reikalingus prisijungimo duomenis ir užtikrinti jų tinkamą veikimą.</w:t>
      </w:r>
    </w:p>
    <w:p w14:paraId="1E28C525" w14:textId="77777777" w:rsidR="00DB325F" w:rsidRPr="008734B7" w:rsidRDefault="00DB325F" w:rsidP="43B6465A">
      <w:pPr>
        <w:spacing w:after="0" w:line="240" w:lineRule="auto"/>
        <w:ind w:firstLine="567"/>
        <w:jc w:val="both"/>
        <w:rPr>
          <w:rFonts w:eastAsia="Times New Roman"/>
          <w:b/>
          <w:lang w:eastAsia="lt-LT"/>
        </w:rPr>
      </w:pPr>
      <w:r w:rsidRPr="43B6465A">
        <w:rPr>
          <w:rFonts w:eastAsia="Times New Roman"/>
          <w:lang w:eastAsia="lt-LT"/>
        </w:rPr>
        <w:t>6.2.</w:t>
      </w:r>
      <w:r w:rsidRPr="7BED82D1">
        <w:rPr>
          <w:rFonts w:eastAsia="Times New Roman"/>
          <w:b/>
          <w:lang w:eastAsia="lt-LT"/>
        </w:rPr>
        <w:t xml:space="preserve"> </w:t>
      </w:r>
      <w:r w:rsidRPr="43B6465A">
        <w:t>LRT visą Paslaugų teikimo laikotarpį suteiks Paslaugų teikėjui nuotolinį prisijungimą prie Įrangos, reikalingą Paslaugoms teikti. Esant būtinybei ir iš anksto suderinus, LRT taip pat suteiks Paslaugų teikėjui tiesioginį nuotolinį prisijungimą per Privilegijuotos prieigos valdymo sistemą (angl. Privileged Access Management, PAM), užtikrinančią saugų ir kontroliuojamą prieigos valdymą. Šis prisijungimas bus suteikiamas tik konkrečios užduoties vykdymui ir tik ribotam laikotarpiui.</w:t>
      </w:r>
    </w:p>
    <w:p w14:paraId="546D5263" w14:textId="77777777" w:rsidR="0034044C" w:rsidRPr="00BA7D5D" w:rsidRDefault="00DB325F" w:rsidP="0034044C">
      <w:pPr>
        <w:spacing w:after="0" w:line="240" w:lineRule="auto"/>
        <w:ind w:firstLine="567"/>
        <w:jc w:val="both"/>
        <w:rPr>
          <w:rFonts w:eastAsia="Times New Roman"/>
          <w:b/>
          <w:bCs/>
          <w:szCs w:val="20"/>
          <w:lang w:eastAsia="lt-LT"/>
        </w:rPr>
      </w:pPr>
      <w:r w:rsidRPr="00BA7D5D">
        <w:rPr>
          <w:rFonts w:eastAsia="Times New Roman"/>
          <w:szCs w:val="20"/>
          <w:lang w:eastAsia="lt-LT"/>
        </w:rPr>
        <w:t>6.3.</w:t>
      </w:r>
      <w:r w:rsidRPr="00BA7D5D">
        <w:rPr>
          <w:rFonts w:eastAsia="Times New Roman"/>
          <w:b/>
          <w:bCs/>
          <w:szCs w:val="20"/>
          <w:lang w:eastAsia="lt-LT"/>
        </w:rPr>
        <w:t xml:space="preserve"> </w:t>
      </w:r>
      <w:r w:rsidRPr="00BA7D5D">
        <w:rPr>
          <w:szCs w:val="20"/>
        </w:rPr>
        <w:t>Reikalavimai Įrangos gedimų registravimui ir sprendimui:</w:t>
      </w:r>
    </w:p>
    <w:p w14:paraId="041DDAAA" w14:textId="4D6CF18A" w:rsidR="0034044C" w:rsidRPr="00BA7D5D" w:rsidRDefault="0034044C" w:rsidP="37F75D11">
      <w:pPr>
        <w:spacing w:after="0" w:line="240" w:lineRule="auto"/>
        <w:ind w:firstLine="567"/>
        <w:jc w:val="both"/>
        <w:rPr>
          <w:rFonts w:eastAsia="Times New Roman"/>
          <w:b/>
          <w:bCs/>
          <w:lang w:eastAsia="lt-LT"/>
        </w:rPr>
      </w:pPr>
      <w:r w:rsidRPr="00BA7D5D">
        <w:rPr>
          <w:rFonts w:eastAsia="Times New Roman"/>
          <w:lang w:eastAsia="lt-LT"/>
        </w:rPr>
        <w:t xml:space="preserve">6.3.1. </w:t>
      </w:r>
      <w:r w:rsidR="00DB325F" w:rsidRPr="00BA7D5D">
        <w:t>Perkančioji organizacija turi galėti registruoti Įrangos gedimus internetu bet kuriuo paros metu</w:t>
      </w:r>
      <w:r w:rsidRPr="00BA7D5D">
        <w:t>,</w:t>
      </w:r>
      <w:r w:rsidR="00DB325F" w:rsidRPr="00BA7D5D">
        <w:t xml:space="preserve"> visą Paslaugų teikimo laikotarpį, įskaitant savaitgalius ir šventines dienas.</w:t>
      </w:r>
    </w:p>
    <w:p w14:paraId="7150761F" w14:textId="220E81CE" w:rsidR="0034044C" w:rsidRPr="00BA7D5D" w:rsidRDefault="0034044C" w:rsidP="0034044C">
      <w:pPr>
        <w:spacing w:after="0" w:line="240" w:lineRule="auto"/>
        <w:ind w:firstLine="567"/>
        <w:jc w:val="both"/>
        <w:rPr>
          <w:szCs w:val="20"/>
        </w:rPr>
      </w:pPr>
      <w:r w:rsidRPr="00BA7D5D">
        <w:rPr>
          <w:rFonts w:eastAsia="Times New Roman"/>
          <w:szCs w:val="20"/>
          <w:lang w:eastAsia="lt-LT"/>
        </w:rPr>
        <w:t>6.3.2.</w:t>
      </w:r>
      <w:r w:rsidRPr="00BA7D5D">
        <w:rPr>
          <w:rFonts w:eastAsia="Times New Roman"/>
          <w:b/>
          <w:bCs/>
          <w:szCs w:val="20"/>
          <w:lang w:eastAsia="lt-LT"/>
        </w:rPr>
        <w:t xml:space="preserve"> </w:t>
      </w:r>
      <w:r w:rsidR="00DB325F" w:rsidRPr="00BA7D5D">
        <w:rPr>
          <w:szCs w:val="20"/>
        </w:rPr>
        <w:t>Gedimai turi būti klasifikuojami į ne mažiau kaip 2 (dvi) kategorijas</w:t>
      </w:r>
      <w:r w:rsidRPr="00BA7D5D">
        <w:rPr>
          <w:szCs w:val="20"/>
        </w:rPr>
        <w:t>:</w:t>
      </w:r>
    </w:p>
    <w:p w14:paraId="7CDAE78F" w14:textId="0D7BBFB6" w:rsidR="00BA7D5D" w:rsidRPr="00BA7D5D" w:rsidRDefault="0034044C" w:rsidP="0034044C">
      <w:pPr>
        <w:spacing w:after="0" w:line="240" w:lineRule="auto"/>
        <w:ind w:firstLine="567"/>
        <w:jc w:val="both"/>
      </w:pPr>
      <w:r w:rsidRPr="00BA7D5D">
        <w:t xml:space="preserve">6.3.2.1. </w:t>
      </w:r>
      <w:r w:rsidR="00DB325F" w:rsidRPr="00BA7D5D">
        <w:t>kritiniai gedimai</w:t>
      </w:r>
      <w:r w:rsidRPr="00BA7D5D">
        <w:t xml:space="preserve"> –</w:t>
      </w:r>
      <w:r w:rsidR="32C61768" w:rsidRPr="00BA7D5D">
        <w:t xml:space="preserve"> kuriems įvykus Įranga </w:t>
      </w:r>
      <w:r w:rsidR="00E4777A" w:rsidRPr="00BA7D5D">
        <w:t>nustoja veikti arba praranda esminį funkcionalumą, dėl kurio tampa neįmanoma atlikti pagrindinių sistemos užduočių</w:t>
      </w:r>
      <w:r w:rsidR="00BA7D5D" w:rsidRPr="00BA7D5D">
        <w:t>;</w:t>
      </w:r>
    </w:p>
    <w:p w14:paraId="28D3680A" w14:textId="3F0D50A0" w:rsidR="0034044C" w:rsidRPr="00BA7D5D" w:rsidRDefault="0034044C" w:rsidP="0034044C">
      <w:pPr>
        <w:spacing w:after="0" w:line="240" w:lineRule="auto"/>
        <w:ind w:firstLine="567"/>
        <w:jc w:val="both"/>
        <w:rPr>
          <w:szCs w:val="20"/>
        </w:rPr>
      </w:pPr>
      <w:r w:rsidRPr="00BA7D5D">
        <w:rPr>
          <w:szCs w:val="20"/>
        </w:rPr>
        <w:t xml:space="preserve">6.3.2.2. </w:t>
      </w:r>
      <w:r w:rsidR="00DB325F" w:rsidRPr="00BA7D5D">
        <w:rPr>
          <w:szCs w:val="20"/>
        </w:rPr>
        <w:t>nekritiniai gedimai</w:t>
      </w:r>
      <w:r w:rsidRPr="00BA7D5D">
        <w:rPr>
          <w:szCs w:val="20"/>
        </w:rPr>
        <w:t xml:space="preserve"> </w:t>
      </w:r>
      <w:r w:rsidR="00DB325F" w:rsidRPr="00BA7D5D">
        <w:rPr>
          <w:szCs w:val="20"/>
        </w:rPr>
        <w:t>– visi kiti gedimai, kurie netrukdo Įrangos veikimui ar jos pagrindinėms funkcijoms.</w:t>
      </w:r>
    </w:p>
    <w:p w14:paraId="432AC852" w14:textId="6108FB95" w:rsidR="00DB325F" w:rsidRPr="008734B7" w:rsidRDefault="0034044C" w:rsidP="0034044C">
      <w:pPr>
        <w:spacing w:after="0" w:line="240" w:lineRule="auto"/>
        <w:ind w:firstLine="567"/>
        <w:jc w:val="both"/>
        <w:rPr>
          <w:szCs w:val="20"/>
        </w:rPr>
      </w:pPr>
      <w:r w:rsidRPr="00BA7D5D">
        <w:rPr>
          <w:szCs w:val="20"/>
        </w:rPr>
        <w:t xml:space="preserve">6.3. </w:t>
      </w:r>
      <w:r w:rsidR="00DB325F" w:rsidRPr="00BA7D5D">
        <w:rPr>
          <w:szCs w:val="20"/>
        </w:rPr>
        <w:t>Reikalavimai reakcijos laikui į užregistruotus gedimus bei jų sprendimo</w:t>
      </w:r>
      <w:r w:rsidR="00DB325F" w:rsidRPr="008734B7">
        <w:rPr>
          <w:szCs w:val="20"/>
        </w:rPr>
        <w:t xml:space="preserve"> terminai pateikti 1-oje lentelėje.</w:t>
      </w:r>
    </w:p>
    <w:p w14:paraId="45B8AB21" w14:textId="10D3D061" w:rsidR="0034044C" w:rsidRPr="008734B7" w:rsidRDefault="0034044C" w:rsidP="0034044C">
      <w:pPr>
        <w:spacing w:after="0" w:line="240" w:lineRule="auto"/>
        <w:ind w:firstLine="567"/>
        <w:jc w:val="right"/>
        <w:rPr>
          <w:szCs w:val="20"/>
        </w:rPr>
      </w:pPr>
      <w:r w:rsidRPr="008734B7">
        <w:rPr>
          <w:szCs w:val="20"/>
        </w:rPr>
        <w:t>1 lentelė</w:t>
      </w:r>
    </w:p>
    <w:tbl>
      <w:tblPr>
        <w:tblStyle w:val="TableGrid"/>
        <w:tblW w:w="9639" w:type="dxa"/>
        <w:tblInd w:w="-5" w:type="dxa"/>
        <w:tblLook w:val="04A0" w:firstRow="1" w:lastRow="0" w:firstColumn="1" w:lastColumn="0" w:noHBand="0" w:noVBand="1"/>
      </w:tblPr>
      <w:tblGrid>
        <w:gridCol w:w="851"/>
        <w:gridCol w:w="2977"/>
        <w:gridCol w:w="2693"/>
        <w:gridCol w:w="3118"/>
      </w:tblGrid>
      <w:tr w:rsidR="008734B7" w:rsidRPr="008734B7" w14:paraId="3A439205" w14:textId="77777777" w:rsidTr="0034044C">
        <w:trPr>
          <w:trHeight w:val="361"/>
        </w:trPr>
        <w:tc>
          <w:tcPr>
            <w:tcW w:w="851" w:type="dxa"/>
            <w:shd w:val="clear" w:color="auto" w:fill="D9D9D9" w:themeFill="background1" w:themeFillShade="D9"/>
          </w:tcPr>
          <w:p w14:paraId="39922755" w14:textId="11C8CC3F" w:rsidR="00DB325F" w:rsidRPr="008734B7" w:rsidRDefault="00DB325F" w:rsidP="0034044C">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Eil.</w:t>
            </w:r>
            <w:r w:rsidR="0034044C" w:rsidRPr="008734B7">
              <w:rPr>
                <w:rFonts w:ascii="Verdana" w:hAnsi="Verdana"/>
                <w:b/>
                <w:bCs/>
                <w:sz w:val="20"/>
                <w:szCs w:val="20"/>
                <w:lang w:val="lt-LT"/>
              </w:rPr>
              <w:t xml:space="preserve"> </w:t>
            </w:r>
            <w:r w:rsidRPr="008734B7">
              <w:rPr>
                <w:rFonts w:ascii="Verdana" w:hAnsi="Verdana"/>
                <w:b/>
                <w:bCs/>
                <w:sz w:val="20"/>
                <w:szCs w:val="20"/>
                <w:lang w:val="lt-LT"/>
              </w:rPr>
              <w:t>Nr.</w:t>
            </w:r>
          </w:p>
        </w:tc>
        <w:tc>
          <w:tcPr>
            <w:tcW w:w="2977" w:type="dxa"/>
            <w:shd w:val="clear" w:color="auto" w:fill="D9D9D9" w:themeFill="background1" w:themeFillShade="D9"/>
          </w:tcPr>
          <w:p w14:paraId="36FBBAFA"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Gedimo tipas</w:t>
            </w:r>
          </w:p>
        </w:tc>
        <w:tc>
          <w:tcPr>
            <w:tcW w:w="2693" w:type="dxa"/>
            <w:shd w:val="clear" w:color="auto" w:fill="D9D9D9" w:themeFill="background1" w:themeFillShade="D9"/>
          </w:tcPr>
          <w:p w14:paraId="7240CD27"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Reagavimo laikas</w:t>
            </w:r>
          </w:p>
        </w:tc>
        <w:tc>
          <w:tcPr>
            <w:tcW w:w="3118" w:type="dxa"/>
            <w:shd w:val="clear" w:color="auto" w:fill="D9D9D9" w:themeFill="background1" w:themeFillShade="D9"/>
          </w:tcPr>
          <w:p w14:paraId="3B0B442F"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Gedimo šalinimo laikas</w:t>
            </w:r>
          </w:p>
        </w:tc>
      </w:tr>
      <w:tr w:rsidR="00DB325F" w:rsidRPr="008734B7" w14:paraId="4688523F" w14:textId="77777777" w:rsidTr="0034044C">
        <w:tc>
          <w:tcPr>
            <w:tcW w:w="851" w:type="dxa"/>
          </w:tcPr>
          <w:p w14:paraId="4D45A694" w14:textId="77777777" w:rsidR="00DB325F" w:rsidRPr="008734B7" w:rsidRDefault="00DB325F" w:rsidP="006660F0">
            <w:pPr>
              <w:pStyle w:val="ListParagraph"/>
              <w:ind w:left="0" w:right="-46"/>
              <w:rPr>
                <w:rFonts w:ascii="Verdana" w:hAnsi="Verdana"/>
                <w:sz w:val="20"/>
                <w:szCs w:val="20"/>
                <w:lang w:val="lt-LT"/>
              </w:rPr>
            </w:pPr>
            <w:r w:rsidRPr="008734B7">
              <w:rPr>
                <w:rFonts w:ascii="Verdana" w:hAnsi="Verdana"/>
                <w:sz w:val="20"/>
                <w:szCs w:val="20"/>
                <w:lang w:val="lt-LT"/>
              </w:rPr>
              <w:t>1.</w:t>
            </w:r>
          </w:p>
        </w:tc>
        <w:tc>
          <w:tcPr>
            <w:tcW w:w="2977" w:type="dxa"/>
          </w:tcPr>
          <w:p w14:paraId="041450AA"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Kritinis gedimas</w:t>
            </w:r>
          </w:p>
        </w:tc>
        <w:tc>
          <w:tcPr>
            <w:tcW w:w="2693" w:type="dxa"/>
          </w:tcPr>
          <w:p w14:paraId="1A673585"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 val.</w:t>
            </w:r>
          </w:p>
        </w:tc>
        <w:tc>
          <w:tcPr>
            <w:tcW w:w="3118" w:type="dxa"/>
          </w:tcPr>
          <w:p w14:paraId="047CE5CB"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12 val.</w:t>
            </w:r>
          </w:p>
        </w:tc>
      </w:tr>
      <w:tr w:rsidR="00DB325F" w:rsidRPr="008734B7" w14:paraId="6702041E" w14:textId="77777777" w:rsidTr="0034044C">
        <w:tc>
          <w:tcPr>
            <w:tcW w:w="851" w:type="dxa"/>
          </w:tcPr>
          <w:p w14:paraId="76C808E2" w14:textId="77777777" w:rsidR="00DB325F" w:rsidRPr="008734B7" w:rsidRDefault="00DB325F" w:rsidP="006660F0">
            <w:pPr>
              <w:pStyle w:val="ListParagraph"/>
              <w:ind w:left="0" w:right="-46"/>
              <w:rPr>
                <w:rFonts w:ascii="Verdana" w:hAnsi="Verdana"/>
                <w:sz w:val="20"/>
                <w:szCs w:val="20"/>
                <w:lang w:val="lt-LT"/>
              </w:rPr>
            </w:pPr>
            <w:r w:rsidRPr="008734B7">
              <w:rPr>
                <w:rFonts w:ascii="Verdana" w:hAnsi="Verdana"/>
                <w:sz w:val="20"/>
                <w:szCs w:val="20"/>
                <w:lang w:val="lt-LT"/>
              </w:rPr>
              <w:t>2.</w:t>
            </w:r>
          </w:p>
        </w:tc>
        <w:tc>
          <w:tcPr>
            <w:tcW w:w="2977" w:type="dxa"/>
          </w:tcPr>
          <w:p w14:paraId="7309C9AC"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Nekritinis</w:t>
            </w:r>
            <w:r w:rsidRPr="008734B7">
              <w:rPr>
                <w:rFonts w:ascii="Verdana" w:hAnsi="Verdana"/>
                <w:b/>
                <w:bCs/>
                <w:sz w:val="20"/>
                <w:szCs w:val="20"/>
                <w:lang w:val="lt-LT"/>
              </w:rPr>
              <w:t xml:space="preserve"> </w:t>
            </w:r>
            <w:r w:rsidRPr="008734B7">
              <w:rPr>
                <w:rFonts w:ascii="Verdana" w:hAnsi="Verdana"/>
                <w:sz w:val="20"/>
                <w:szCs w:val="20"/>
                <w:lang w:val="lt-LT"/>
              </w:rPr>
              <w:t>gedimas</w:t>
            </w:r>
          </w:p>
        </w:tc>
        <w:tc>
          <w:tcPr>
            <w:tcW w:w="2693" w:type="dxa"/>
          </w:tcPr>
          <w:p w14:paraId="598ACA30"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8 darbo val.*</w:t>
            </w:r>
          </w:p>
        </w:tc>
        <w:tc>
          <w:tcPr>
            <w:tcW w:w="3118" w:type="dxa"/>
          </w:tcPr>
          <w:p w14:paraId="3C7B7345"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48 darbo val.*</w:t>
            </w:r>
          </w:p>
        </w:tc>
      </w:tr>
    </w:tbl>
    <w:p w14:paraId="5364DBDF" w14:textId="35762770" w:rsidR="00DB325F" w:rsidRPr="008734B7" w:rsidRDefault="00DB325F" w:rsidP="0034044C">
      <w:pPr>
        <w:ind w:left="360" w:right="-46" w:firstLine="491"/>
        <w:rPr>
          <w:szCs w:val="20"/>
        </w:rPr>
      </w:pPr>
      <w:r w:rsidRPr="008734B7">
        <w:rPr>
          <w:szCs w:val="20"/>
        </w:rPr>
        <w:t>* darbo dienos valandos nuo 8:00 val. iki 17:00 val.</w:t>
      </w:r>
      <w:r w:rsidR="0034044C" w:rsidRPr="008734B7">
        <w:rPr>
          <w:szCs w:val="20"/>
        </w:rPr>
        <w:t xml:space="preserve"> (GMT)</w:t>
      </w:r>
    </w:p>
    <w:p w14:paraId="5668E71A" w14:textId="77777777" w:rsidR="0034044C" w:rsidRPr="008734B7" w:rsidRDefault="0034044C" w:rsidP="008734B7">
      <w:pPr>
        <w:spacing w:after="0" w:line="240" w:lineRule="auto"/>
        <w:ind w:right="-46" w:firstLine="567"/>
        <w:jc w:val="both"/>
        <w:rPr>
          <w:szCs w:val="20"/>
        </w:rPr>
      </w:pPr>
      <w:r w:rsidRPr="008734B7">
        <w:rPr>
          <w:szCs w:val="20"/>
        </w:rPr>
        <w:t xml:space="preserve">6.3.4. </w:t>
      </w:r>
      <w:r w:rsidR="00DB325F" w:rsidRPr="008734B7">
        <w:rPr>
          <w:szCs w:val="20"/>
        </w:rPr>
        <w:t>LRT suteiks visą būtiną informaciją Paslaugos teikėjui apie gedimus, nedelsdamas atsakys į Paslaugų teikėjo klausimus ir teiks pagalbą testuojant Įrangą, nustatant gedimo priežastis bei jas šalinant.</w:t>
      </w:r>
    </w:p>
    <w:p w14:paraId="6B3315CD" w14:textId="77777777" w:rsidR="0034044C" w:rsidRPr="008734B7" w:rsidRDefault="0034044C" w:rsidP="008734B7">
      <w:pPr>
        <w:spacing w:after="0" w:line="240" w:lineRule="auto"/>
        <w:ind w:right="-46" w:firstLine="567"/>
        <w:jc w:val="both"/>
        <w:rPr>
          <w:szCs w:val="20"/>
        </w:rPr>
      </w:pPr>
      <w:r w:rsidRPr="008734B7">
        <w:rPr>
          <w:szCs w:val="20"/>
        </w:rPr>
        <w:lastRenderedPageBreak/>
        <w:t xml:space="preserve">6.3.5. </w:t>
      </w:r>
      <w:r w:rsidR="00DB325F" w:rsidRPr="008734B7">
        <w:rPr>
          <w:szCs w:val="20"/>
        </w:rPr>
        <w:t xml:space="preserve">Įvykus kritiniam gedimui, Paslaugų teikėjas privalo atsakyti į Perkančiosios organizacijos skambučius nurodytu palaikymo telefonu 24 valandas per parą, 7 dienas per savaitę </w:t>
      </w:r>
      <w:r w:rsidRPr="008734B7">
        <w:rPr>
          <w:szCs w:val="20"/>
        </w:rPr>
        <w:t xml:space="preserve">(24x7) </w:t>
      </w:r>
      <w:r w:rsidR="00DB325F" w:rsidRPr="008734B7">
        <w:rPr>
          <w:szCs w:val="20"/>
        </w:rPr>
        <w:t>visą Paslaugų teikimo laikotarpį. Kritinių gedimų šalinimui Paslaugų teikėjas turi suteikti aukščiausią prioritetą.</w:t>
      </w:r>
    </w:p>
    <w:p w14:paraId="4907AE1C" w14:textId="77777777" w:rsidR="008734B7" w:rsidRPr="008734B7" w:rsidRDefault="0034044C" w:rsidP="008734B7">
      <w:pPr>
        <w:spacing w:after="0" w:line="240" w:lineRule="auto"/>
        <w:ind w:right="-46" w:firstLine="567"/>
        <w:jc w:val="both"/>
      </w:pPr>
      <w:r w:rsidRPr="43B6465A">
        <w:t xml:space="preserve">6.4. </w:t>
      </w:r>
      <w:r w:rsidR="00DB325F" w:rsidRPr="43B6465A">
        <w:t xml:space="preserve">Įrangos gamintojui pateikus pataisymus (angl. </w:t>
      </w:r>
      <w:r w:rsidR="00DB325F" w:rsidRPr="7BED82D1">
        <w:rPr>
          <w:i/>
        </w:rPr>
        <w:t>program patch</w:t>
      </w:r>
      <w:r w:rsidR="00DB325F" w:rsidRPr="43B6465A">
        <w:t>), Paslaugų teikėjas privalo juos įdiegti į Perkančiosios organizacijos Įrangą, atsižvelgdamas į atnaujinimo svarbą. Kritiniai atnaujinimai turi būti įdiegti ne vėliau kaip per 24 darbo valand</w:t>
      </w:r>
      <w:r w:rsidRPr="43B6465A">
        <w:t>as</w:t>
      </w:r>
      <w:r w:rsidR="00DB325F" w:rsidRPr="43B6465A">
        <w:t xml:space="preserve"> nuo gamintojo pranešimo apie juos Paslaugų teikėjui. Paslaugų teikėjas privalo informuoti Perkančiąją organizaciją apie numatomą atnaujinimo diegimą ir suderinti jo laiką. Ši paslauga turi būti įskaičiuota į bendrą pasiūlymo kainą ir nėra papildomai apmokestinama.</w:t>
      </w:r>
    </w:p>
    <w:p w14:paraId="6C120558" w14:textId="77777777" w:rsidR="008734B7" w:rsidRPr="008734B7" w:rsidRDefault="008734B7" w:rsidP="008734B7">
      <w:pPr>
        <w:spacing w:after="0" w:line="240" w:lineRule="auto"/>
        <w:ind w:right="-46" w:firstLine="567"/>
        <w:jc w:val="both"/>
        <w:rPr>
          <w:szCs w:val="20"/>
        </w:rPr>
      </w:pPr>
      <w:r w:rsidRPr="008734B7">
        <w:rPr>
          <w:szCs w:val="20"/>
        </w:rPr>
        <w:t>6.5. Paslaugų teikėjas privalo p</w:t>
      </w:r>
      <w:r w:rsidR="00DB325F" w:rsidRPr="008734B7">
        <w:rPr>
          <w:szCs w:val="20"/>
        </w:rPr>
        <w:t>agal poreikį diegti Įrangos gamintojo teikiamus atnaujinimus ar klaidų taisymus. Diegimas atliekamas pagal suderintą su Perkančiąja organizacija grafiką, atsižvelgiant į galimą AVID stabdymo poreikį, galimus sutrikimus ir veikimo atstatymą nesėkmės atveju.</w:t>
      </w:r>
      <w:r w:rsidRPr="008734B7">
        <w:rPr>
          <w:szCs w:val="20"/>
        </w:rPr>
        <w:t xml:space="preserve"> </w:t>
      </w:r>
      <w:r w:rsidR="00DB325F" w:rsidRPr="008734B7">
        <w:rPr>
          <w:szCs w:val="20"/>
        </w:rPr>
        <w:t>Ši paslauga turi būti įskaičiuota į bendrą pasiūlymo kainą ir nėra papildomai apmokestinama.</w:t>
      </w:r>
    </w:p>
    <w:p w14:paraId="500E892E" w14:textId="77777777" w:rsidR="008734B7" w:rsidRPr="00831CE7" w:rsidRDefault="008734B7" w:rsidP="008734B7">
      <w:pPr>
        <w:spacing w:after="0" w:line="240" w:lineRule="auto"/>
        <w:ind w:right="-46" w:firstLine="567"/>
        <w:jc w:val="both"/>
        <w:rPr>
          <w:szCs w:val="20"/>
        </w:rPr>
      </w:pPr>
      <w:r w:rsidRPr="008734B7">
        <w:rPr>
          <w:szCs w:val="20"/>
        </w:rPr>
        <w:t xml:space="preserve">6.6. </w:t>
      </w:r>
      <w:r w:rsidR="00DB325F" w:rsidRPr="008734B7">
        <w:rPr>
          <w:szCs w:val="20"/>
        </w:rPr>
        <w:t>Pa</w:t>
      </w:r>
      <w:r w:rsidRPr="008734B7">
        <w:rPr>
          <w:szCs w:val="20"/>
        </w:rPr>
        <w:t>slaugos</w:t>
      </w:r>
      <w:r w:rsidR="00DB325F" w:rsidRPr="008734B7">
        <w:rPr>
          <w:szCs w:val="20"/>
        </w:rPr>
        <w:t xml:space="preserve"> turi būti teikiam</w:t>
      </w:r>
      <w:r w:rsidRPr="008734B7">
        <w:rPr>
          <w:szCs w:val="20"/>
        </w:rPr>
        <w:t>os</w:t>
      </w:r>
      <w:r w:rsidR="00DB325F" w:rsidRPr="008734B7">
        <w:rPr>
          <w:szCs w:val="20"/>
        </w:rPr>
        <w:t xml:space="preserve"> lietuvių ir / arba anglų kalbomis, pirmenybę teikiant </w:t>
      </w:r>
      <w:r w:rsidR="00DB325F" w:rsidRPr="00831CE7">
        <w:rPr>
          <w:szCs w:val="20"/>
        </w:rPr>
        <w:t>bendravimui lietuvių kalba. Jei dėl teikiamų Paslaugų pobūdžio bendravimas lietuvių kalba nėra įmanomas, naudojama anglų kalba.</w:t>
      </w:r>
    </w:p>
    <w:p w14:paraId="1FA73ECE" w14:textId="36A94234" w:rsidR="00831CE7" w:rsidRPr="00831CE7" w:rsidRDefault="00831CE7" w:rsidP="008734B7">
      <w:pPr>
        <w:spacing w:after="0" w:line="240" w:lineRule="auto"/>
        <w:ind w:right="-46" w:firstLine="567"/>
        <w:jc w:val="both"/>
        <w:rPr>
          <w:szCs w:val="20"/>
        </w:rPr>
      </w:pPr>
      <w:r w:rsidRPr="00831CE7">
        <w:rPr>
          <w:rFonts w:cstheme="minorHAnsi"/>
          <w:szCs w:val="20"/>
        </w:rPr>
        <w:t>6.7. Paslaugos</w:t>
      </w:r>
      <w:r w:rsidRPr="00831CE7">
        <w:rPr>
          <w:rFonts w:cstheme="minorHAnsi"/>
          <w:szCs w:val="20"/>
        </w:rPr>
        <w:t xml:space="preserve"> turi būti </w:t>
      </w:r>
      <w:r>
        <w:rPr>
          <w:rFonts w:cstheme="minorHAnsi"/>
          <w:szCs w:val="20"/>
        </w:rPr>
        <w:t>teikiamos</w:t>
      </w:r>
      <w:r w:rsidRPr="00831CE7">
        <w:rPr>
          <w:rFonts w:cstheme="minorHAnsi"/>
          <w:szCs w:val="20"/>
        </w:rPr>
        <w:t xml:space="preserve"> pagal gamintojo nustatytas priežiūros ir techninio palaikymo sąlygas</w:t>
      </w:r>
      <w:r w:rsidRPr="00831CE7">
        <w:rPr>
          <w:rFonts w:cstheme="minorHAnsi"/>
          <w:szCs w:val="20"/>
        </w:rPr>
        <w:t>.</w:t>
      </w:r>
    </w:p>
    <w:p w14:paraId="035BB952" w14:textId="77777777" w:rsidR="008734B7" w:rsidRPr="008734B7" w:rsidRDefault="008734B7" w:rsidP="008734B7">
      <w:pPr>
        <w:spacing w:after="0" w:line="240" w:lineRule="auto"/>
        <w:ind w:right="-46" w:firstLine="567"/>
        <w:jc w:val="both"/>
        <w:rPr>
          <w:szCs w:val="20"/>
        </w:rPr>
      </w:pPr>
      <w:r w:rsidRPr="008734B7">
        <w:rPr>
          <w:b/>
          <w:bCs/>
          <w:szCs w:val="20"/>
        </w:rPr>
        <w:t xml:space="preserve">7. </w:t>
      </w:r>
      <w:r w:rsidR="00DB325F" w:rsidRPr="008734B7">
        <w:rPr>
          <w:b/>
          <w:bCs/>
          <w:szCs w:val="20"/>
        </w:rPr>
        <w:t>Įranga, kuriai perkamos Paslaugos</w:t>
      </w:r>
      <w:r w:rsidRPr="008734B7">
        <w:rPr>
          <w:b/>
          <w:bCs/>
          <w:szCs w:val="20"/>
        </w:rPr>
        <w:t>:</w:t>
      </w:r>
    </w:p>
    <w:p w14:paraId="705020B8" w14:textId="1A31EBCC" w:rsidR="00DB325F" w:rsidRPr="008734B7" w:rsidRDefault="008734B7" w:rsidP="008734B7">
      <w:pPr>
        <w:spacing w:after="0" w:line="240" w:lineRule="auto"/>
        <w:ind w:right="-46" w:firstLine="567"/>
        <w:jc w:val="both"/>
        <w:rPr>
          <w:szCs w:val="20"/>
        </w:rPr>
      </w:pPr>
      <w:r w:rsidRPr="008734B7">
        <w:rPr>
          <w:szCs w:val="20"/>
        </w:rPr>
        <w:t xml:space="preserve">7.1. </w:t>
      </w:r>
      <w:r w:rsidR="00DB325F" w:rsidRPr="008734B7">
        <w:rPr>
          <w:szCs w:val="20"/>
        </w:rPr>
        <w:t>LRT Įrangoje naudoja tik gamintojo AVID pateiktus ir patvirtintus produktus, išvardytus 2-oje lentelėje.</w:t>
      </w:r>
    </w:p>
    <w:p w14:paraId="285F2DEE" w14:textId="7F32AC85" w:rsidR="008734B7" w:rsidRPr="008734B7" w:rsidRDefault="008734B7" w:rsidP="008734B7">
      <w:pPr>
        <w:spacing w:after="120" w:line="247" w:lineRule="auto"/>
        <w:ind w:right="-46" w:firstLine="567"/>
        <w:jc w:val="right"/>
        <w:rPr>
          <w:szCs w:val="20"/>
        </w:rPr>
      </w:pPr>
      <w:r w:rsidRPr="008734B7">
        <w:rPr>
          <w:szCs w:val="20"/>
        </w:rPr>
        <w:t>2 lentelė</w:t>
      </w:r>
    </w:p>
    <w:tbl>
      <w:tblPr>
        <w:tblStyle w:val="TableGrid"/>
        <w:tblW w:w="9639" w:type="dxa"/>
        <w:tblInd w:w="-5" w:type="dxa"/>
        <w:tblLook w:val="04A0" w:firstRow="1" w:lastRow="0" w:firstColumn="1" w:lastColumn="0" w:noHBand="0" w:noVBand="1"/>
      </w:tblPr>
      <w:tblGrid>
        <w:gridCol w:w="851"/>
        <w:gridCol w:w="6095"/>
        <w:gridCol w:w="1134"/>
        <w:gridCol w:w="1559"/>
      </w:tblGrid>
      <w:tr w:rsidR="00DB325F" w:rsidRPr="008734B7" w14:paraId="764A4908" w14:textId="77777777" w:rsidTr="008734B7">
        <w:tc>
          <w:tcPr>
            <w:tcW w:w="851" w:type="dxa"/>
            <w:shd w:val="clear" w:color="auto" w:fill="D9D9D9" w:themeFill="background1" w:themeFillShade="D9"/>
          </w:tcPr>
          <w:p w14:paraId="33626970" w14:textId="7B6F4267" w:rsidR="00DB325F" w:rsidRPr="008734B7" w:rsidRDefault="00DB325F" w:rsidP="008734B7">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Eil.</w:t>
            </w:r>
            <w:r w:rsidR="008734B7" w:rsidRPr="008734B7">
              <w:rPr>
                <w:rFonts w:ascii="Verdana" w:hAnsi="Verdana"/>
                <w:b/>
                <w:bCs/>
                <w:sz w:val="20"/>
                <w:szCs w:val="20"/>
                <w:lang w:val="lt-LT"/>
              </w:rPr>
              <w:t xml:space="preserve"> </w:t>
            </w:r>
            <w:r w:rsidRPr="008734B7">
              <w:rPr>
                <w:rFonts w:ascii="Verdana" w:hAnsi="Verdana"/>
                <w:b/>
                <w:bCs/>
                <w:sz w:val="20"/>
                <w:szCs w:val="20"/>
                <w:lang w:val="lt-LT"/>
              </w:rPr>
              <w:t>Nr.</w:t>
            </w:r>
          </w:p>
        </w:tc>
        <w:tc>
          <w:tcPr>
            <w:tcW w:w="6095" w:type="dxa"/>
            <w:shd w:val="clear" w:color="auto" w:fill="D9D9D9" w:themeFill="background1" w:themeFillShade="D9"/>
          </w:tcPr>
          <w:p w14:paraId="6173C773"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Įrangos pavadinimas</w:t>
            </w:r>
          </w:p>
        </w:tc>
        <w:tc>
          <w:tcPr>
            <w:tcW w:w="1134" w:type="dxa"/>
            <w:shd w:val="clear" w:color="auto" w:fill="D9D9D9" w:themeFill="background1" w:themeFillShade="D9"/>
          </w:tcPr>
          <w:p w14:paraId="31B777D8"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Mat. vnt.</w:t>
            </w:r>
          </w:p>
        </w:tc>
        <w:tc>
          <w:tcPr>
            <w:tcW w:w="1559" w:type="dxa"/>
            <w:shd w:val="clear" w:color="auto" w:fill="D9D9D9" w:themeFill="background1" w:themeFillShade="D9"/>
          </w:tcPr>
          <w:p w14:paraId="667D76FA" w14:textId="77777777" w:rsidR="00DB325F" w:rsidRPr="008734B7" w:rsidRDefault="00DB325F" w:rsidP="006660F0">
            <w:pPr>
              <w:pStyle w:val="ListParagraph"/>
              <w:ind w:left="0" w:right="-46"/>
              <w:jc w:val="center"/>
              <w:rPr>
                <w:rFonts w:ascii="Verdana" w:hAnsi="Verdana"/>
                <w:b/>
                <w:bCs/>
                <w:sz w:val="20"/>
                <w:szCs w:val="20"/>
                <w:lang w:val="lt-LT"/>
              </w:rPr>
            </w:pPr>
            <w:r w:rsidRPr="008734B7">
              <w:rPr>
                <w:rFonts w:ascii="Verdana" w:hAnsi="Verdana"/>
                <w:b/>
                <w:bCs/>
                <w:sz w:val="20"/>
                <w:szCs w:val="20"/>
                <w:lang w:val="lt-LT"/>
              </w:rPr>
              <w:t>Kiekis</w:t>
            </w:r>
          </w:p>
        </w:tc>
      </w:tr>
      <w:tr w:rsidR="00DB325F" w:rsidRPr="008734B7" w14:paraId="0D5FE2F0" w14:textId="77777777" w:rsidTr="008734B7">
        <w:tc>
          <w:tcPr>
            <w:tcW w:w="851" w:type="dxa"/>
          </w:tcPr>
          <w:p w14:paraId="1AE0AD8C"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1.</w:t>
            </w:r>
          </w:p>
        </w:tc>
        <w:tc>
          <w:tcPr>
            <w:tcW w:w="6095" w:type="dxa"/>
          </w:tcPr>
          <w:p w14:paraId="386E8E3B"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Interplay  MAM Foundation Base Kit.</w:t>
            </w:r>
          </w:p>
        </w:tc>
        <w:tc>
          <w:tcPr>
            <w:tcW w:w="1134" w:type="dxa"/>
          </w:tcPr>
          <w:p w14:paraId="04533405"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06FF5B58"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660706E9" w14:textId="77777777" w:rsidTr="008734B7">
        <w:tc>
          <w:tcPr>
            <w:tcW w:w="851" w:type="dxa"/>
          </w:tcPr>
          <w:p w14:paraId="3291CBDC"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2.</w:t>
            </w:r>
          </w:p>
        </w:tc>
        <w:tc>
          <w:tcPr>
            <w:tcW w:w="6095" w:type="dxa"/>
          </w:tcPr>
          <w:p w14:paraId="1E467304"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Additional Server Kit.</w:t>
            </w:r>
          </w:p>
        </w:tc>
        <w:tc>
          <w:tcPr>
            <w:tcW w:w="1134" w:type="dxa"/>
          </w:tcPr>
          <w:p w14:paraId="0FB72DDB"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0166F664"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23E6E859" w14:textId="77777777" w:rsidTr="008734B7">
        <w:tc>
          <w:tcPr>
            <w:tcW w:w="851" w:type="dxa"/>
          </w:tcPr>
          <w:p w14:paraId="36A0F568"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3.</w:t>
            </w:r>
          </w:p>
        </w:tc>
        <w:tc>
          <w:tcPr>
            <w:tcW w:w="6095" w:type="dxa"/>
          </w:tcPr>
          <w:p w14:paraId="57F37723"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Digital Tape Archive (with SGL or FPD connector) Kit.</w:t>
            </w:r>
          </w:p>
        </w:tc>
        <w:tc>
          <w:tcPr>
            <w:tcW w:w="1134" w:type="dxa"/>
          </w:tcPr>
          <w:p w14:paraId="322E6A2F"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39AC5934"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434A42B9" w14:textId="77777777" w:rsidTr="008734B7">
        <w:tc>
          <w:tcPr>
            <w:tcW w:w="851" w:type="dxa"/>
          </w:tcPr>
          <w:p w14:paraId="6C6C6A9B"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4.</w:t>
            </w:r>
          </w:p>
        </w:tc>
        <w:tc>
          <w:tcPr>
            <w:tcW w:w="6095" w:type="dxa"/>
          </w:tcPr>
          <w:p w14:paraId="1642B911"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Media Operations Data Model Kit.</w:t>
            </w:r>
          </w:p>
        </w:tc>
        <w:tc>
          <w:tcPr>
            <w:tcW w:w="1134" w:type="dxa"/>
          </w:tcPr>
          <w:p w14:paraId="18C2854A"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79801FA0"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149C1468" w14:textId="77777777" w:rsidTr="008734B7">
        <w:tc>
          <w:tcPr>
            <w:tcW w:w="851" w:type="dxa"/>
          </w:tcPr>
          <w:p w14:paraId="12EE87F4"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5.</w:t>
            </w:r>
          </w:p>
        </w:tc>
        <w:tc>
          <w:tcPr>
            <w:tcW w:w="6095" w:type="dxa"/>
          </w:tcPr>
          <w:p w14:paraId="63E25FD3" w14:textId="77777777" w:rsidR="00DB325F" w:rsidRPr="008734B7" w:rsidRDefault="00DB325F" w:rsidP="006660F0">
            <w:pPr>
              <w:pStyle w:val="ListParagraph"/>
              <w:ind w:left="0" w:right="-46"/>
              <w:rPr>
                <w:rFonts w:ascii="Verdana" w:hAnsi="Verdana"/>
                <w:sz w:val="20"/>
                <w:szCs w:val="20"/>
                <w:lang w:val="lt-LT"/>
              </w:rPr>
            </w:pPr>
            <w:r w:rsidRPr="008734B7">
              <w:rPr>
                <w:rFonts w:ascii="Verdana" w:hAnsi="Verdana"/>
                <w:sz w:val="20"/>
                <w:szCs w:val="20"/>
                <w:lang w:val="lt-LT"/>
              </w:rPr>
              <w:t>MediaCentral Connector for Telestream Vantage.</w:t>
            </w:r>
          </w:p>
        </w:tc>
        <w:tc>
          <w:tcPr>
            <w:tcW w:w="1134" w:type="dxa"/>
          </w:tcPr>
          <w:p w14:paraId="7E8306BA"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03A60F0D"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0E7A0336" w14:textId="77777777" w:rsidTr="008734B7">
        <w:tc>
          <w:tcPr>
            <w:tcW w:w="851" w:type="dxa"/>
          </w:tcPr>
          <w:p w14:paraId="42C7937A"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6.</w:t>
            </w:r>
          </w:p>
        </w:tc>
        <w:tc>
          <w:tcPr>
            <w:tcW w:w="6095" w:type="dxa"/>
          </w:tcPr>
          <w:p w14:paraId="7D7183E9"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MediaCentral UX Base Client Single License.</w:t>
            </w:r>
          </w:p>
        </w:tc>
        <w:tc>
          <w:tcPr>
            <w:tcW w:w="1134" w:type="dxa"/>
          </w:tcPr>
          <w:p w14:paraId="06DE849F"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21928EB9"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60</w:t>
            </w:r>
          </w:p>
        </w:tc>
      </w:tr>
      <w:tr w:rsidR="00DB325F" w:rsidRPr="008734B7" w14:paraId="1B06C984" w14:textId="77777777" w:rsidTr="008734B7">
        <w:tc>
          <w:tcPr>
            <w:tcW w:w="851" w:type="dxa"/>
          </w:tcPr>
          <w:p w14:paraId="79D9E456"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7.</w:t>
            </w:r>
          </w:p>
        </w:tc>
        <w:tc>
          <w:tcPr>
            <w:tcW w:w="6095" w:type="dxa"/>
          </w:tcPr>
          <w:p w14:paraId="3719C083" w14:textId="77777777" w:rsidR="00DB325F" w:rsidRPr="008734B7" w:rsidRDefault="00DB325F" w:rsidP="006660F0">
            <w:pPr>
              <w:pStyle w:val="ListParagraph"/>
              <w:tabs>
                <w:tab w:val="left" w:pos="760"/>
              </w:tabs>
              <w:ind w:left="0" w:right="-46"/>
              <w:rPr>
                <w:rFonts w:ascii="Verdana" w:hAnsi="Verdana"/>
                <w:b/>
                <w:bCs/>
                <w:sz w:val="20"/>
                <w:szCs w:val="20"/>
                <w:lang w:val="lt-LT"/>
              </w:rPr>
            </w:pPr>
            <w:r w:rsidRPr="008734B7">
              <w:rPr>
                <w:rFonts w:ascii="Verdana" w:hAnsi="Verdana"/>
                <w:sz w:val="20"/>
                <w:szCs w:val="20"/>
                <w:lang w:val="lt-LT"/>
              </w:rPr>
              <w:t>Interplay MAM audio only workflow kit.</w:t>
            </w:r>
          </w:p>
        </w:tc>
        <w:tc>
          <w:tcPr>
            <w:tcW w:w="1134" w:type="dxa"/>
          </w:tcPr>
          <w:p w14:paraId="71FB326F"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4CCACC27"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5F9FC03B" w14:textId="77777777" w:rsidTr="008734B7">
        <w:tc>
          <w:tcPr>
            <w:tcW w:w="851" w:type="dxa"/>
          </w:tcPr>
          <w:p w14:paraId="6E6D7C28"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8.</w:t>
            </w:r>
          </w:p>
        </w:tc>
        <w:tc>
          <w:tcPr>
            <w:tcW w:w="6095" w:type="dxa"/>
          </w:tcPr>
          <w:p w14:paraId="7940F500"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Reporting Module Kit.</w:t>
            </w:r>
          </w:p>
        </w:tc>
        <w:tc>
          <w:tcPr>
            <w:tcW w:w="1134" w:type="dxa"/>
          </w:tcPr>
          <w:p w14:paraId="4C04058C"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5155B223"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3D48203D" w14:textId="77777777" w:rsidTr="008734B7">
        <w:tc>
          <w:tcPr>
            <w:tcW w:w="851" w:type="dxa"/>
          </w:tcPr>
          <w:p w14:paraId="0E9E7745"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9.</w:t>
            </w:r>
          </w:p>
        </w:tc>
        <w:tc>
          <w:tcPr>
            <w:tcW w:w="6095" w:type="dxa"/>
          </w:tcPr>
          <w:p w14:paraId="705251C1"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Additional Custom Report Kit.</w:t>
            </w:r>
          </w:p>
        </w:tc>
        <w:tc>
          <w:tcPr>
            <w:tcW w:w="1134" w:type="dxa"/>
          </w:tcPr>
          <w:p w14:paraId="21174217"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144F3244"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2</w:t>
            </w:r>
          </w:p>
        </w:tc>
      </w:tr>
      <w:tr w:rsidR="00DB325F" w:rsidRPr="008734B7" w14:paraId="7D06B9E9" w14:textId="77777777" w:rsidTr="008734B7">
        <w:tc>
          <w:tcPr>
            <w:tcW w:w="851" w:type="dxa"/>
          </w:tcPr>
          <w:p w14:paraId="13098D38"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10.</w:t>
            </w:r>
          </w:p>
        </w:tc>
        <w:tc>
          <w:tcPr>
            <w:tcW w:w="6095" w:type="dxa"/>
          </w:tcPr>
          <w:p w14:paraId="707B54A3"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XML Metadata File Import Kit.</w:t>
            </w:r>
          </w:p>
        </w:tc>
        <w:tc>
          <w:tcPr>
            <w:tcW w:w="1134" w:type="dxa"/>
          </w:tcPr>
          <w:p w14:paraId="466AF35D"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10072442"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r w:rsidR="00DB325F" w:rsidRPr="008734B7" w14:paraId="17AEA08B" w14:textId="77777777" w:rsidTr="008734B7">
        <w:tc>
          <w:tcPr>
            <w:tcW w:w="851" w:type="dxa"/>
          </w:tcPr>
          <w:p w14:paraId="061719DB"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b/>
                <w:bCs/>
                <w:sz w:val="20"/>
                <w:szCs w:val="20"/>
                <w:lang w:val="lt-LT"/>
              </w:rPr>
              <w:t>11.</w:t>
            </w:r>
          </w:p>
        </w:tc>
        <w:tc>
          <w:tcPr>
            <w:tcW w:w="6095" w:type="dxa"/>
          </w:tcPr>
          <w:p w14:paraId="3F47A3ED" w14:textId="77777777" w:rsidR="00DB325F" w:rsidRPr="008734B7" w:rsidRDefault="00DB325F" w:rsidP="006660F0">
            <w:pPr>
              <w:pStyle w:val="ListParagraph"/>
              <w:ind w:left="0" w:right="-46"/>
              <w:rPr>
                <w:rFonts w:ascii="Verdana" w:hAnsi="Verdana"/>
                <w:b/>
                <w:bCs/>
                <w:sz w:val="20"/>
                <w:szCs w:val="20"/>
                <w:lang w:val="lt-LT"/>
              </w:rPr>
            </w:pPr>
            <w:r w:rsidRPr="008734B7">
              <w:rPr>
                <w:rFonts w:ascii="Verdana" w:hAnsi="Verdana"/>
                <w:sz w:val="20"/>
                <w:szCs w:val="20"/>
                <w:lang w:val="lt-LT"/>
              </w:rPr>
              <w:t>LDAP integration module.</w:t>
            </w:r>
          </w:p>
        </w:tc>
        <w:tc>
          <w:tcPr>
            <w:tcW w:w="1134" w:type="dxa"/>
          </w:tcPr>
          <w:p w14:paraId="3A688BDF"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vnt.</w:t>
            </w:r>
          </w:p>
        </w:tc>
        <w:tc>
          <w:tcPr>
            <w:tcW w:w="1559" w:type="dxa"/>
          </w:tcPr>
          <w:p w14:paraId="57CABC82" w14:textId="77777777" w:rsidR="00DB325F" w:rsidRPr="008734B7" w:rsidRDefault="00DB325F" w:rsidP="006660F0">
            <w:pPr>
              <w:pStyle w:val="ListParagraph"/>
              <w:ind w:left="0" w:right="-46"/>
              <w:jc w:val="center"/>
              <w:rPr>
                <w:rFonts w:ascii="Verdana" w:hAnsi="Verdana"/>
                <w:sz w:val="20"/>
                <w:szCs w:val="20"/>
                <w:lang w:val="lt-LT"/>
              </w:rPr>
            </w:pPr>
            <w:r w:rsidRPr="008734B7">
              <w:rPr>
                <w:rFonts w:ascii="Verdana" w:hAnsi="Verdana"/>
                <w:sz w:val="20"/>
                <w:szCs w:val="20"/>
                <w:lang w:val="lt-LT"/>
              </w:rPr>
              <w:t>1</w:t>
            </w:r>
          </w:p>
        </w:tc>
      </w:tr>
    </w:tbl>
    <w:p w14:paraId="44ED1B88" w14:textId="77777777" w:rsidR="00DB325F" w:rsidRPr="008734B7" w:rsidRDefault="00DB325F" w:rsidP="00DB325F">
      <w:pPr>
        <w:spacing w:after="0" w:line="240" w:lineRule="auto"/>
        <w:ind w:firstLine="567"/>
        <w:jc w:val="both"/>
        <w:rPr>
          <w:rFonts w:eastAsia="TimesNewRomanPSMT"/>
          <w:szCs w:val="20"/>
          <w:lang w:eastAsia="lt-LT"/>
        </w:rPr>
      </w:pPr>
    </w:p>
    <w:p w14:paraId="0A83DD24" w14:textId="6C938061" w:rsidR="00363C7B" w:rsidRPr="008734B7" w:rsidRDefault="008734B7" w:rsidP="008734B7">
      <w:pPr>
        <w:tabs>
          <w:tab w:val="left" w:pos="993"/>
        </w:tabs>
        <w:autoSpaceDE w:val="0"/>
        <w:autoSpaceDN w:val="0"/>
        <w:adjustRightInd w:val="0"/>
        <w:spacing w:line="240" w:lineRule="auto"/>
        <w:ind w:firstLine="567"/>
        <w:jc w:val="both"/>
        <w:rPr>
          <w:rFonts w:eastAsia="TimesNewRomanPSMT"/>
          <w:szCs w:val="20"/>
          <w:lang w:eastAsia="lt-LT"/>
        </w:rPr>
      </w:pPr>
      <w:r w:rsidRPr="008734B7">
        <w:rPr>
          <w:rFonts w:eastAsia="Times New Roman"/>
          <w:szCs w:val="20"/>
          <w:lang w:eastAsia="lt-LT"/>
        </w:rPr>
        <w:t>8.</w:t>
      </w:r>
      <w:r w:rsidRPr="008734B7">
        <w:rPr>
          <w:rFonts w:eastAsia="Times New Roman"/>
          <w:b/>
          <w:bCs/>
          <w:szCs w:val="20"/>
          <w:lang w:eastAsia="lt-LT"/>
        </w:rPr>
        <w:t xml:space="preserve"> </w:t>
      </w:r>
      <w:r w:rsidR="00363C7B" w:rsidRPr="008734B7">
        <w:rPr>
          <w:szCs w:val="20"/>
        </w:rPr>
        <w:t xml:space="preserve">Perkančioji organizacija taiko aplinkos apsaugos kriterijus nurodytus </w:t>
      </w:r>
      <w:r w:rsidRPr="008734B7">
        <w:rPr>
          <w:szCs w:val="20"/>
        </w:rPr>
        <w:t>3-oje</w:t>
      </w:r>
      <w:r w:rsidR="00363C7B" w:rsidRPr="008734B7">
        <w:rPr>
          <w:szCs w:val="20"/>
        </w:rPr>
        <w:t xml:space="preserve"> lentelėje šiame pirkime įsigyjamoms Paslaugoms:</w:t>
      </w:r>
    </w:p>
    <w:p w14:paraId="7FC768BE" w14:textId="0EE5E419" w:rsidR="00363C7B" w:rsidRPr="008734B7" w:rsidRDefault="008734B7" w:rsidP="00FB1D27">
      <w:pPr>
        <w:pStyle w:val="NormalWeb"/>
        <w:spacing w:before="0" w:beforeAutospacing="0" w:after="0" w:afterAutospacing="0"/>
        <w:ind w:left="720"/>
        <w:jc w:val="right"/>
        <w:rPr>
          <w:rFonts w:ascii="Verdana" w:hAnsi="Verdana"/>
          <w:sz w:val="20"/>
          <w:szCs w:val="20"/>
          <w:lang w:val="lt-LT"/>
        </w:rPr>
      </w:pPr>
      <w:r w:rsidRPr="008734B7">
        <w:rPr>
          <w:rFonts w:ascii="Verdana" w:hAnsi="Verdana"/>
          <w:sz w:val="20"/>
          <w:szCs w:val="20"/>
          <w:lang w:val="lt-LT"/>
        </w:rPr>
        <w:t>3</w:t>
      </w:r>
      <w:r w:rsidR="00363C7B" w:rsidRPr="008734B7">
        <w:rPr>
          <w:rFonts w:ascii="Verdana" w:hAnsi="Verdana"/>
          <w:sz w:val="20"/>
          <w:szCs w:val="20"/>
          <w:lang w:val="lt-LT"/>
        </w:rPr>
        <w:t xml:space="preserve"> lentelė</w:t>
      </w:r>
    </w:p>
    <w:tbl>
      <w:tblPr>
        <w:tblStyle w:val="TableGrid"/>
        <w:tblW w:w="5000" w:type="pct"/>
        <w:jc w:val="center"/>
        <w:tblLook w:val="04A0" w:firstRow="1" w:lastRow="0" w:firstColumn="1" w:lastColumn="0" w:noHBand="0" w:noVBand="1"/>
      </w:tblPr>
      <w:tblGrid>
        <w:gridCol w:w="571"/>
        <w:gridCol w:w="4008"/>
        <w:gridCol w:w="2185"/>
        <w:gridCol w:w="2864"/>
      </w:tblGrid>
      <w:tr w:rsidR="00C3445A" w:rsidRPr="008734B7" w14:paraId="1E0B44E4" w14:textId="77777777" w:rsidTr="00B6124E">
        <w:trPr>
          <w:jc w:val="center"/>
        </w:trPr>
        <w:tc>
          <w:tcPr>
            <w:tcW w:w="570" w:type="dxa"/>
            <w:vAlign w:val="center"/>
          </w:tcPr>
          <w:p w14:paraId="200A49D8" w14:textId="77777777" w:rsidR="00363C7B" w:rsidRPr="008734B7" w:rsidRDefault="00363C7B" w:rsidP="00FB1D27">
            <w:pPr>
              <w:pStyle w:val="NormalWeb"/>
              <w:spacing w:before="0" w:beforeAutospacing="0" w:after="0" w:afterAutospacing="0"/>
              <w:jc w:val="center"/>
              <w:rPr>
                <w:rFonts w:ascii="Verdana" w:hAnsi="Verdana"/>
                <w:b/>
                <w:bCs/>
                <w:sz w:val="20"/>
                <w:szCs w:val="20"/>
                <w:lang w:val="lt-LT"/>
              </w:rPr>
            </w:pPr>
            <w:r w:rsidRPr="008734B7">
              <w:rPr>
                <w:rFonts w:ascii="Verdana" w:hAnsi="Verdana"/>
                <w:b/>
                <w:bCs/>
                <w:sz w:val="20"/>
                <w:szCs w:val="20"/>
                <w:lang w:val="lt-LT"/>
              </w:rPr>
              <w:t>Eil. Nr.</w:t>
            </w:r>
          </w:p>
        </w:tc>
        <w:tc>
          <w:tcPr>
            <w:tcW w:w="4006" w:type="dxa"/>
            <w:vAlign w:val="center"/>
          </w:tcPr>
          <w:p w14:paraId="45BFB105" w14:textId="77777777" w:rsidR="00363C7B" w:rsidRPr="008734B7" w:rsidRDefault="00363C7B" w:rsidP="00FB1D27">
            <w:pPr>
              <w:pStyle w:val="NormalWeb"/>
              <w:spacing w:before="0" w:beforeAutospacing="0" w:after="0" w:afterAutospacing="0"/>
              <w:jc w:val="center"/>
              <w:rPr>
                <w:rFonts w:ascii="Verdana" w:hAnsi="Verdana"/>
                <w:b/>
                <w:bCs/>
                <w:sz w:val="20"/>
                <w:szCs w:val="20"/>
                <w:lang w:val="lt-LT"/>
              </w:rPr>
            </w:pPr>
            <w:r w:rsidRPr="008734B7">
              <w:rPr>
                <w:rFonts w:ascii="Verdana" w:hAnsi="Verdana"/>
                <w:b/>
                <w:bCs/>
                <w:sz w:val="20"/>
                <w:szCs w:val="20"/>
                <w:lang w:val="lt-LT"/>
              </w:rPr>
              <w:t>Aplinkos apsaugos reikalavimai</w:t>
            </w:r>
          </w:p>
        </w:tc>
        <w:tc>
          <w:tcPr>
            <w:tcW w:w="2184" w:type="dxa"/>
          </w:tcPr>
          <w:p w14:paraId="65F6E694" w14:textId="77777777" w:rsidR="00363C7B" w:rsidRPr="008734B7" w:rsidRDefault="00363C7B" w:rsidP="00FB1D27">
            <w:pPr>
              <w:pStyle w:val="NormalWeb"/>
              <w:spacing w:before="0" w:beforeAutospacing="0" w:after="0" w:afterAutospacing="0"/>
              <w:jc w:val="center"/>
              <w:rPr>
                <w:rFonts w:ascii="Verdana" w:hAnsi="Verdana"/>
                <w:b/>
                <w:bCs/>
                <w:sz w:val="20"/>
                <w:szCs w:val="20"/>
                <w:lang w:val="lt-LT"/>
              </w:rPr>
            </w:pPr>
            <w:r w:rsidRPr="008734B7">
              <w:rPr>
                <w:rFonts w:ascii="Verdana" w:hAnsi="Verdana"/>
                <w:b/>
                <w:bCs/>
                <w:sz w:val="20"/>
                <w:szCs w:val="20"/>
                <w:lang w:val="lt-LT"/>
              </w:rPr>
              <w:t>Techninės specifikacijos punktai, kuriems taikomi aplinkos apsaugos reikalavimai</w:t>
            </w:r>
          </w:p>
        </w:tc>
        <w:tc>
          <w:tcPr>
            <w:tcW w:w="2862" w:type="dxa"/>
            <w:vAlign w:val="center"/>
          </w:tcPr>
          <w:p w14:paraId="4BF8ACD5" w14:textId="77777777" w:rsidR="00363C7B" w:rsidRPr="008734B7" w:rsidRDefault="00363C7B" w:rsidP="00FB1D27">
            <w:pPr>
              <w:pStyle w:val="NormalWeb"/>
              <w:spacing w:before="0" w:beforeAutospacing="0" w:after="0" w:afterAutospacing="0"/>
              <w:jc w:val="center"/>
              <w:rPr>
                <w:rFonts w:ascii="Verdana" w:hAnsi="Verdana"/>
                <w:b/>
                <w:bCs/>
                <w:sz w:val="20"/>
                <w:szCs w:val="20"/>
                <w:lang w:val="lt-LT"/>
              </w:rPr>
            </w:pPr>
            <w:r w:rsidRPr="008734B7">
              <w:rPr>
                <w:rFonts w:ascii="Verdana" w:hAnsi="Verdana"/>
                <w:b/>
                <w:bCs/>
                <w:sz w:val="20"/>
                <w:szCs w:val="20"/>
                <w:lang w:val="lt-LT"/>
              </w:rPr>
              <w:t>Atitiktį reikalavimams įrodantys dokumentai</w:t>
            </w:r>
          </w:p>
        </w:tc>
      </w:tr>
      <w:tr w:rsidR="00363C7B" w:rsidRPr="008734B7" w14:paraId="3BFFC81A" w14:textId="77777777" w:rsidTr="00B6124E">
        <w:trPr>
          <w:jc w:val="center"/>
        </w:trPr>
        <w:tc>
          <w:tcPr>
            <w:tcW w:w="570" w:type="dxa"/>
            <w:vAlign w:val="center"/>
          </w:tcPr>
          <w:p w14:paraId="315EACAE" w14:textId="77777777" w:rsidR="00363C7B" w:rsidRPr="008734B7" w:rsidRDefault="00363C7B" w:rsidP="00FB1D27">
            <w:pPr>
              <w:pStyle w:val="NormalWeb"/>
              <w:spacing w:before="0" w:beforeAutospacing="0" w:after="0" w:afterAutospacing="0"/>
              <w:jc w:val="center"/>
              <w:rPr>
                <w:rFonts w:ascii="Verdana" w:hAnsi="Verdana"/>
                <w:sz w:val="20"/>
                <w:szCs w:val="20"/>
                <w:lang w:val="lt-LT"/>
              </w:rPr>
            </w:pPr>
            <w:r w:rsidRPr="008734B7">
              <w:rPr>
                <w:rFonts w:ascii="Verdana" w:hAnsi="Verdana"/>
                <w:sz w:val="20"/>
                <w:szCs w:val="20"/>
                <w:lang w:val="lt-LT"/>
              </w:rPr>
              <w:t>1.</w:t>
            </w:r>
          </w:p>
        </w:tc>
        <w:tc>
          <w:tcPr>
            <w:tcW w:w="4006" w:type="dxa"/>
            <w:vAlign w:val="center"/>
          </w:tcPr>
          <w:p w14:paraId="18135E7D" w14:textId="77777777" w:rsidR="00363C7B" w:rsidRPr="008734B7" w:rsidRDefault="00363C7B" w:rsidP="00FB1D27">
            <w:pPr>
              <w:pStyle w:val="NormalWeb"/>
              <w:spacing w:before="0" w:beforeAutospacing="0" w:after="0" w:afterAutospacing="0"/>
              <w:jc w:val="both"/>
              <w:rPr>
                <w:rFonts w:ascii="Verdana" w:hAnsi="Verdana"/>
                <w:sz w:val="20"/>
                <w:szCs w:val="20"/>
                <w:lang w:val="lt-LT"/>
              </w:rPr>
            </w:pPr>
            <w:r w:rsidRPr="008734B7">
              <w:rPr>
                <w:rFonts w:ascii="Verdana" w:hAnsi="Verdana"/>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ir kitos paslaugos)</w:t>
            </w:r>
          </w:p>
          <w:p w14:paraId="3A1C9BA1" w14:textId="77777777" w:rsidR="00363C7B" w:rsidRPr="008734B7" w:rsidRDefault="00363C7B" w:rsidP="00FB1D27">
            <w:pPr>
              <w:pStyle w:val="NormalWeb"/>
              <w:spacing w:before="0" w:beforeAutospacing="0" w:after="0" w:afterAutospacing="0"/>
              <w:jc w:val="both"/>
              <w:rPr>
                <w:rFonts w:ascii="Verdana" w:hAnsi="Verdana"/>
                <w:sz w:val="20"/>
                <w:szCs w:val="20"/>
                <w:lang w:val="lt-LT"/>
              </w:rPr>
            </w:pPr>
            <w:r w:rsidRPr="008734B7">
              <w:rPr>
                <w:rFonts w:ascii="Verdana" w:hAnsi="Verdana"/>
                <w:sz w:val="20"/>
                <w:szCs w:val="20"/>
                <w:lang w:val="lt-LT"/>
              </w:rPr>
              <w:lastRenderedPageBreak/>
              <w:t>(Aplinkos apsaugos kriterijų taikymo, vykdant žaliuosius pirkimus, tvarkos aprašo, patvirtinto Lietuvos Respublikos aplinkos ministro 2011 m. birželio 28 d. įsakymu Nr. D1-508, 4.4.3 papunktis).</w:t>
            </w:r>
          </w:p>
        </w:tc>
        <w:tc>
          <w:tcPr>
            <w:tcW w:w="2184" w:type="dxa"/>
            <w:vAlign w:val="center"/>
          </w:tcPr>
          <w:p w14:paraId="768B4E7F" w14:textId="77777777" w:rsidR="00363C7B" w:rsidRPr="008734B7" w:rsidRDefault="00363C7B" w:rsidP="00FB1D27">
            <w:pPr>
              <w:pStyle w:val="NormalWeb"/>
              <w:spacing w:before="0" w:beforeAutospacing="0" w:after="0" w:afterAutospacing="0"/>
              <w:jc w:val="center"/>
              <w:rPr>
                <w:rFonts w:ascii="Verdana" w:hAnsi="Verdana"/>
                <w:sz w:val="20"/>
                <w:szCs w:val="20"/>
                <w:lang w:val="lt-LT"/>
              </w:rPr>
            </w:pPr>
            <w:r w:rsidRPr="008734B7">
              <w:rPr>
                <w:rFonts w:ascii="Verdana" w:hAnsi="Verdana"/>
                <w:sz w:val="20"/>
                <w:szCs w:val="20"/>
                <w:lang w:val="lt-LT"/>
              </w:rPr>
              <w:lastRenderedPageBreak/>
              <w:t>Taikoma visam</w:t>
            </w:r>
          </w:p>
          <w:p w14:paraId="594F4443" w14:textId="77777777" w:rsidR="00363C7B" w:rsidRPr="008734B7" w:rsidRDefault="00363C7B" w:rsidP="00FB1D27">
            <w:pPr>
              <w:pStyle w:val="NormalWeb"/>
              <w:spacing w:before="0" w:beforeAutospacing="0" w:after="0" w:afterAutospacing="0"/>
              <w:jc w:val="center"/>
              <w:rPr>
                <w:rFonts w:ascii="Verdana" w:hAnsi="Verdana"/>
                <w:sz w:val="20"/>
                <w:szCs w:val="20"/>
                <w:lang w:val="lt-LT"/>
              </w:rPr>
            </w:pPr>
            <w:r w:rsidRPr="008734B7">
              <w:rPr>
                <w:rFonts w:ascii="Verdana" w:hAnsi="Verdana"/>
                <w:sz w:val="20"/>
                <w:szCs w:val="20"/>
                <w:lang w:val="lt-LT"/>
              </w:rPr>
              <w:t>pirkimo objektui</w:t>
            </w:r>
          </w:p>
        </w:tc>
        <w:tc>
          <w:tcPr>
            <w:tcW w:w="2862" w:type="dxa"/>
            <w:vAlign w:val="center"/>
          </w:tcPr>
          <w:p w14:paraId="50FAAE5B" w14:textId="69D1C108" w:rsidR="00363C7B" w:rsidRPr="008734B7" w:rsidRDefault="00363C7B" w:rsidP="00FB1D27">
            <w:pPr>
              <w:pStyle w:val="NormalWeb"/>
              <w:spacing w:before="0" w:beforeAutospacing="0" w:after="0" w:afterAutospacing="0"/>
              <w:jc w:val="center"/>
              <w:rPr>
                <w:rFonts w:ascii="Verdana" w:hAnsi="Verdana"/>
                <w:sz w:val="20"/>
                <w:szCs w:val="20"/>
                <w:lang w:val="lt-LT"/>
              </w:rPr>
            </w:pPr>
            <w:r w:rsidRPr="008734B7">
              <w:rPr>
                <w:rFonts w:ascii="Verdana" w:hAnsi="Verdana"/>
                <w:sz w:val="20"/>
                <w:szCs w:val="20"/>
                <w:lang w:val="lt-LT"/>
              </w:rPr>
              <w:t>Dokumentų pateikti nereikalaujama</w:t>
            </w:r>
          </w:p>
        </w:tc>
      </w:tr>
    </w:tbl>
    <w:p w14:paraId="5EAC6EA0" w14:textId="77777777" w:rsidR="00363C7B" w:rsidRPr="008734B7" w:rsidRDefault="00363C7B" w:rsidP="00FB1D27">
      <w:pPr>
        <w:pStyle w:val="ListParagraph"/>
        <w:tabs>
          <w:tab w:val="left" w:pos="1276"/>
        </w:tabs>
        <w:autoSpaceDE w:val="0"/>
        <w:autoSpaceDN w:val="0"/>
        <w:adjustRightInd w:val="0"/>
        <w:ind w:left="567"/>
        <w:jc w:val="both"/>
        <w:rPr>
          <w:rFonts w:ascii="Verdana" w:hAnsi="Verdana"/>
          <w:sz w:val="20"/>
          <w:szCs w:val="20"/>
        </w:rPr>
      </w:pPr>
    </w:p>
    <w:p w14:paraId="181CE085" w14:textId="09786022" w:rsidR="00363C7B" w:rsidRPr="008734B7" w:rsidRDefault="008734B7" w:rsidP="008734B7">
      <w:pPr>
        <w:tabs>
          <w:tab w:val="left" w:pos="993"/>
        </w:tabs>
        <w:autoSpaceDE w:val="0"/>
        <w:autoSpaceDN w:val="0"/>
        <w:adjustRightInd w:val="0"/>
        <w:spacing w:line="240" w:lineRule="auto"/>
        <w:ind w:firstLine="567"/>
        <w:jc w:val="both"/>
        <w:rPr>
          <w:szCs w:val="20"/>
        </w:rPr>
      </w:pPr>
      <w:r w:rsidRPr="008734B7">
        <w:rPr>
          <w:szCs w:val="20"/>
        </w:rPr>
        <w:t xml:space="preserve">9. </w:t>
      </w:r>
      <w:r w:rsidR="00363C7B" w:rsidRPr="008734B7">
        <w:rPr>
          <w:szCs w:val="20"/>
        </w:rPr>
        <w:t>Šis pirkimas laikomas susijusiu su nacionaliniu saugumu, todėl šio pirkimo atžvilgiu keliami specialieji reikalavimai Paslaugų teikėjo siūlomoms paslaugoms, nurodytoms šioje Techninėje specifikacijoje, siekiant užtikrinti šalies nacionalinio saugumo interesus. Nacionalinio saugumo reikalavimai paslaugoms nurodyti Pirkimo sąlygų 5 skyriuje. </w:t>
      </w:r>
    </w:p>
    <w:p w14:paraId="31BE4F8F" w14:textId="7CAEE320" w:rsidR="001A1D5A" w:rsidRPr="001A1D5A" w:rsidRDefault="001A1D5A" w:rsidP="00363C7B">
      <w:pPr>
        <w:jc w:val="center"/>
        <w:rPr>
          <w:i/>
          <w:iCs/>
          <w:color w:val="7030A0"/>
        </w:rPr>
      </w:pPr>
    </w:p>
    <w:sectPr w:rsidR="001A1D5A" w:rsidRPr="001A1D5A" w:rsidSect="001A1D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C7"/>
    <w:multiLevelType w:val="multilevel"/>
    <w:tmpl w:val="003EB796"/>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8680AA7"/>
    <w:multiLevelType w:val="multilevel"/>
    <w:tmpl w:val="C2DE5CF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8863ED7"/>
    <w:multiLevelType w:val="hybridMultilevel"/>
    <w:tmpl w:val="7F7E9332"/>
    <w:lvl w:ilvl="0" w:tplc="3524FE82">
      <w:start w:val="1"/>
      <w:numFmt w:val="decimal"/>
      <w:lvlText w:val="%1."/>
      <w:lvlJc w:val="left"/>
      <w:pPr>
        <w:ind w:left="720" w:hanging="360"/>
      </w:pPr>
      <w:rPr>
        <w:rFonts w:eastAsia="TimesNewRomanPSMT"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C06390"/>
    <w:multiLevelType w:val="hybridMultilevel"/>
    <w:tmpl w:val="7E7A6BCE"/>
    <w:lvl w:ilvl="0" w:tplc="55CE37F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72195"/>
    <w:multiLevelType w:val="multilevel"/>
    <w:tmpl w:val="04CAFF5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FF0373E"/>
    <w:multiLevelType w:val="multilevel"/>
    <w:tmpl w:val="113ED17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i w:val="0"/>
        <w:i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6" w15:restartNumberingAfterBreak="0">
    <w:nsid w:val="73DE6476"/>
    <w:multiLevelType w:val="multilevel"/>
    <w:tmpl w:val="7006275A"/>
    <w:lvl w:ilvl="0">
      <w:start w:val="1"/>
      <w:numFmt w:val="decimal"/>
      <w:lvlText w:val="%1."/>
      <w:lvlJc w:val="left"/>
      <w:pPr>
        <w:ind w:left="720" w:hanging="360"/>
      </w:pPr>
      <w:rPr>
        <w:rFonts w:hint="default"/>
      </w:rPr>
    </w:lvl>
    <w:lvl w:ilvl="1">
      <w:start w:val="1"/>
      <w:numFmt w:val="decimal"/>
      <w:isLgl/>
      <w:lvlText w:val="%1.%2."/>
      <w:lvlJc w:val="left"/>
      <w:pPr>
        <w:ind w:left="720" w:hanging="493"/>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47971399">
    <w:abstractNumId w:val="3"/>
  </w:num>
  <w:num w:numId="2" w16cid:durableId="1469013651">
    <w:abstractNumId w:val="0"/>
  </w:num>
  <w:num w:numId="3" w16cid:durableId="1710955687">
    <w:abstractNumId w:val="1"/>
  </w:num>
  <w:num w:numId="4" w16cid:durableId="1264147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845497">
    <w:abstractNumId w:val="2"/>
  </w:num>
  <w:num w:numId="6" w16cid:durableId="572080893">
    <w:abstractNumId w:val="4"/>
  </w:num>
  <w:num w:numId="7" w16cid:durableId="1393040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5A"/>
    <w:rsid w:val="0002645B"/>
    <w:rsid w:val="000513C9"/>
    <w:rsid w:val="0005669E"/>
    <w:rsid w:val="00077380"/>
    <w:rsid w:val="00085FB4"/>
    <w:rsid w:val="000A018C"/>
    <w:rsid w:val="000A60CD"/>
    <w:rsid w:val="000C72D5"/>
    <w:rsid w:val="000D4C93"/>
    <w:rsid w:val="001036FE"/>
    <w:rsid w:val="00113B9A"/>
    <w:rsid w:val="00132314"/>
    <w:rsid w:val="00150C18"/>
    <w:rsid w:val="001520D2"/>
    <w:rsid w:val="00156A4C"/>
    <w:rsid w:val="001A1D5A"/>
    <w:rsid w:val="002028E0"/>
    <w:rsid w:val="0021695E"/>
    <w:rsid w:val="002375AC"/>
    <w:rsid w:val="00244F36"/>
    <w:rsid w:val="0025118F"/>
    <w:rsid w:val="00275BFC"/>
    <w:rsid w:val="00284F28"/>
    <w:rsid w:val="00285E35"/>
    <w:rsid w:val="002C4816"/>
    <w:rsid w:val="002C774E"/>
    <w:rsid w:val="002D1F3A"/>
    <w:rsid w:val="00305F34"/>
    <w:rsid w:val="0030654D"/>
    <w:rsid w:val="0034044C"/>
    <w:rsid w:val="003479A0"/>
    <w:rsid w:val="00363C7B"/>
    <w:rsid w:val="003A39EA"/>
    <w:rsid w:val="003B2DC8"/>
    <w:rsid w:val="003F08AE"/>
    <w:rsid w:val="0046188D"/>
    <w:rsid w:val="00482196"/>
    <w:rsid w:val="00496E3E"/>
    <w:rsid w:val="004A6683"/>
    <w:rsid w:val="004B20F1"/>
    <w:rsid w:val="004B227D"/>
    <w:rsid w:val="005007EB"/>
    <w:rsid w:val="00550866"/>
    <w:rsid w:val="005B53C3"/>
    <w:rsid w:val="005C43E5"/>
    <w:rsid w:val="005D272D"/>
    <w:rsid w:val="005D6C87"/>
    <w:rsid w:val="005D6C8C"/>
    <w:rsid w:val="005F4987"/>
    <w:rsid w:val="0060047C"/>
    <w:rsid w:val="0062203B"/>
    <w:rsid w:val="00636FEC"/>
    <w:rsid w:val="00651290"/>
    <w:rsid w:val="006636A7"/>
    <w:rsid w:val="006660F0"/>
    <w:rsid w:val="006960C8"/>
    <w:rsid w:val="006B03B2"/>
    <w:rsid w:val="006D5731"/>
    <w:rsid w:val="006F5F48"/>
    <w:rsid w:val="0070129B"/>
    <w:rsid w:val="007162E7"/>
    <w:rsid w:val="00734B4B"/>
    <w:rsid w:val="00786344"/>
    <w:rsid w:val="007A5484"/>
    <w:rsid w:val="007B6E30"/>
    <w:rsid w:val="007C0F74"/>
    <w:rsid w:val="00831CE7"/>
    <w:rsid w:val="008734B7"/>
    <w:rsid w:val="00877B01"/>
    <w:rsid w:val="008876A0"/>
    <w:rsid w:val="008C5CBF"/>
    <w:rsid w:val="008D30E1"/>
    <w:rsid w:val="008E22F6"/>
    <w:rsid w:val="008E5910"/>
    <w:rsid w:val="00926298"/>
    <w:rsid w:val="009555B1"/>
    <w:rsid w:val="00971137"/>
    <w:rsid w:val="009757CB"/>
    <w:rsid w:val="009813B6"/>
    <w:rsid w:val="00983BA7"/>
    <w:rsid w:val="009F2FC3"/>
    <w:rsid w:val="009F392B"/>
    <w:rsid w:val="00A13C13"/>
    <w:rsid w:val="00A4564E"/>
    <w:rsid w:val="00A65E4A"/>
    <w:rsid w:val="00A82C3B"/>
    <w:rsid w:val="00A97BC7"/>
    <w:rsid w:val="00AE76D7"/>
    <w:rsid w:val="00B6124E"/>
    <w:rsid w:val="00B7789A"/>
    <w:rsid w:val="00BA7099"/>
    <w:rsid w:val="00BA7D5D"/>
    <w:rsid w:val="00BC55F6"/>
    <w:rsid w:val="00BE13AB"/>
    <w:rsid w:val="00BE77B2"/>
    <w:rsid w:val="00BF0F5E"/>
    <w:rsid w:val="00C3445A"/>
    <w:rsid w:val="00C36ED6"/>
    <w:rsid w:val="00C37905"/>
    <w:rsid w:val="00C94130"/>
    <w:rsid w:val="00CC201A"/>
    <w:rsid w:val="00CC5636"/>
    <w:rsid w:val="00CC7847"/>
    <w:rsid w:val="00D12510"/>
    <w:rsid w:val="00D856B2"/>
    <w:rsid w:val="00D947F5"/>
    <w:rsid w:val="00DB325F"/>
    <w:rsid w:val="00E11261"/>
    <w:rsid w:val="00E4777A"/>
    <w:rsid w:val="00E70D17"/>
    <w:rsid w:val="00E817E1"/>
    <w:rsid w:val="00EA6E7C"/>
    <w:rsid w:val="00F34CD3"/>
    <w:rsid w:val="00F3598C"/>
    <w:rsid w:val="00F36189"/>
    <w:rsid w:val="00F363CF"/>
    <w:rsid w:val="00F36ED8"/>
    <w:rsid w:val="00F808AE"/>
    <w:rsid w:val="00F826DE"/>
    <w:rsid w:val="00F82A0F"/>
    <w:rsid w:val="00FA2782"/>
    <w:rsid w:val="00FB1D27"/>
    <w:rsid w:val="102321B4"/>
    <w:rsid w:val="110C3564"/>
    <w:rsid w:val="32C61768"/>
    <w:rsid w:val="37F75D11"/>
    <w:rsid w:val="41386475"/>
    <w:rsid w:val="43B6465A"/>
    <w:rsid w:val="4C91187B"/>
    <w:rsid w:val="7BED82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D8F"/>
  <w15:chartTrackingRefBased/>
  <w15:docId w15:val="{7FD702A0-BE87-49B0-8C55-98AA7D3C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A"/>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D5A"/>
    <w:rPr>
      <w:rFonts w:asciiTheme="majorHAnsi" w:eastAsiaTheme="majorEastAsia" w:hAnsiTheme="majorHAnsi" w:cstheme="majorBidi"/>
      <w:color w:val="ED7D31" w:themeColor="accent2"/>
      <w:kern w:val="0"/>
      <w:sz w:val="36"/>
      <w:szCs w:val="36"/>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363C7B"/>
    <w:pPr>
      <w:spacing w:after="0" w:line="240" w:lineRule="auto"/>
      <w:ind w:left="720"/>
      <w:contextualSpacing/>
    </w:pPr>
    <w:rPr>
      <w:rFonts w:asciiTheme="minorHAnsi" w:eastAsiaTheme="minorEastAsia" w:hAnsiTheme="minorHAnsi"/>
      <w:kern w:val="0"/>
      <w:sz w:val="24"/>
      <w:szCs w:val="24"/>
      <w14:ligatures w14:val="none"/>
    </w:rPr>
  </w:style>
  <w:style w:type="paragraph" w:styleId="NormalWeb">
    <w:name w:val="Normal (Web)"/>
    <w:basedOn w:val="Normal"/>
    <w:uiPriority w:val="99"/>
    <w:unhideWhenUsed/>
    <w:rsid w:val="00363C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63C7B"/>
    <w:rPr>
      <w:rFonts w:asciiTheme="minorHAnsi" w:eastAsiaTheme="minorEastAsia" w:hAnsiTheme="minorHAnsi"/>
      <w:kern w:val="0"/>
      <w:sz w:val="24"/>
      <w:szCs w:val="24"/>
      <w14:ligatures w14:val="none"/>
    </w:rPr>
  </w:style>
  <w:style w:type="table" w:styleId="TableGrid">
    <w:name w:val="Table Grid"/>
    <w:basedOn w:val="TableNormal"/>
    <w:uiPriority w:val="39"/>
    <w:rsid w:val="00363C7B"/>
    <w:pPr>
      <w:spacing w:after="0" w:line="240" w:lineRule="auto"/>
    </w:pPr>
    <w:rPr>
      <w:rFonts w:asciiTheme="minorHAnsi" w:hAnsiTheme="minorHAns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72D"/>
    <w:rPr>
      <w:sz w:val="16"/>
      <w:szCs w:val="16"/>
    </w:rPr>
  </w:style>
  <w:style w:type="paragraph" w:styleId="CommentText">
    <w:name w:val="annotation text"/>
    <w:basedOn w:val="Normal"/>
    <w:link w:val="CommentTextChar"/>
    <w:uiPriority w:val="99"/>
    <w:unhideWhenUsed/>
    <w:rsid w:val="005D272D"/>
    <w:pPr>
      <w:spacing w:line="240" w:lineRule="auto"/>
    </w:pPr>
    <w:rPr>
      <w:szCs w:val="20"/>
    </w:rPr>
  </w:style>
  <w:style w:type="character" w:customStyle="1" w:styleId="CommentTextChar">
    <w:name w:val="Comment Text Char"/>
    <w:basedOn w:val="DefaultParagraphFont"/>
    <w:link w:val="CommentText"/>
    <w:uiPriority w:val="99"/>
    <w:rsid w:val="005D272D"/>
    <w:rPr>
      <w:szCs w:val="20"/>
    </w:rPr>
  </w:style>
  <w:style w:type="paragraph" w:styleId="CommentSubject">
    <w:name w:val="annotation subject"/>
    <w:basedOn w:val="CommentText"/>
    <w:next w:val="CommentText"/>
    <w:link w:val="CommentSubjectChar"/>
    <w:uiPriority w:val="99"/>
    <w:semiHidden/>
    <w:unhideWhenUsed/>
    <w:rsid w:val="005D272D"/>
    <w:rPr>
      <w:b/>
      <w:bCs/>
    </w:rPr>
  </w:style>
  <w:style w:type="character" w:customStyle="1" w:styleId="CommentSubjectChar">
    <w:name w:val="Comment Subject Char"/>
    <w:basedOn w:val="CommentTextChar"/>
    <w:link w:val="CommentSubject"/>
    <w:uiPriority w:val="99"/>
    <w:semiHidden/>
    <w:rsid w:val="005D272D"/>
    <w:rPr>
      <w:b/>
      <w:bCs/>
      <w:szCs w:val="20"/>
    </w:rPr>
  </w:style>
  <w:style w:type="character" w:customStyle="1" w:styleId="ui-provider">
    <w:name w:val="ui-provider"/>
    <w:basedOn w:val="DefaultParagraphFont"/>
    <w:rsid w:val="002028E0"/>
  </w:style>
  <w:style w:type="character" w:styleId="Hyperlink">
    <w:name w:val="Hyperlink"/>
    <w:basedOn w:val="DefaultParagraphFont"/>
    <w:uiPriority w:val="99"/>
    <w:unhideWhenUsed/>
    <w:rsid w:val="00DB325F"/>
    <w:rPr>
      <w:color w:val="0563C1" w:themeColor="hyperlink"/>
      <w:u w:val="single"/>
    </w:rPr>
  </w:style>
  <w:style w:type="character" w:styleId="UnresolvedMention">
    <w:name w:val="Unresolved Mention"/>
    <w:basedOn w:val="DefaultParagraphFont"/>
    <w:uiPriority w:val="99"/>
    <w:semiHidden/>
    <w:unhideWhenUsed/>
    <w:rsid w:val="00DB325F"/>
    <w:rPr>
      <w:color w:val="605E5C"/>
      <w:shd w:val="clear" w:color="auto" w:fill="E1DFDD"/>
    </w:rPr>
  </w:style>
  <w:style w:type="character" w:styleId="Mention">
    <w:name w:val="Mention"/>
    <w:basedOn w:val="DefaultParagraphFont"/>
    <w:uiPriority w:val="99"/>
    <w:unhideWhenUsed/>
    <w:rsid w:val="00305F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d.com/sup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B34407FA82EC4CB8702A91244E2553" ma:contentTypeVersion="4" ma:contentTypeDescription="Kurkite naują dokumentą." ma:contentTypeScope="" ma:versionID="8dc6d8d086d6a3326f6ec5938c88ee1b">
  <xsd:schema xmlns:xsd="http://www.w3.org/2001/XMLSchema" xmlns:xs="http://www.w3.org/2001/XMLSchema" xmlns:p="http://schemas.microsoft.com/office/2006/metadata/properties" xmlns:ns2="1ab78aa0-d34e-4e65-a389-1776733dd83a" targetNamespace="http://schemas.microsoft.com/office/2006/metadata/properties" ma:root="true" ma:fieldsID="956a800e0e919406325e07169c582896" ns2:_="">
    <xsd:import namespace="1ab78aa0-d34e-4e65-a389-1776733dd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8aa0-d34e-4e65-a389-1776733dd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A752B-DDCC-4FDB-8213-ADCDE30FD2FD}">
  <ds:schemaRefs>
    <ds:schemaRef ds:uri="http://schemas.microsoft.com/sharepoint/v3/contenttype/forms"/>
  </ds:schemaRefs>
</ds:datastoreItem>
</file>

<file path=customXml/itemProps2.xml><?xml version="1.0" encoding="utf-8"?>
<ds:datastoreItem xmlns:ds="http://schemas.openxmlformats.org/officeDocument/2006/customXml" ds:itemID="{1F60E18C-6EF1-44B3-8E90-187F617A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8aa0-d34e-4e65-a389-1776733dd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21BA5-5570-4257-B2D4-574C809069F7}">
  <ds:schemaRefs>
    <ds:schemaRef ds:uri="http://purl.org/dc/dcmitype/"/>
    <ds:schemaRef ds:uri="http://schemas.microsoft.com/office/2006/metadata/properties"/>
    <ds:schemaRef ds:uri="http://schemas.microsoft.com/office/2006/documentManagement/types"/>
    <ds:schemaRef ds:uri="1ab78aa0-d34e-4e65-a389-1776733dd83a"/>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4687</Words>
  <Characters>2673</Characters>
  <Application>Microsoft Office Word</Application>
  <DocSecurity>0</DocSecurity>
  <Lines>22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78</cp:revision>
  <dcterms:created xsi:type="dcterms:W3CDTF">2025-01-17T01:25:00Z</dcterms:created>
  <dcterms:modified xsi:type="dcterms:W3CDTF">2025-02-26T17:31:00Z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ies>
</file>