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C2113" w14:textId="28C86950" w:rsidR="00CB5907" w:rsidRPr="00A76EAF" w:rsidRDefault="00DE051B" w:rsidP="00105DAD">
      <w:pPr>
        <w:spacing w:line="240" w:lineRule="auto"/>
        <w:ind w:left="7314" w:firstLine="0"/>
        <w:rPr>
          <w:rFonts w:cstheme="minorHAnsi"/>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r w:rsidRPr="00A76EAF">
        <w:rPr>
          <w:rFonts w:cstheme="minorHAnsi"/>
        </w:rPr>
        <w:t>P</w:t>
      </w:r>
      <w:r w:rsidR="00CB5907" w:rsidRPr="00A76EAF">
        <w:rPr>
          <w:rFonts w:cstheme="minorHAnsi"/>
        </w:rPr>
        <w:t xml:space="preserve">irkimo sąlygų </w:t>
      </w:r>
      <w:r w:rsidR="000A5F4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0"/>
      <w:bookmarkEnd w:id="1"/>
      <w:bookmarkEnd w:id="2"/>
      <w:bookmarkEnd w:id="3"/>
      <w:bookmarkEnd w:id="4"/>
      <w:bookmarkEnd w:id="5"/>
    </w:p>
    <w:bookmarkEnd w:id="6"/>
    <w:p w14:paraId="111DB7D6" w14:textId="77777777" w:rsidR="00CB5907" w:rsidRPr="00A76EAF" w:rsidRDefault="00CB5907" w:rsidP="00CB5907">
      <w:pPr>
        <w:jc w:val="center"/>
        <w:rPr>
          <w:rFonts w:cstheme="minorHAnsi"/>
          <w:sz w:val="28"/>
          <w:szCs w:val="28"/>
        </w:rPr>
      </w:pPr>
    </w:p>
    <w:p w14:paraId="3C224FCE" w14:textId="7A0547BA" w:rsidR="00CB5907" w:rsidRDefault="00CB5907" w:rsidP="00331DD5">
      <w:pPr>
        <w:spacing w:after="240"/>
        <w:jc w:val="center"/>
        <w:rPr>
          <w:rFonts w:eastAsia="Arial" w:cstheme="minorHAnsi"/>
          <w:b/>
          <w:smallCaps/>
          <w:color w:val="404040"/>
          <w:sz w:val="28"/>
          <w:szCs w:val="28"/>
        </w:rPr>
      </w:pPr>
      <w:r w:rsidRPr="00331DD5">
        <w:rPr>
          <w:rFonts w:eastAsia="Arial" w:cstheme="minorHAnsi"/>
          <w:b/>
          <w:smallCaps/>
          <w:color w:val="404040"/>
          <w:sz w:val="28"/>
          <w:szCs w:val="28"/>
        </w:rPr>
        <w:t>TECHNINĖ SPECIFIKACIJA</w:t>
      </w:r>
    </w:p>
    <w:p w14:paraId="20E3155D" w14:textId="77777777" w:rsidR="002D606A" w:rsidRPr="0005127B" w:rsidRDefault="002D606A" w:rsidP="002D606A">
      <w:pPr>
        <w:tabs>
          <w:tab w:val="left" w:pos="284"/>
        </w:tabs>
        <w:spacing w:line="276" w:lineRule="auto"/>
        <w:ind w:right="-755"/>
        <w:rPr>
          <w:rFonts w:cstheme="minorHAnsi"/>
          <w:b/>
          <w:sz w:val="22"/>
          <w:szCs w:val="22"/>
        </w:rPr>
      </w:pPr>
      <w:r w:rsidRPr="0005127B">
        <w:rPr>
          <w:rFonts w:cstheme="minorHAnsi"/>
          <w:b/>
          <w:sz w:val="22"/>
          <w:szCs w:val="22"/>
        </w:rPr>
        <w:t>1. Pagrindinės sąvokos:</w:t>
      </w:r>
    </w:p>
    <w:p w14:paraId="42B75485" w14:textId="77777777" w:rsidR="002D606A" w:rsidRPr="0005127B" w:rsidRDefault="002D606A" w:rsidP="002D606A">
      <w:pPr>
        <w:tabs>
          <w:tab w:val="left" w:pos="284"/>
        </w:tabs>
        <w:spacing w:line="276" w:lineRule="auto"/>
        <w:ind w:right="-755"/>
        <w:rPr>
          <w:rFonts w:cstheme="minorHAnsi"/>
          <w:bCs/>
          <w:sz w:val="22"/>
          <w:szCs w:val="22"/>
        </w:rPr>
      </w:pPr>
      <w:r w:rsidRPr="0005127B">
        <w:rPr>
          <w:rFonts w:cstheme="minorHAnsi"/>
          <w:b/>
          <w:sz w:val="22"/>
          <w:szCs w:val="22"/>
        </w:rPr>
        <w:t>Perkantysis subjektas (Draudėjas)</w:t>
      </w:r>
      <w:r w:rsidRPr="0005127B">
        <w:rPr>
          <w:rFonts w:cstheme="minorHAnsi"/>
          <w:bCs/>
          <w:sz w:val="22"/>
          <w:szCs w:val="22"/>
        </w:rPr>
        <w:t xml:space="preserve"> – </w:t>
      </w:r>
      <w:r w:rsidRPr="0005127B">
        <w:rPr>
          <w:rFonts w:cstheme="minorHAnsi"/>
          <w:sz w:val="22"/>
          <w:szCs w:val="22"/>
        </w:rPr>
        <w:t>VŠĮ Švietimo mainų paramos fondas.</w:t>
      </w:r>
    </w:p>
    <w:p w14:paraId="0E3253F4" w14:textId="77777777" w:rsidR="002D606A" w:rsidRPr="0005127B" w:rsidRDefault="002D606A" w:rsidP="002D606A">
      <w:pPr>
        <w:pStyle w:val="ListParagraph"/>
        <w:tabs>
          <w:tab w:val="left" w:pos="284"/>
          <w:tab w:val="left" w:pos="426"/>
        </w:tabs>
        <w:spacing w:line="276" w:lineRule="auto"/>
        <w:ind w:left="0" w:right="-23"/>
        <w:rPr>
          <w:rFonts w:cstheme="minorHAnsi"/>
          <w:bCs/>
          <w:sz w:val="22"/>
          <w:szCs w:val="22"/>
        </w:rPr>
      </w:pPr>
      <w:r w:rsidRPr="0005127B">
        <w:rPr>
          <w:rFonts w:cstheme="minorHAnsi"/>
          <w:b/>
          <w:sz w:val="22"/>
          <w:szCs w:val="22"/>
        </w:rPr>
        <w:t>Tiekėjas (Draudikas)</w:t>
      </w:r>
      <w:r w:rsidRPr="0005127B">
        <w:rPr>
          <w:rFonts w:cstheme="minorHAnsi"/>
          <w:bCs/>
          <w:sz w:val="22"/>
          <w:szCs w:val="22"/>
        </w:rPr>
        <w:t xml:space="preserve"> – pagal Konkurso ir šios techninės specifikacijos sąlygas draudimo sutartį sudaręs asmuo, teisės aktų nustatyta tvarka turintis teisę vykdyti draudimo veiklą. </w:t>
      </w:r>
    </w:p>
    <w:p w14:paraId="3BCB5EC1" w14:textId="77777777" w:rsidR="002D606A" w:rsidRPr="0005127B" w:rsidRDefault="002D606A" w:rsidP="002D606A">
      <w:pPr>
        <w:spacing w:line="276" w:lineRule="auto"/>
        <w:rPr>
          <w:rFonts w:eastAsia="Calibri" w:cstheme="minorHAnsi"/>
          <w:sz w:val="22"/>
          <w:szCs w:val="22"/>
        </w:rPr>
      </w:pPr>
      <w:r w:rsidRPr="0005127B">
        <w:rPr>
          <w:rFonts w:eastAsia="Calibri" w:cstheme="minorHAnsi"/>
          <w:b/>
          <w:sz w:val="22"/>
          <w:szCs w:val="22"/>
        </w:rPr>
        <w:t>Pirkimo objektas</w:t>
      </w:r>
      <w:r w:rsidRPr="0005127B">
        <w:rPr>
          <w:rFonts w:eastAsia="Calibri" w:cstheme="minorHAnsi"/>
          <w:sz w:val="22"/>
          <w:szCs w:val="22"/>
        </w:rPr>
        <w:t xml:space="preserve"> </w:t>
      </w:r>
      <w:r w:rsidRPr="0005127B">
        <w:rPr>
          <w:rFonts w:eastAsia="Calibri" w:cstheme="minorHAnsi"/>
          <w:b/>
          <w:sz w:val="22"/>
          <w:szCs w:val="22"/>
        </w:rPr>
        <w:t xml:space="preserve">– </w:t>
      </w:r>
      <w:r w:rsidRPr="0005127B">
        <w:rPr>
          <w:rFonts w:eastAsia="Calibri" w:cstheme="minorHAnsi"/>
          <w:sz w:val="22"/>
          <w:szCs w:val="22"/>
        </w:rPr>
        <w:t>darbuotojų sveikatos draudimo paslauga (toliau – Paslauga).</w:t>
      </w:r>
    </w:p>
    <w:p w14:paraId="03FEE4EA"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Apdraustasis</w:t>
      </w:r>
      <w:r w:rsidRPr="0005127B">
        <w:rPr>
          <w:rFonts w:cstheme="minorHAnsi"/>
          <w:sz w:val="22"/>
          <w:szCs w:val="22"/>
        </w:rPr>
        <w:t xml:space="preserve"> – darbo santykiais susijęs su Draudėju ir sutartyje nurodytas fizinis asmuo, kurio gyvenime atsitikus draudžiamajam įvykiui, Draudikas privalo mokėti draudimo išmoką.</w:t>
      </w:r>
    </w:p>
    <w:p w14:paraId="64A08D78"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Sveikatos sutrikimas </w:t>
      </w:r>
      <w:r w:rsidRPr="0005127B">
        <w:rPr>
          <w:rFonts w:cstheme="minorHAnsi"/>
          <w:sz w:val="22"/>
          <w:szCs w:val="22"/>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E6011BA"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Draudžiamasis įvykis</w:t>
      </w:r>
      <w:r w:rsidRPr="0005127B">
        <w:rPr>
          <w:rFonts w:cstheme="minorHAnsi"/>
          <w:sz w:val="22"/>
          <w:szCs w:val="22"/>
        </w:rPr>
        <w:t xml:space="preserve"> – šioje techninėje specifikacijoje nurodytas atsitikimas, kuriam įvykus Draudikas privalo mokėti draudimo išmoką.</w:t>
      </w:r>
    </w:p>
    <w:p w14:paraId="4695044E"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Nedraudžiamasis įvykis </w:t>
      </w:r>
      <w:r w:rsidRPr="0005127B">
        <w:rPr>
          <w:rFonts w:cstheme="minorHAnsi"/>
          <w:sz w:val="22"/>
          <w:szCs w:val="22"/>
        </w:rPr>
        <w:t>– šioje techninėje specifikacijoje nurodytas atsitikimas, kuriam įvykus Draudikas neprivalo mokėti draudimo išmokos.</w:t>
      </w:r>
    </w:p>
    <w:p w14:paraId="5DD3085D"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Sveikatos priežiūros įstaiga</w:t>
      </w:r>
      <w:r w:rsidRPr="0005127B">
        <w:rPr>
          <w:rFonts w:cstheme="minorHAnsi"/>
          <w:sz w:val="22"/>
          <w:szCs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3F4C46F"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Draudiko pripažįstama sveikatos priežiūros įstaiga ir/ar vaistinė</w:t>
      </w:r>
      <w:r w:rsidRPr="0005127B">
        <w:rPr>
          <w:rFonts w:cstheme="minorHAnsi"/>
          <w:sz w:val="22"/>
          <w:szCs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0209856"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t>Draudimo apsauga</w:t>
      </w:r>
      <w:r w:rsidRPr="0005127B">
        <w:rPr>
          <w:rFonts w:cstheme="minorHAnsi"/>
          <w:sz w:val="22"/>
          <w:szCs w:val="22"/>
        </w:rPr>
        <w:t xml:space="preserve"> – Draudiko įsipareigojimas įvykus draudžiamajam įvykiui mokėti draudimo išmoką.</w:t>
      </w:r>
    </w:p>
    <w:p w14:paraId="5D80F60E"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Draudimo įmoka</w:t>
      </w:r>
      <w:r w:rsidRPr="0005127B">
        <w:rPr>
          <w:rFonts w:cstheme="minorHAnsi"/>
          <w:sz w:val="22"/>
          <w:szCs w:val="22"/>
        </w:rPr>
        <w:t xml:space="preserve"> – draudimo sutartyje nurodyta pinigų suma, kurią Draudėjas sutarties sąlygomis privalo mokėti Draudikui už suteikiamą draudimo apsaugą.</w:t>
      </w:r>
    </w:p>
    <w:p w14:paraId="376C569F"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Draudimo suma </w:t>
      </w:r>
      <w:r w:rsidRPr="0005127B">
        <w:rPr>
          <w:rFonts w:cstheme="minorHAnsi"/>
          <w:sz w:val="22"/>
          <w:szCs w:val="22"/>
        </w:rPr>
        <w:t>– draudimo sutartyje nurodyta pinigų suma, kurios negali viršyti maksimali draudimo išmoka, mokama Draudiko.</w:t>
      </w:r>
    </w:p>
    <w:p w14:paraId="5243DBF1"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t>Draudimo sutartis</w:t>
      </w:r>
      <w:r w:rsidRPr="0005127B">
        <w:rPr>
          <w:rFonts w:cstheme="minorHAnsi"/>
          <w:sz w:val="22"/>
          <w:szCs w:val="22"/>
        </w:rPr>
        <w:t xml:space="preserve"> </w:t>
      </w:r>
      <w:r w:rsidRPr="0005127B">
        <w:rPr>
          <w:rFonts w:cstheme="minorHAnsi"/>
          <w:b/>
          <w:bCs/>
          <w:sz w:val="22"/>
          <w:szCs w:val="22"/>
        </w:rPr>
        <w:t>(Sveikatos draudimo paslaugų pirkimo – pardavimo sutartis)</w:t>
      </w:r>
      <w:r w:rsidRPr="0005127B">
        <w:rPr>
          <w:rFonts w:cstheme="minorHAnsi"/>
          <w:sz w:val="22"/>
          <w:szCs w:val="22"/>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10597FA6" w14:textId="77777777" w:rsidR="002D606A" w:rsidRPr="0005127B" w:rsidRDefault="002D606A" w:rsidP="002D606A">
      <w:pPr>
        <w:tabs>
          <w:tab w:val="left" w:pos="1134"/>
        </w:tabs>
        <w:spacing w:line="276" w:lineRule="auto"/>
        <w:rPr>
          <w:rFonts w:cstheme="minorHAnsi"/>
          <w:b/>
          <w:sz w:val="22"/>
          <w:szCs w:val="22"/>
        </w:rPr>
      </w:pPr>
      <w:r w:rsidRPr="0005127B">
        <w:rPr>
          <w:rFonts w:cstheme="minorHAnsi"/>
          <w:b/>
          <w:sz w:val="22"/>
          <w:szCs w:val="22"/>
        </w:rPr>
        <w:t>Paslaugos teikimo terminas</w:t>
      </w:r>
      <w:r w:rsidRPr="0005127B">
        <w:rPr>
          <w:rFonts w:cstheme="minorHAnsi"/>
          <w:sz w:val="22"/>
          <w:szCs w:val="22"/>
        </w:rPr>
        <w:t xml:space="preserve"> – 12 mėnesių.</w:t>
      </w:r>
    </w:p>
    <w:p w14:paraId="5482C7A3"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Draudimo išmoka </w:t>
      </w:r>
      <w:r w:rsidRPr="0005127B">
        <w:rPr>
          <w:rFonts w:cstheme="minorHAnsi"/>
          <w:sz w:val="22"/>
          <w:szCs w:val="22"/>
        </w:rPr>
        <w:t xml:space="preserve">– pinigų suma, kurią Draudikas pagal draudimo sutarties sąlygas privalo išmokėti Apdraustajam ir/ar Sveikatos priežiūros įstaigai už Apdraustajam dėl draudžiamojo įvykio suteiktas sveikatos priežiūros paslaugas. </w:t>
      </w:r>
    </w:p>
    <w:p w14:paraId="3831AB3B"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Lėtinė liga</w:t>
      </w:r>
      <w:r w:rsidRPr="0005127B">
        <w:rPr>
          <w:rFonts w:cstheme="minorHAnsi"/>
          <w:sz w:val="22"/>
          <w:szCs w:val="22"/>
        </w:rPr>
        <w:t xml:space="preserve"> – Apdraustojo sveikatos būklė, kuri jau egzistuoja sudarant draudimo sutartį arba dėl kurios Apdraustasis konsultavosi, gydėsi ar vartojo vaistus.</w:t>
      </w:r>
    </w:p>
    <w:p w14:paraId="6482C94D"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Sveikatos draudimo kortelė </w:t>
      </w:r>
      <w:r w:rsidRPr="0005127B">
        <w:rPr>
          <w:rFonts w:cstheme="minorHAnsi"/>
          <w:sz w:val="22"/>
          <w:szCs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08718B22"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lastRenderedPageBreak/>
        <w:t>Medicininiai dokumentai</w:t>
      </w:r>
      <w:r w:rsidRPr="0005127B">
        <w:rPr>
          <w:rFonts w:cstheme="minorHAnsi"/>
          <w:sz w:val="22"/>
          <w:szCs w:val="22"/>
        </w:rPr>
        <w:t xml:space="preserve"> – tai dokumentai, kuriuose fiksuojama paciento ligos istorija (pvz. nurodytas nusiskundimas dėl kurio kreipėsi, kada kreipėsi, kokios pirminės išvados, atlikti tyrimai, jų rezultatai, paskirtas gydymas ir t.t.).</w:t>
      </w:r>
    </w:p>
    <w:p w14:paraId="06F34A02" w14:textId="77777777" w:rsidR="002D606A" w:rsidRPr="0005127B" w:rsidRDefault="002D606A" w:rsidP="002D606A">
      <w:pPr>
        <w:rPr>
          <w:rFonts w:cstheme="minorHAnsi"/>
          <w:sz w:val="22"/>
          <w:szCs w:val="22"/>
        </w:rPr>
      </w:pPr>
    </w:p>
    <w:p w14:paraId="3E6ADA1C" w14:textId="77777777" w:rsidR="002D606A" w:rsidRPr="0005127B" w:rsidRDefault="002D606A" w:rsidP="002D606A">
      <w:pPr>
        <w:spacing w:line="276" w:lineRule="auto"/>
        <w:rPr>
          <w:rFonts w:cstheme="minorHAnsi"/>
          <w:b/>
          <w:bCs/>
          <w:sz w:val="22"/>
          <w:szCs w:val="22"/>
        </w:rPr>
      </w:pPr>
      <w:r w:rsidRPr="0005127B">
        <w:rPr>
          <w:rFonts w:cstheme="minorHAnsi"/>
          <w:b/>
          <w:bCs/>
          <w:sz w:val="22"/>
          <w:szCs w:val="22"/>
        </w:rPr>
        <w:t>2. Draudimo objektas apima:</w:t>
      </w:r>
    </w:p>
    <w:p w14:paraId="243E4488" w14:textId="77777777" w:rsidR="002D606A" w:rsidRPr="0005127B" w:rsidRDefault="002D606A" w:rsidP="002D606A">
      <w:pPr>
        <w:spacing w:line="276" w:lineRule="auto"/>
        <w:rPr>
          <w:rFonts w:cstheme="minorHAnsi"/>
          <w:sz w:val="22"/>
          <w:szCs w:val="22"/>
        </w:rPr>
      </w:pPr>
      <w:r w:rsidRPr="0005127B">
        <w:rPr>
          <w:rFonts w:cstheme="minorHAnsi"/>
          <w:sz w:val="22"/>
          <w:szCs w:val="22"/>
        </w:rPr>
        <w:t>2.1. VšĮ Švietimo mainų paramos fondas perka darbuotojų savanoriško sveikatos draudimo paslaugas;</w:t>
      </w:r>
    </w:p>
    <w:p w14:paraId="03D7DF84" w14:textId="77777777" w:rsidR="002D606A" w:rsidRPr="0005127B" w:rsidRDefault="002D606A" w:rsidP="002D606A">
      <w:pPr>
        <w:spacing w:line="276" w:lineRule="auto"/>
        <w:rPr>
          <w:rFonts w:cstheme="minorHAnsi"/>
          <w:sz w:val="22"/>
          <w:szCs w:val="22"/>
        </w:rPr>
      </w:pPr>
      <w:r w:rsidRPr="0005127B">
        <w:rPr>
          <w:rFonts w:cstheme="minorHAnsi"/>
          <w:noProof/>
          <w:sz w:val="22"/>
          <w:szCs w:val="22"/>
        </w:rPr>
        <w:t>2.2.</w:t>
      </w:r>
      <w:r w:rsidRPr="0005127B">
        <w:rPr>
          <w:rFonts w:cstheme="minorHAnsi"/>
          <w:sz w:val="22"/>
          <w:szCs w:val="22"/>
        </w:rPr>
        <w:t xml:space="preserve"> Paslaugos apimtys – preliminariai draudžiami 80 (aštuoniasdešimt ) bendrovės darbuotojų (toliau – Apdraustieji). Šis skaičius nebus viršytas.</w:t>
      </w:r>
    </w:p>
    <w:p w14:paraId="0BA670B8" w14:textId="77777777" w:rsidR="002D606A" w:rsidRPr="0005127B" w:rsidRDefault="002D606A" w:rsidP="002D606A">
      <w:pPr>
        <w:spacing w:line="276" w:lineRule="auto"/>
        <w:rPr>
          <w:rFonts w:cstheme="minorHAnsi"/>
          <w:sz w:val="22"/>
          <w:szCs w:val="22"/>
        </w:rPr>
      </w:pPr>
      <w:r w:rsidRPr="0005127B">
        <w:rPr>
          <w:rFonts w:cstheme="minorHAnsi"/>
          <w:sz w:val="22"/>
          <w:szCs w:val="22"/>
        </w:rPr>
        <w:t>2.3. Vidutinis darbuotojų amžius 1 metai;</w:t>
      </w:r>
    </w:p>
    <w:p w14:paraId="0B3F0B4E" w14:textId="77777777" w:rsidR="002D606A" w:rsidRPr="0005127B" w:rsidRDefault="002D606A" w:rsidP="002D606A">
      <w:pPr>
        <w:spacing w:line="276" w:lineRule="auto"/>
        <w:rPr>
          <w:rFonts w:cstheme="minorHAnsi"/>
          <w:sz w:val="22"/>
          <w:szCs w:val="22"/>
        </w:rPr>
      </w:pPr>
      <w:r w:rsidRPr="0005127B">
        <w:rPr>
          <w:rFonts w:cstheme="minorHAnsi"/>
          <w:sz w:val="22"/>
          <w:szCs w:val="22"/>
        </w:rPr>
        <w:t>2.4. Darbuotojų pasiskirstymas pagal miestus – visų darbuotojų darbo vieta Vilniaus mieste.</w:t>
      </w:r>
    </w:p>
    <w:p w14:paraId="0CA15541" w14:textId="77777777" w:rsidR="002D606A" w:rsidRPr="0005127B" w:rsidRDefault="002D606A" w:rsidP="002D606A">
      <w:pPr>
        <w:spacing w:line="276" w:lineRule="auto"/>
        <w:rPr>
          <w:rFonts w:cstheme="minorHAnsi"/>
          <w:sz w:val="22"/>
          <w:szCs w:val="22"/>
        </w:rPr>
      </w:pPr>
      <w:r w:rsidRPr="0005127B">
        <w:rPr>
          <w:rFonts w:cstheme="minorHAnsi"/>
          <w:sz w:val="22"/>
          <w:szCs w:val="22"/>
        </w:rPr>
        <w:t>2.5. Apdraustųjų skaičius yra preliminarus. Perkantysis subjektas, įsigydamas Paslaugą, negali viršyti Sutartyje numatytos sutarties apimties, nurodytos eurais, tačiau neįsipareigoja išpirkti visos sutarties apimties, nurodytos eurais.</w:t>
      </w:r>
    </w:p>
    <w:p w14:paraId="24504EA5" w14:textId="77777777" w:rsidR="002D606A" w:rsidRPr="0005127B" w:rsidRDefault="002D606A" w:rsidP="002D606A">
      <w:pPr>
        <w:spacing w:line="276" w:lineRule="auto"/>
        <w:rPr>
          <w:rFonts w:cstheme="minorHAnsi"/>
          <w:sz w:val="22"/>
          <w:szCs w:val="22"/>
        </w:rPr>
      </w:pPr>
      <w:r w:rsidRPr="0005127B">
        <w:rPr>
          <w:rFonts w:cstheme="minorHAnsi"/>
          <w:sz w:val="22"/>
          <w:szCs w:val="22"/>
        </w:rPr>
        <w:t>2.6. Draudimas turi galioti 12 mėn. nuo draudimo poliso išdavimo dienos. Draudimo polisas išduodamas per 3 darbo dienas nuo sutarties įsigaliojimo ir reikiamų duomenų draudikui pateikimo.</w:t>
      </w:r>
    </w:p>
    <w:p w14:paraId="37E5D3FA" w14:textId="77777777" w:rsidR="002D606A" w:rsidRPr="0005127B" w:rsidRDefault="002D606A" w:rsidP="002D606A">
      <w:pPr>
        <w:rPr>
          <w:rFonts w:cstheme="minorHAnsi"/>
          <w:iCs/>
          <w:sz w:val="22"/>
          <w:szCs w:val="22"/>
        </w:rPr>
      </w:pPr>
    </w:p>
    <w:p w14:paraId="0701F4F7" w14:textId="77777777" w:rsidR="002D606A" w:rsidRPr="0005127B" w:rsidRDefault="002D606A" w:rsidP="002D606A">
      <w:pPr>
        <w:tabs>
          <w:tab w:val="left" w:pos="426"/>
        </w:tabs>
        <w:rPr>
          <w:rFonts w:cstheme="minorHAnsi"/>
          <w:b/>
          <w:bCs/>
          <w:sz w:val="22"/>
          <w:szCs w:val="22"/>
        </w:rPr>
      </w:pPr>
      <w:r w:rsidRPr="0005127B">
        <w:rPr>
          <w:rFonts w:cstheme="minorHAnsi"/>
          <w:b/>
          <w:bCs/>
          <w:sz w:val="22"/>
          <w:szCs w:val="22"/>
        </w:rPr>
        <w:t>3. Draudimo programos:</w:t>
      </w:r>
    </w:p>
    <w:p w14:paraId="711F64B8" w14:textId="77777777" w:rsidR="002D606A" w:rsidRPr="0005127B" w:rsidRDefault="002D606A" w:rsidP="002D606A">
      <w:pPr>
        <w:tabs>
          <w:tab w:val="left" w:pos="426"/>
        </w:tabs>
        <w:rPr>
          <w:rFonts w:cstheme="minorHAnsi"/>
          <w:sz w:val="22"/>
          <w:szCs w:val="22"/>
        </w:rPr>
      </w:pPr>
    </w:p>
    <w:p w14:paraId="5C67E180" w14:textId="77777777" w:rsidR="002D606A" w:rsidRPr="0005127B" w:rsidRDefault="002D606A" w:rsidP="002D606A">
      <w:pPr>
        <w:tabs>
          <w:tab w:val="left" w:pos="426"/>
        </w:tabs>
        <w:rPr>
          <w:rFonts w:cstheme="minorHAnsi"/>
          <w:sz w:val="22"/>
          <w:szCs w:val="22"/>
        </w:rPr>
      </w:pPr>
      <w:r w:rsidRPr="0005127B">
        <w:rPr>
          <w:rFonts w:cstheme="minorHAnsi"/>
          <w:sz w:val="22"/>
          <w:szCs w:val="22"/>
        </w:rPr>
        <w:t>3.1. Draudimo apsauga turi apimti šias sveikatos priežiūros paslaugas:</w:t>
      </w:r>
    </w:p>
    <w:p w14:paraId="1842D2AE" w14:textId="77777777" w:rsidR="002D606A" w:rsidRPr="0005127B" w:rsidRDefault="002D606A" w:rsidP="002D606A">
      <w:pPr>
        <w:tabs>
          <w:tab w:val="left" w:pos="426"/>
        </w:tabs>
        <w:jc w:val="right"/>
        <w:rPr>
          <w:rFonts w:cstheme="minorHAnsi"/>
          <w:sz w:val="22"/>
          <w:szCs w:val="22"/>
        </w:rPr>
      </w:pPr>
      <w:r w:rsidRPr="0005127B">
        <w:rPr>
          <w:rFonts w:cstheme="minorHAnsi"/>
          <w:sz w:val="22"/>
          <w:szCs w:val="22"/>
        </w:rPr>
        <w:t xml:space="preserve">1 lentelė </w:t>
      </w:r>
    </w:p>
    <w:tbl>
      <w:tblPr>
        <w:tblStyle w:val="TableGrid"/>
        <w:tblW w:w="9360" w:type="dxa"/>
        <w:jc w:val="center"/>
        <w:tblInd w:w="0" w:type="dxa"/>
        <w:tblLayout w:type="fixed"/>
        <w:tblLook w:val="04A0" w:firstRow="1" w:lastRow="0" w:firstColumn="1" w:lastColumn="0" w:noHBand="0" w:noVBand="1"/>
      </w:tblPr>
      <w:tblGrid>
        <w:gridCol w:w="5248"/>
        <w:gridCol w:w="1549"/>
        <w:gridCol w:w="2563"/>
      </w:tblGrid>
      <w:tr w:rsidR="002D606A" w:rsidRPr="0005127B" w14:paraId="66732B68" w14:textId="77777777" w:rsidTr="002D606A">
        <w:trPr>
          <w:trHeight w:val="48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6991542"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Programa</w:t>
            </w:r>
          </w:p>
        </w:tc>
        <w:tc>
          <w:tcPr>
            <w:tcW w:w="154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9D159B8"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Apmokama dalis</w:t>
            </w:r>
          </w:p>
        </w:tc>
        <w:tc>
          <w:tcPr>
            <w:tcW w:w="25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F6BD263"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Suma</w:t>
            </w:r>
          </w:p>
        </w:tc>
      </w:tr>
      <w:tr w:rsidR="002D606A" w:rsidRPr="0005127B" w14:paraId="1EAD605C" w14:textId="77777777" w:rsidTr="002D606A">
        <w:trPr>
          <w:trHeight w:val="17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550FF7"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Ambulatorinis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3952791B"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2BFCDCBF"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75079A10" w14:textId="77777777" w:rsidTr="002D606A">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565C25"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Stacionarinis gydymas valstybinėse ir privačiose gydymo įstaigose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819F686"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3713288E"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7C5A6EEE" w14:textId="77777777" w:rsidTr="002D606A">
        <w:trPr>
          <w:trHeight w:val="158"/>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FAE46C8"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Kritinių ligų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BDE40F3"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386E5909"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6DF2D95A" w14:textId="77777777" w:rsidTr="002D606A">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45E974C"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Visos medicinos paslaugos (neapmokestinamos)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2BDF1BBF"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29383FC3"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X € (sumą pasiūlymo formoje nurodo teikėjas)</w:t>
            </w:r>
          </w:p>
        </w:tc>
      </w:tr>
      <w:tr w:rsidR="002D606A" w:rsidRPr="0005127B" w14:paraId="13978B5B" w14:textId="77777777" w:rsidTr="002D606A">
        <w:trPr>
          <w:trHeight w:val="171"/>
          <w:jc w:val="center"/>
        </w:trPr>
        <w:tc>
          <w:tcPr>
            <w:tcW w:w="679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88956C5" w14:textId="77777777" w:rsidR="002D606A" w:rsidRPr="0005127B" w:rsidRDefault="002D606A" w:rsidP="002D606A">
            <w:pPr>
              <w:jc w:val="center"/>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Draudimo įmoka asmeniui</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67D28DD1" w14:textId="77777777" w:rsidR="002D606A" w:rsidRPr="0005127B" w:rsidRDefault="002D606A" w:rsidP="002D606A">
            <w:pPr>
              <w:jc w:val="center"/>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350 €</w:t>
            </w:r>
          </w:p>
        </w:tc>
      </w:tr>
    </w:tbl>
    <w:p w14:paraId="37C9E246" w14:textId="77777777" w:rsidR="002D606A" w:rsidRPr="0005127B" w:rsidRDefault="002D606A" w:rsidP="002D606A">
      <w:pPr>
        <w:tabs>
          <w:tab w:val="left" w:pos="426"/>
        </w:tabs>
        <w:rPr>
          <w:rFonts w:cstheme="minorHAnsi"/>
          <w:sz w:val="22"/>
          <w:szCs w:val="22"/>
        </w:rPr>
      </w:pPr>
    </w:p>
    <w:p w14:paraId="56FA6474" w14:textId="77777777" w:rsidR="002D606A" w:rsidRPr="0005127B" w:rsidRDefault="002D606A" w:rsidP="002D606A">
      <w:pPr>
        <w:spacing w:line="276" w:lineRule="auto"/>
        <w:rPr>
          <w:rFonts w:cstheme="minorHAnsi"/>
          <w:sz w:val="22"/>
          <w:szCs w:val="22"/>
        </w:rPr>
      </w:pPr>
      <w:r w:rsidRPr="0005127B">
        <w:rPr>
          <w:rFonts w:cstheme="minorHAnsi"/>
          <w:sz w:val="22"/>
          <w:szCs w:val="22"/>
        </w:rPr>
        <w:t>3.2. Sveikatos draudimas turi suteikti galimybę draudžiamiems asmenims įsigyti draudimo paslaugas iš tiekėjo partnerių apmokant savanoriško sveikatos draudimo paslaugų tiekėjui, kurie nurodomi prie pasiūlymo pridedamame tiekėjo rekomenduojamų įstaigų sąraše.</w:t>
      </w:r>
    </w:p>
    <w:p w14:paraId="5EECABDA" w14:textId="77777777" w:rsidR="002D606A" w:rsidRPr="0005127B" w:rsidRDefault="002D606A" w:rsidP="002D606A">
      <w:pPr>
        <w:autoSpaceDE w:val="0"/>
        <w:autoSpaceDN w:val="0"/>
        <w:adjustRightInd w:val="0"/>
        <w:spacing w:line="276" w:lineRule="auto"/>
        <w:rPr>
          <w:rFonts w:cstheme="minorHAnsi"/>
          <w:color w:val="000000"/>
          <w:sz w:val="22"/>
          <w:szCs w:val="22"/>
        </w:rPr>
      </w:pPr>
      <w:r w:rsidRPr="0005127B">
        <w:rPr>
          <w:rFonts w:cstheme="minorHAnsi"/>
          <w:color w:val="000000"/>
          <w:sz w:val="22"/>
          <w:szCs w:val="22"/>
        </w:rPr>
        <w:t>3.3. Draudimo sutarties galiojimo metu įtraukiant į draudimo sutartį papildomus apdraustuosius, metinė draudimo įmoka bei sąlygos „Visos medicinos paslaugos (neapmokestinamos)“ draudimo suma perskaičiuojamos proporcingai draudimo apsaugos galiojimo laikotarpiui.</w:t>
      </w:r>
    </w:p>
    <w:p w14:paraId="3889B1BF" w14:textId="77777777" w:rsidR="002D606A" w:rsidRPr="0005127B" w:rsidRDefault="002D606A" w:rsidP="002D606A">
      <w:pPr>
        <w:autoSpaceDE w:val="0"/>
        <w:autoSpaceDN w:val="0"/>
        <w:adjustRightInd w:val="0"/>
        <w:spacing w:line="276" w:lineRule="auto"/>
        <w:rPr>
          <w:rFonts w:cstheme="minorHAnsi"/>
          <w:color w:val="000000"/>
          <w:sz w:val="22"/>
          <w:szCs w:val="22"/>
        </w:rPr>
      </w:pPr>
      <w:r w:rsidRPr="0005127B">
        <w:rPr>
          <w:rFonts w:cstheme="minorHAnsi"/>
          <w:color w:val="000000"/>
          <w:sz w:val="22"/>
          <w:szCs w:val="22"/>
        </w:rPr>
        <w:t>3.4. Nutrūkus Apdraustojo ir Draudėjo darbo santykiams ar kitaip netekus teisės būti apdraustam, grąžintina draudimo įmoka skaičiuojama proporcingai apsaugos galiojimo laikotarpiui, laikant, kad už kiekvieną pilną ir nepilną apsaugos galiojimo mėnesį skaičiuojama 1/12 metinės įmokos. Iš grąžintinos draudimo įmokos yra išskaičiuojamos Apdraustojo išlaidos.</w:t>
      </w:r>
    </w:p>
    <w:p w14:paraId="1574C747" w14:textId="77777777" w:rsidR="002D606A" w:rsidRPr="0005127B" w:rsidRDefault="002D606A" w:rsidP="002D606A">
      <w:pPr>
        <w:autoSpaceDE w:val="0"/>
        <w:autoSpaceDN w:val="0"/>
        <w:adjustRightInd w:val="0"/>
        <w:ind w:firstLine="0"/>
        <w:rPr>
          <w:rFonts w:cstheme="minorHAnsi"/>
          <w:b/>
          <w:color w:val="000000"/>
          <w:sz w:val="22"/>
          <w:szCs w:val="22"/>
        </w:rPr>
      </w:pPr>
    </w:p>
    <w:p w14:paraId="3C0DAEEF" w14:textId="77777777" w:rsidR="002D606A" w:rsidRPr="0005127B" w:rsidRDefault="002D606A" w:rsidP="002D606A">
      <w:pPr>
        <w:tabs>
          <w:tab w:val="left" w:pos="426"/>
        </w:tabs>
        <w:spacing w:line="276" w:lineRule="auto"/>
        <w:rPr>
          <w:rFonts w:cstheme="minorHAnsi"/>
          <w:b/>
          <w:bCs/>
          <w:sz w:val="22"/>
          <w:szCs w:val="22"/>
        </w:rPr>
      </w:pPr>
      <w:r w:rsidRPr="0005127B">
        <w:rPr>
          <w:rFonts w:cstheme="minorHAnsi"/>
          <w:b/>
          <w:bCs/>
          <w:sz w:val="22"/>
          <w:szCs w:val="22"/>
        </w:rPr>
        <w:t>4. Draudžiamųjų įvykių aprašymas:</w:t>
      </w:r>
    </w:p>
    <w:p w14:paraId="73FCCCE1" w14:textId="77777777" w:rsidR="002D606A" w:rsidRPr="0005127B" w:rsidRDefault="002D606A" w:rsidP="002D606A">
      <w:pPr>
        <w:tabs>
          <w:tab w:val="left" w:pos="426"/>
        </w:tabs>
        <w:spacing w:line="276" w:lineRule="auto"/>
        <w:rPr>
          <w:rFonts w:cstheme="minorHAnsi"/>
          <w:b/>
          <w:bCs/>
          <w:sz w:val="22"/>
          <w:szCs w:val="22"/>
        </w:rPr>
      </w:pPr>
    </w:p>
    <w:p w14:paraId="444CCD92" w14:textId="77777777" w:rsidR="002D606A" w:rsidRPr="0005127B" w:rsidRDefault="002D606A" w:rsidP="002D606A">
      <w:pPr>
        <w:tabs>
          <w:tab w:val="left" w:pos="1134"/>
        </w:tabs>
        <w:spacing w:line="276" w:lineRule="auto"/>
        <w:rPr>
          <w:rFonts w:cstheme="minorHAnsi"/>
          <w:b/>
          <w:bCs/>
          <w:sz w:val="22"/>
          <w:szCs w:val="22"/>
        </w:rPr>
      </w:pPr>
      <w:r w:rsidRPr="0005127B">
        <w:rPr>
          <w:rFonts w:cstheme="minorHAnsi"/>
          <w:b/>
          <w:bCs/>
          <w:sz w:val="22"/>
          <w:szCs w:val="22"/>
        </w:rPr>
        <w:lastRenderedPageBreak/>
        <w:t xml:space="preserve">4.1. Ambulatorinis gydymas ir diagnostika: </w:t>
      </w:r>
      <w:r w:rsidRPr="0005127B">
        <w:rPr>
          <w:rFonts w:cstheme="minorHAnsi"/>
          <w:sz w:val="22"/>
          <w:szCs w:val="22"/>
        </w:rPr>
        <w:t>Apmokamos sveikatos priežiūros paslaugos, suteiktos Apdraustajam dėl ūmios ligos, lėtinės ligos paūmėjimo ir (ar) nelaimingo atsitikimo privačiose ir valstybinėse sveikatos priežiūros įstaigose:</w:t>
      </w:r>
    </w:p>
    <w:p w14:paraId="5177415D"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67137921"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išlaidos dėl konsultacijos/apžiūros metu gydytojo konstatuotų papildomų Apdraustojo sveikatos pokyčių ar kitų susirgimų, kurie yra nesusiję su pagrindiniu sveikatos sutrikimu, dėl kurio kreipėsi Apdraustasis.</w:t>
      </w:r>
    </w:p>
    <w:p w14:paraId="711AD9DA"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Apmokamas diagnozuotos ligos, pooperacinės būklės, taip pat ir lėtinės ligos būklės stebėjimas, kurį nustatytu periodiškumu vykdo gydytojas specialistas, pagal poreikį skirdamas tyrimus, gydymą ir rekomendacijas.</w:t>
      </w:r>
    </w:p>
    <w:p w14:paraId="2E246B7E"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nuotolinės šeimos gydytojo, gydytojų specialistų konsultacijos;</w:t>
      </w:r>
    </w:p>
    <w:p w14:paraId="463C9ECF"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Kreipiantis į gydytojus specialistus siuntimas nereikalingas.</w:t>
      </w:r>
    </w:p>
    <w:p w14:paraId="1EA54378"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Kreipiantis į gydytojus tyrėjus specialistus (</w:t>
      </w:r>
      <w:proofErr w:type="spellStart"/>
      <w:r w:rsidRPr="0005127B">
        <w:rPr>
          <w:rFonts w:cstheme="minorHAnsi"/>
          <w:sz w:val="22"/>
          <w:szCs w:val="22"/>
        </w:rPr>
        <w:t>endoskopuotoją</w:t>
      </w:r>
      <w:proofErr w:type="spellEnd"/>
      <w:r w:rsidRPr="0005127B">
        <w:rPr>
          <w:rFonts w:cstheme="minorHAnsi"/>
          <w:sz w:val="22"/>
          <w:szCs w:val="22"/>
        </w:rPr>
        <w:t xml:space="preserve">, </w:t>
      </w:r>
      <w:proofErr w:type="spellStart"/>
      <w:r w:rsidRPr="0005127B">
        <w:rPr>
          <w:rFonts w:cstheme="minorHAnsi"/>
          <w:sz w:val="22"/>
          <w:szCs w:val="22"/>
        </w:rPr>
        <w:t>echoskopuotoją</w:t>
      </w:r>
      <w:proofErr w:type="spellEnd"/>
      <w:r w:rsidRPr="0005127B">
        <w:rPr>
          <w:rFonts w:cstheme="minorHAnsi"/>
          <w:sz w:val="22"/>
          <w:szCs w:val="22"/>
        </w:rPr>
        <w:t xml:space="preserve">, klinikinį fiziologą, radiologą ir </w:t>
      </w:r>
      <w:proofErr w:type="spellStart"/>
      <w:r w:rsidRPr="0005127B">
        <w:rPr>
          <w:rFonts w:cstheme="minorHAnsi"/>
          <w:sz w:val="22"/>
          <w:szCs w:val="22"/>
        </w:rPr>
        <w:t>tt</w:t>
      </w:r>
      <w:proofErr w:type="spellEnd"/>
      <w:r w:rsidRPr="0005127B">
        <w:rPr>
          <w:rFonts w:cstheme="minorHAnsi"/>
          <w:sz w:val="22"/>
          <w:szCs w:val="22"/>
        </w:rPr>
        <w:t>.) siuntimas būtinas.</w:t>
      </w:r>
    </w:p>
    <w:p w14:paraId="451A0505"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pėdos kaulų, raiščių, sausgyslių, sąnarių bei raumenų diagnostika ir gydymas.</w:t>
      </w:r>
    </w:p>
    <w:p w14:paraId="123F7406"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lėtinių degeneracinių ligų diagnostika ir gydymas.</w:t>
      </w:r>
    </w:p>
    <w:p w14:paraId="2752D08A"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Apmokami alergenų (taip pat ir įkvepiamų, maisto) tyrimai, išskyrus maisto toleravimo tyrimus.</w:t>
      </w:r>
    </w:p>
    <w:p w14:paraId="2F17071D"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sisteminių ir autoimuninių ligų diagnostika ir gydymas.</w:t>
      </w:r>
    </w:p>
    <w:p w14:paraId="2178BA3B"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gydomosios lazerio procedūros, išskyrus nedraudžiamus įvykius.</w:t>
      </w:r>
    </w:p>
    <w:p w14:paraId="2F8D22FB"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Apmokamas psichiatro, psichiatro-psichoterapeuto konsultacijos (iki 10 kartų per draudimo laikotarpį), gydytojui psichiatrui nustačius ligą ir paskyrus gydymą. Apmokamos paslaugos, suteiktos sveikatos priežiūros įstaigoje.</w:t>
      </w:r>
    </w:p>
    <w:p w14:paraId="5483BDD7" w14:textId="77777777" w:rsidR="002D606A" w:rsidRPr="0005127B" w:rsidRDefault="002D606A" w:rsidP="002D606A">
      <w:pPr>
        <w:pStyle w:val="ListParagraph"/>
        <w:numPr>
          <w:ilvl w:val="2"/>
          <w:numId w:val="27"/>
        </w:numPr>
        <w:tabs>
          <w:tab w:val="left" w:pos="709"/>
        </w:tabs>
        <w:spacing w:line="276" w:lineRule="auto"/>
        <w:ind w:left="0" w:firstLine="0"/>
        <w:rPr>
          <w:rFonts w:cstheme="minorHAnsi"/>
          <w:sz w:val="22"/>
          <w:szCs w:val="22"/>
        </w:rPr>
      </w:pPr>
      <w:r w:rsidRPr="0005127B">
        <w:rPr>
          <w:rFonts w:cstheme="minorHAnsi"/>
          <w:sz w:val="22"/>
          <w:szCs w:val="22"/>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D16C5F5" w14:textId="77777777" w:rsidR="002D606A" w:rsidRPr="0005127B" w:rsidRDefault="002D606A" w:rsidP="002D606A">
      <w:pPr>
        <w:pStyle w:val="ListParagraph"/>
        <w:numPr>
          <w:ilvl w:val="2"/>
          <w:numId w:val="27"/>
        </w:numPr>
        <w:tabs>
          <w:tab w:val="left" w:pos="709"/>
          <w:tab w:val="left" w:pos="1134"/>
          <w:tab w:val="left" w:pos="1560"/>
        </w:tabs>
        <w:spacing w:line="276" w:lineRule="auto"/>
        <w:ind w:left="0" w:firstLine="0"/>
        <w:rPr>
          <w:rFonts w:cstheme="minorHAnsi"/>
          <w:sz w:val="22"/>
          <w:szCs w:val="22"/>
        </w:rPr>
      </w:pPr>
      <w:r w:rsidRPr="0005127B">
        <w:rPr>
          <w:rFonts w:cstheme="minorHAnsi"/>
          <w:sz w:val="22"/>
          <w:szCs w:val="22"/>
        </w:rPr>
        <w:t>Ambulatorinės paslaugos, tame tarpe ir kompiuterinės tomografijos, magnetinio rezonanso, pozitronų emisijos tomografijos tyrimai.</w:t>
      </w:r>
    </w:p>
    <w:p w14:paraId="4DB53493" w14:textId="77777777" w:rsidR="002D606A" w:rsidRPr="0005127B" w:rsidRDefault="002D606A" w:rsidP="002D606A">
      <w:pPr>
        <w:pStyle w:val="ListParagraph"/>
        <w:numPr>
          <w:ilvl w:val="2"/>
          <w:numId w:val="27"/>
        </w:numPr>
        <w:tabs>
          <w:tab w:val="left" w:pos="709"/>
          <w:tab w:val="left" w:pos="1134"/>
          <w:tab w:val="left" w:pos="1560"/>
        </w:tabs>
        <w:spacing w:line="276" w:lineRule="auto"/>
        <w:ind w:left="0" w:firstLine="0"/>
        <w:rPr>
          <w:rFonts w:cstheme="minorHAnsi"/>
          <w:sz w:val="22"/>
          <w:szCs w:val="22"/>
        </w:rPr>
      </w:pPr>
      <w:r w:rsidRPr="0005127B">
        <w:rPr>
          <w:rFonts w:cstheme="minorHAnsi"/>
          <w:sz w:val="22"/>
          <w:szCs w:val="22"/>
        </w:rPr>
        <w:t xml:space="preserve"> Jeigu Draudiko standartinės draudimo taisyklės numato papildomų ambulatorinių paslaugų apmokėjimą, tos paslaugos turi būti apmokamos ir draudimo sutarties Apdraustiesiems.</w:t>
      </w:r>
    </w:p>
    <w:p w14:paraId="3BAECCCF" w14:textId="77777777" w:rsidR="002D606A" w:rsidRPr="0005127B" w:rsidRDefault="002D606A" w:rsidP="002D606A">
      <w:pPr>
        <w:rPr>
          <w:rFonts w:cstheme="minorHAnsi"/>
          <w:sz w:val="22"/>
          <w:szCs w:val="22"/>
        </w:rPr>
      </w:pPr>
    </w:p>
    <w:p w14:paraId="3BF40022"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4.2. Stacionarinis gydymas valstybinėje ir privačiose (Lietuvos nacionalinei sveikatos sistemai priskiriamoje) ligoninėse</w:t>
      </w:r>
      <w:r w:rsidRPr="0005127B">
        <w:rPr>
          <w:rFonts w:cstheme="minorHAnsi"/>
          <w:sz w:val="22"/>
          <w:szCs w:val="22"/>
        </w:rPr>
        <w:t xml:space="preserve">. Kompensuojamos sveikatos priežiūros paslaugos, suteiktos dėl Apdraustojo ūmios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1AB5F783" w14:textId="77777777" w:rsidR="002D606A" w:rsidRPr="0005127B" w:rsidRDefault="002D606A" w:rsidP="002D606A">
      <w:pPr>
        <w:tabs>
          <w:tab w:val="left" w:pos="1134"/>
        </w:tabs>
        <w:spacing w:line="276" w:lineRule="auto"/>
        <w:rPr>
          <w:rFonts w:cstheme="minorHAnsi"/>
          <w:sz w:val="22"/>
          <w:szCs w:val="22"/>
        </w:rPr>
      </w:pPr>
      <w:r w:rsidRPr="0005127B">
        <w:rPr>
          <w:rFonts w:cstheme="minorHAnsi"/>
          <w:sz w:val="22"/>
          <w:szCs w:val="22"/>
        </w:rPr>
        <w:t>Kompensuojamos terapinio ir chirurginio profilio paslaugos, suteiktos valstybinėse sveikatos priežiūros įstaigose:</w:t>
      </w:r>
    </w:p>
    <w:p w14:paraId="51E52A4A"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lastRenderedPageBreak/>
        <w:t>vienkartinių instrumentų, skirtų gydymui, kompensavimas, medicinos pagalbos, ortopedijos techninės ir slaugos priemonės;</w:t>
      </w:r>
    </w:p>
    <w:p w14:paraId="5F944095" w14:textId="77777777" w:rsidR="002D606A" w:rsidRPr="0005127B" w:rsidRDefault="002D606A" w:rsidP="002D606A">
      <w:pPr>
        <w:pStyle w:val="ListParagraph"/>
        <w:numPr>
          <w:ilvl w:val="0"/>
          <w:numId w:val="28"/>
        </w:numPr>
        <w:tabs>
          <w:tab w:val="left" w:pos="709"/>
        </w:tabs>
        <w:spacing w:line="276" w:lineRule="auto"/>
        <w:ind w:left="284" w:hanging="284"/>
        <w:rPr>
          <w:rFonts w:cstheme="minorHAnsi"/>
          <w:bCs/>
          <w:sz w:val="22"/>
          <w:szCs w:val="22"/>
        </w:rPr>
      </w:pPr>
      <w:r w:rsidRPr="0005127B">
        <w:rPr>
          <w:rFonts w:cstheme="minorHAnsi"/>
          <w:bCs/>
          <w:sz w:val="22"/>
          <w:szCs w:val="22"/>
        </w:rPr>
        <w:t>chirurginio gydymo paslaugos;</w:t>
      </w:r>
    </w:p>
    <w:p w14:paraId="557E7CF4" w14:textId="77777777" w:rsidR="002D606A" w:rsidRPr="0005127B" w:rsidRDefault="002D606A" w:rsidP="002D606A">
      <w:pPr>
        <w:pStyle w:val="ListParagraph"/>
        <w:numPr>
          <w:ilvl w:val="0"/>
          <w:numId w:val="28"/>
        </w:numPr>
        <w:tabs>
          <w:tab w:val="left" w:pos="709"/>
        </w:tabs>
        <w:spacing w:line="276" w:lineRule="auto"/>
        <w:ind w:left="284" w:hanging="284"/>
        <w:jc w:val="left"/>
        <w:rPr>
          <w:rFonts w:cstheme="minorHAnsi"/>
          <w:bCs/>
          <w:sz w:val="22"/>
          <w:szCs w:val="22"/>
        </w:rPr>
      </w:pPr>
      <w:r w:rsidRPr="0005127B">
        <w:rPr>
          <w:rFonts w:cstheme="minorHAnsi"/>
          <w:bCs/>
          <w:sz w:val="22"/>
          <w:szCs w:val="22"/>
        </w:rPr>
        <w:t>slaugytojų paslaugos;</w:t>
      </w:r>
    </w:p>
    <w:p w14:paraId="708C7AE6" w14:textId="77777777" w:rsidR="002D606A" w:rsidRPr="0005127B" w:rsidRDefault="002D606A" w:rsidP="002D606A">
      <w:pPr>
        <w:pStyle w:val="ListParagraph"/>
        <w:numPr>
          <w:ilvl w:val="0"/>
          <w:numId w:val="28"/>
        </w:numPr>
        <w:tabs>
          <w:tab w:val="left" w:pos="567"/>
        </w:tabs>
        <w:spacing w:line="276" w:lineRule="auto"/>
        <w:ind w:left="284" w:hanging="284"/>
        <w:jc w:val="left"/>
        <w:rPr>
          <w:rFonts w:cstheme="minorHAnsi"/>
          <w:bCs/>
          <w:sz w:val="22"/>
          <w:szCs w:val="22"/>
        </w:rPr>
      </w:pPr>
      <w:r w:rsidRPr="0005127B">
        <w:rPr>
          <w:rFonts w:cstheme="minorHAnsi"/>
          <w:bCs/>
          <w:sz w:val="22"/>
          <w:szCs w:val="22"/>
        </w:rPr>
        <w:t>komforto paslaugos (vienvietė, dvivietė palata);</w:t>
      </w:r>
    </w:p>
    <w:p w14:paraId="5853B6B9" w14:textId="77777777" w:rsidR="002D606A" w:rsidRPr="0005127B" w:rsidRDefault="002D606A" w:rsidP="002D606A">
      <w:pPr>
        <w:pStyle w:val="ListParagraph"/>
        <w:numPr>
          <w:ilvl w:val="0"/>
          <w:numId w:val="28"/>
        </w:numPr>
        <w:tabs>
          <w:tab w:val="left" w:pos="567"/>
        </w:tabs>
        <w:spacing w:line="276" w:lineRule="auto"/>
        <w:ind w:left="284" w:hanging="284"/>
        <w:jc w:val="left"/>
        <w:rPr>
          <w:rFonts w:cstheme="minorHAnsi"/>
          <w:bCs/>
          <w:sz w:val="22"/>
          <w:szCs w:val="22"/>
        </w:rPr>
      </w:pPr>
      <w:r w:rsidRPr="0005127B">
        <w:rPr>
          <w:rFonts w:cstheme="minorHAnsi"/>
          <w:bCs/>
          <w:sz w:val="22"/>
          <w:szCs w:val="22"/>
        </w:rPr>
        <w:t>priemokos už vaistus, medicinos priemones</w:t>
      </w:r>
      <w:r w:rsidRPr="0005127B">
        <w:rPr>
          <w:rFonts w:cstheme="minorHAnsi"/>
          <w:sz w:val="22"/>
          <w:szCs w:val="22"/>
        </w:rPr>
        <w:t>.</w:t>
      </w:r>
    </w:p>
    <w:p w14:paraId="1E95CA13" w14:textId="77777777" w:rsidR="002D606A" w:rsidRPr="0005127B" w:rsidRDefault="002D606A" w:rsidP="002D606A">
      <w:pPr>
        <w:pStyle w:val="ListParagraph"/>
        <w:numPr>
          <w:ilvl w:val="0"/>
          <w:numId w:val="28"/>
        </w:numPr>
        <w:tabs>
          <w:tab w:val="left" w:pos="567"/>
        </w:tabs>
        <w:spacing w:line="276" w:lineRule="auto"/>
        <w:ind w:left="284" w:hanging="284"/>
        <w:rPr>
          <w:rFonts w:cstheme="minorHAnsi"/>
          <w:bCs/>
          <w:sz w:val="22"/>
          <w:szCs w:val="22"/>
        </w:rPr>
      </w:pPr>
      <w:r w:rsidRPr="0005127B">
        <w:rPr>
          <w:rFonts w:cstheme="minorHAnsi"/>
          <w:bCs/>
          <w:sz w:val="22"/>
          <w:szCs w:val="22"/>
        </w:rPr>
        <w:t>Apmokamos dienos stacionaro ir dienos chirurgijos paslaugos</w:t>
      </w:r>
      <w:r w:rsidRPr="0005127B" w:rsidDel="002B6DAE">
        <w:rPr>
          <w:rFonts w:cstheme="minorHAnsi"/>
          <w:bCs/>
          <w:sz w:val="22"/>
          <w:szCs w:val="22"/>
        </w:rPr>
        <w:t xml:space="preserve"> </w:t>
      </w:r>
      <w:r w:rsidRPr="0005127B">
        <w:rPr>
          <w:rFonts w:cstheme="minorHAnsi"/>
          <w:bCs/>
          <w:sz w:val="22"/>
          <w:szCs w:val="22"/>
        </w:rPr>
        <w:t>, įskaitant išlaidas už COVID-19 testą prieš dienos chirurgiją ir išlaidas už medicinos pagalbos priemones bei vienkartinius instrumentus, apmokamos Lietuvos Respublikos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Lietuvos Respublikos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7375FFD5" w14:textId="77777777" w:rsidR="002D606A" w:rsidRPr="0005127B" w:rsidRDefault="002D606A" w:rsidP="002D606A">
      <w:pPr>
        <w:pStyle w:val="ListParagraph"/>
        <w:tabs>
          <w:tab w:val="left" w:pos="567"/>
        </w:tabs>
        <w:spacing w:line="276" w:lineRule="auto"/>
        <w:ind w:left="284"/>
        <w:rPr>
          <w:rFonts w:cstheme="minorHAnsi"/>
          <w:bCs/>
          <w:sz w:val="22"/>
          <w:szCs w:val="22"/>
        </w:rPr>
      </w:pPr>
    </w:p>
    <w:p w14:paraId="10E492C8" w14:textId="77777777" w:rsidR="002D606A" w:rsidRPr="0005127B" w:rsidRDefault="002D606A" w:rsidP="002D606A">
      <w:pPr>
        <w:tabs>
          <w:tab w:val="left" w:pos="1134"/>
          <w:tab w:val="left" w:pos="1560"/>
        </w:tabs>
        <w:spacing w:line="276" w:lineRule="auto"/>
        <w:rPr>
          <w:rFonts w:cstheme="minorHAnsi"/>
          <w:sz w:val="22"/>
          <w:szCs w:val="22"/>
        </w:rPr>
      </w:pPr>
      <w:bookmarkStart w:id="8" w:name="_Hlk492648905"/>
      <w:r w:rsidRPr="0005127B">
        <w:rPr>
          <w:rFonts w:cstheme="minorHAnsi"/>
          <w:sz w:val="22"/>
          <w:szCs w:val="22"/>
        </w:rPr>
        <w:t xml:space="preserve">Jeigu Draudiko standartinės draudimo taisyklės numato papildomų stacionarinių paslaugų apmokėjimą, tos paslaugos turi būti apmokamos ir draudimo sutarties </w:t>
      </w:r>
      <w:bookmarkEnd w:id="8"/>
      <w:r w:rsidRPr="0005127B">
        <w:rPr>
          <w:rFonts w:cstheme="minorHAnsi"/>
          <w:sz w:val="22"/>
          <w:szCs w:val="22"/>
        </w:rPr>
        <w:t>Apdraustiesiems.</w:t>
      </w:r>
    </w:p>
    <w:p w14:paraId="2BDFB4A3" w14:textId="77777777" w:rsidR="002D606A" w:rsidRPr="0005127B" w:rsidRDefault="002D606A" w:rsidP="002D606A">
      <w:pPr>
        <w:tabs>
          <w:tab w:val="left" w:pos="1134"/>
          <w:tab w:val="left" w:pos="1560"/>
        </w:tabs>
        <w:spacing w:line="276" w:lineRule="auto"/>
        <w:rPr>
          <w:rFonts w:cstheme="minorHAnsi"/>
          <w:sz w:val="22"/>
          <w:szCs w:val="22"/>
        </w:rPr>
      </w:pPr>
    </w:p>
    <w:p w14:paraId="40218A9C" w14:textId="77777777" w:rsidR="002D606A" w:rsidRPr="0005127B" w:rsidRDefault="002D606A" w:rsidP="002D606A">
      <w:pPr>
        <w:tabs>
          <w:tab w:val="left" w:pos="142"/>
          <w:tab w:val="left" w:pos="426"/>
        </w:tabs>
        <w:spacing w:line="276" w:lineRule="auto"/>
        <w:ind w:right="141"/>
        <w:rPr>
          <w:rFonts w:cstheme="minorHAnsi"/>
          <w:sz w:val="22"/>
          <w:szCs w:val="22"/>
        </w:rPr>
      </w:pPr>
      <w:r w:rsidRPr="0005127B">
        <w:rPr>
          <w:rFonts w:cstheme="minorHAnsi"/>
          <w:b/>
          <w:bCs/>
          <w:sz w:val="22"/>
          <w:szCs w:val="22"/>
        </w:rPr>
        <w:t xml:space="preserve">4.3. Kritinių ligų gydymas. </w:t>
      </w:r>
      <w:r w:rsidRPr="0005127B">
        <w:rPr>
          <w:rFonts w:cstheme="minorHAnsi"/>
          <w:sz w:val="22"/>
          <w:szCs w:val="22"/>
        </w:rPr>
        <w:t xml:space="preserve">Draudžiamuoju įvykiu laikoma draudimo apsaugos galiojimo laikotarpiu Apdraustajam diagnozuota kritinė liga: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liga(nustatyta iki 65 metų), gerybinis galvos smegenų auglys, 3 ir 4 laipsnio nudegimai, idiopatinė Parkinsono liga (nustatyta iki 65 metų), bakterinis meningitas, </w:t>
      </w:r>
      <w:proofErr w:type="spellStart"/>
      <w:r w:rsidRPr="0005127B">
        <w:rPr>
          <w:rFonts w:cstheme="minorHAnsi"/>
          <w:sz w:val="22"/>
          <w:szCs w:val="22"/>
        </w:rPr>
        <w:t>aplastinė</w:t>
      </w:r>
      <w:proofErr w:type="spellEnd"/>
      <w:r w:rsidRPr="0005127B">
        <w:rPr>
          <w:rFonts w:cstheme="minorHAnsi"/>
          <w:sz w:val="22"/>
          <w:szCs w:val="22"/>
        </w:rPr>
        <w:t xml:space="preserve"> anemija, (ir k</w:t>
      </w:r>
      <w:r w:rsidRPr="0005127B">
        <w:rPr>
          <w:rFonts w:cstheme="minorHAnsi"/>
          <w:bCs/>
          <w:sz w:val="22"/>
          <w:szCs w:val="22"/>
        </w:rPr>
        <w:t>itos kritinės ligos, numatytos Draudiko standartinėse taisyklėse).</w:t>
      </w:r>
    </w:p>
    <w:p w14:paraId="61CF61C1" w14:textId="77777777" w:rsidR="002D606A" w:rsidRPr="0005127B" w:rsidRDefault="002D606A" w:rsidP="002D606A">
      <w:pPr>
        <w:pStyle w:val="ListParagraph"/>
        <w:tabs>
          <w:tab w:val="left" w:pos="142"/>
          <w:tab w:val="left" w:pos="426"/>
        </w:tabs>
        <w:spacing w:line="276" w:lineRule="auto"/>
        <w:ind w:left="0" w:right="141"/>
        <w:rPr>
          <w:rFonts w:cstheme="minorHAnsi"/>
          <w:b/>
          <w:bCs/>
          <w:sz w:val="22"/>
          <w:szCs w:val="22"/>
        </w:rPr>
      </w:pPr>
    </w:p>
    <w:p w14:paraId="6BE61635"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b/>
          <w:bCs/>
          <w:sz w:val="22"/>
          <w:szCs w:val="22"/>
        </w:rPr>
        <w:t>Kritinės ligos atveju kompensuojama:</w:t>
      </w:r>
    </w:p>
    <w:p w14:paraId="74EEDB13"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Ambulatorinis gydymas ir diagnostika;</w:t>
      </w:r>
    </w:p>
    <w:p w14:paraId="0A57506E"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Stacionarinis gydymas;</w:t>
      </w:r>
    </w:p>
    <w:p w14:paraId="52B54E6C"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Vaistai ir medicinos pagalbos priemonės;</w:t>
      </w:r>
    </w:p>
    <w:p w14:paraId="108E637F" w14:textId="77777777" w:rsidR="002D606A" w:rsidRPr="0005127B" w:rsidRDefault="002D606A" w:rsidP="002D606A">
      <w:pPr>
        <w:pStyle w:val="ListParagraph"/>
        <w:tabs>
          <w:tab w:val="left" w:pos="851"/>
          <w:tab w:val="left" w:pos="1134"/>
        </w:tabs>
        <w:spacing w:line="276" w:lineRule="auto"/>
        <w:ind w:left="0"/>
        <w:rPr>
          <w:rFonts w:cstheme="minorHAnsi"/>
          <w:bCs/>
          <w:sz w:val="22"/>
          <w:szCs w:val="22"/>
        </w:rPr>
      </w:pPr>
      <w:r w:rsidRPr="0005127B">
        <w:rPr>
          <w:rFonts w:cstheme="minorHAnsi"/>
          <w:bCs/>
          <w:sz w:val="22"/>
          <w:szCs w:val="22"/>
        </w:rPr>
        <w:t xml:space="preserve">Taikomas 60 (šešiasdešimties) kalendorinių dienų laukimo laikotarpis. Išgyvenimo laikotarpis susirgus kritine liga nėra taikomas. </w:t>
      </w:r>
    </w:p>
    <w:p w14:paraId="418BC5F2" w14:textId="77777777" w:rsidR="002D606A" w:rsidRPr="0005127B" w:rsidRDefault="002D606A" w:rsidP="002D606A">
      <w:pPr>
        <w:tabs>
          <w:tab w:val="left" w:pos="142"/>
          <w:tab w:val="left" w:pos="426"/>
        </w:tabs>
        <w:spacing w:line="276" w:lineRule="auto"/>
        <w:ind w:right="141"/>
        <w:rPr>
          <w:rFonts w:cstheme="minorHAnsi"/>
          <w:bCs/>
          <w:sz w:val="22"/>
          <w:szCs w:val="22"/>
        </w:rPr>
      </w:pPr>
      <w:r w:rsidRPr="0005127B">
        <w:rPr>
          <w:rFonts w:cstheme="minorHAnsi"/>
          <w:sz w:val="22"/>
          <w:szCs w:val="22"/>
        </w:rPr>
        <w:t>Atlyginamos</w:t>
      </w:r>
      <w:r w:rsidRPr="0005127B">
        <w:rPr>
          <w:rFonts w:cstheme="minorHAnsi"/>
          <w:bCs/>
          <w:sz w:val="22"/>
          <w:szCs w:val="22"/>
        </w:rPr>
        <w:t xml:space="preserve"> mediciniškai pagrįstos gydymo valstybinėje ar privačioje stacionariojo gydymo įstaigoje (ligoninėje) išlaidos už:</w:t>
      </w:r>
    </w:p>
    <w:p w14:paraId="2A35A158"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a) terapinį ir chirurginį gydymą; </w:t>
      </w:r>
    </w:p>
    <w:p w14:paraId="667B6AEF"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b) tyrimus ir konsultacijas; </w:t>
      </w:r>
    </w:p>
    <w:p w14:paraId="27C234FB"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c) ligoninėje paskirtų medicinos priemonių ir vaistų išlaidas / priemokas;</w:t>
      </w:r>
    </w:p>
    <w:p w14:paraId="60775913"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 d) komforto paslaugas (buvimas vienvietėje arba dvivietėje palatoje). </w:t>
      </w:r>
    </w:p>
    <w:p w14:paraId="5DA10A36" w14:textId="77777777" w:rsidR="002D606A" w:rsidRPr="0005127B" w:rsidRDefault="002D606A" w:rsidP="002D606A">
      <w:pPr>
        <w:pStyle w:val="ListParagraph"/>
        <w:spacing w:line="276" w:lineRule="auto"/>
        <w:rPr>
          <w:rFonts w:cstheme="minorHAnsi"/>
          <w:bCs/>
          <w:sz w:val="22"/>
          <w:szCs w:val="22"/>
        </w:rPr>
      </w:pPr>
    </w:p>
    <w:p w14:paraId="0611B16E" w14:textId="77777777" w:rsidR="002D606A" w:rsidRPr="0005127B" w:rsidRDefault="002D606A" w:rsidP="002D606A">
      <w:pPr>
        <w:pStyle w:val="ListParagraph"/>
        <w:spacing w:line="276" w:lineRule="auto"/>
        <w:ind w:left="0"/>
        <w:rPr>
          <w:rFonts w:cstheme="minorHAnsi"/>
          <w:bCs/>
          <w:sz w:val="22"/>
          <w:szCs w:val="22"/>
        </w:rPr>
      </w:pPr>
      <w:r w:rsidRPr="0005127B">
        <w:rPr>
          <w:rFonts w:cstheme="minorHAnsi"/>
          <w:bCs/>
          <w:sz w:val="22"/>
          <w:szCs w:val="22"/>
        </w:rPr>
        <w:t xml:space="preserve">Medicinos priemonių ir vaistų išlaidos pagal šią draudimo apsaugos sąlygą atlyginamos tik tuomet, kai jos įtrauktos į bendrą stacionariojo gydymo įstaigos sąskaitą arba kai pateikiamas stacionare gydžiusio gydytojo </w:t>
      </w:r>
      <w:r w:rsidRPr="0005127B">
        <w:rPr>
          <w:rFonts w:cstheme="minorHAnsi"/>
          <w:bCs/>
          <w:sz w:val="22"/>
          <w:szCs w:val="22"/>
        </w:rPr>
        <w:lastRenderedPageBreak/>
        <w:t>paskyrimas arba receptas vaistams, kurių vartojimas susijęs su neatidėliotinu, stacionare paskirto gydymo pratęsimu.</w:t>
      </w:r>
    </w:p>
    <w:p w14:paraId="6FD08D71" w14:textId="77777777" w:rsidR="002D606A" w:rsidRPr="0005127B" w:rsidRDefault="002D606A" w:rsidP="002D606A">
      <w:pPr>
        <w:pStyle w:val="ListParagraph"/>
        <w:tabs>
          <w:tab w:val="left" w:pos="851"/>
          <w:tab w:val="left" w:pos="1134"/>
        </w:tabs>
        <w:spacing w:line="276" w:lineRule="auto"/>
        <w:ind w:left="0"/>
        <w:rPr>
          <w:rFonts w:cstheme="minorHAnsi"/>
          <w:b/>
          <w:bCs/>
          <w:sz w:val="22"/>
          <w:szCs w:val="22"/>
        </w:rPr>
      </w:pPr>
    </w:p>
    <w:p w14:paraId="2ECF2901"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b/>
          <w:sz w:val="22"/>
          <w:szCs w:val="22"/>
        </w:rPr>
        <w:t xml:space="preserve">4.4. Visos medicininės paslaugos </w:t>
      </w:r>
      <w:r w:rsidRPr="0005127B">
        <w:rPr>
          <w:rFonts w:cstheme="minorHAnsi"/>
          <w:sz w:val="22"/>
          <w:szCs w:val="22"/>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5C64D611"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sz w:val="22"/>
          <w:szCs w:val="22"/>
        </w:rPr>
        <w:t xml:space="preserve">Iš </w:t>
      </w:r>
      <w:r w:rsidRPr="0005127B">
        <w:rPr>
          <w:rFonts w:cstheme="minorHAnsi"/>
          <w:b/>
          <w:bCs/>
          <w:sz w:val="22"/>
          <w:szCs w:val="22"/>
        </w:rPr>
        <w:t>Visų medicininių paslaugų limito</w:t>
      </w:r>
      <w:r w:rsidRPr="0005127B">
        <w:rPr>
          <w:rFonts w:cstheme="minorHAnsi"/>
          <w:sz w:val="22"/>
          <w:szCs w:val="22"/>
        </w:rPr>
        <w:t xml:space="preserve"> kompensuojama:</w:t>
      </w:r>
    </w:p>
    <w:p w14:paraId="237527B0" w14:textId="77777777" w:rsidR="002D606A" w:rsidRPr="0005127B" w:rsidRDefault="002D606A" w:rsidP="002D606A">
      <w:pPr>
        <w:pStyle w:val="ListParagraph"/>
        <w:tabs>
          <w:tab w:val="left" w:pos="567"/>
        </w:tabs>
        <w:spacing w:line="276" w:lineRule="auto"/>
        <w:ind w:left="0" w:right="141"/>
        <w:rPr>
          <w:rFonts w:cstheme="minorHAnsi"/>
          <w:sz w:val="22"/>
          <w:szCs w:val="22"/>
        </w:rPr>
      </w:pPr>
      <w:r w:rsidRPr="0005127B">
        <w:rPr>
          <w:rFonts w:cstheme="minorHAnsi"/>
          <w:b/>
          <w:bCs/>
          <w:sz w:val="22"/>
          <w:szCs w:val="22"/>
        </w:rPr>
        <w:t>4.4.1.</w:t>
      </w:r>
      <w:r w:rsidRPr="0005127B">
        <w:rPr>
          <w:rFonts w:cstheme="minorHAnsi"/>
          <w:sz w:val="22"/>
          <w:szCs w:val="22"/>
        </w:rPr>
        <w:t xml:space="preserve"> 4.1, 4.2 papunkčiuose numatytos paslaugos (jei jos nebuvo kompensuotos pagal 4.1, 4.2 papunkčiuose numatytas sąlygas arba buvo išnaudotas šioms paslaugoms numatytas limitas), įskaitant:</w:t>
      </w:r>
    </w:p>
    <w:p w14:paraId="608058C9" w14:textId="77777777" w:rsidR="002D606A" w:rsidRPr="0005127B" w:rsidRDefault="002D606A" w:rsidP="002D606A">
      <w:pPr>
        <w:tabs>
          <w:tab w:val="left" w:pos="567"/>
        </w:tabs>
        <w:spacing w:line="276" w:lineRule="auto"/>
        <w:ind w:right="141"/>
        <w:rPr>
          <w:rFonts w:cstheme="minorHAnsi"/>
          <w:bCs/>
          <w:sz w:val="22"/>
          <w:szCs w:val="22"/>
        </w:rPr>
      </w:pPr>
      <w:r w:rsidRPr="0005127B">
        <w:rPr>
          <w:rFonts w:cstheme="minorHAnsi"/>
          <w:b/>
          <w:sz w:val="22"/>
          <w:szCs w:val="22"/>
        </w:rPr>
        <w:t>4.4.2.</w:t>
      </w:r>
      <w:r w:rsidRPr="0005127B">
        <w:rPr>
          <w:rFonts w:cstheme="minorHAnsi"/>
          <w:bCs/>
          <w:sz w:val="22"/>
          <w:szCs w:val="22"/>
        </w:rPr>
        <w:t xml:space="preserve"> gydytojų specialistų konsultacijas ir gydymą be siuntimo;</w:t>
      </w:r>
    </w:p>
    <w:p w14:paraId="36DB0CA8" w14:textId="77777777" w:rsidR="002D606A" w:rsidRPr="0005127B" w:rsidRDefault="002D606A" w:rsidP="002D606A">
      <w:pPr>
        <w:pStyle w:val="ListParagraph"/>
        <w:tabs>
          <w:tab w:val="left" w:pos="567"/>
        </w:tabs>
        <w:spacing w:line="276" w:lineRule="auto"/>
        <w:ind w:left="0" w:right="141"/>
        <w:rPr>
          <w:rFonts w:cstheme="minorHAnsi"/>
          <w:bCs/>
          <w:sz w:val="22"/>
          <w:szCs w:val="22"/>
        </w:rPr>
      </w:pPr>
      <w:r w:rsidRPr="0005127B">
        <w:rPr>
          <w:rFonts w:cstheme="minorHAnsi"/>
          <w:b/>
          <w:sz w:val="22"/>
          <w:szCs w:val="22"/>
        </w:rPr>
        <w:t>4.4.3.</w:t>
      </w:r>
      <w:r w:rsidRPr="0005127B">
        <w:rPr>
          <w:rFonts w:cstheme="minorHAnsi"/>
          <w:bCs/>
          <w:sz w:val="22"/>
          <w:szCs w:val="22"/>
        </w:rPr>
        <w:t xml:space="preserve"> diagnostinius tyrimus, analizes – visi susirgimui nustatyti bei gydymui paskirti būtini laboratoriniai, funkciniai, rentgenologiniai, ultragarsiniai ir kiti instrumentiniai tyrimai, visų tipų COVID-19 testai. Apdraustasis neprivalo tyrimų kompensavimo iš anksto raštu suderinti su Draudiku. Gydytojo paskyrimas nebūtinas;</w:t>
      </w:r>
    </w:p>
    <w:p w14:paraId="0C81699E"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sz w:val="22"/>
          <w:szCs w:val="22"/>
        </w:rPr>
        <w:t>4.4.5.</w:t>
      </w:r>
      <w:r w:rsidRPr="0005127B">
        <w:rPr>
          <w:rFonts w:cstheme="minorHAnsi"/>
          <w:bCs/>
          <w:sz w:val="22"/>
          <w:szCs w:val="22"/>
        </w:rPr>
        <w:t xml:space="preserve"> Taip pat kompensuojama:</w:t>
      </w:r>
    </w:p>
    <w:p w14:paraId="5BBD8B0B"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Dietologo, homeopato konsultacijos, kai gydymo įstaiga ir specialistas turi licenciją;</w:t>
      </w:r>
    </w:p>
    <w:p w14:paraId="118C0B20"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Psichiatrinis, psichoterapinis gydymas, atliekamas gydytojo psichoterapeuto – psichiatro. Seansų skaičius neribojamas;</w:t>
      </w:r>
    </w:p>
    <w:p w14:paraId="44939434"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 xml:space="preserve">Nepiktybinių navikų, odos gerybinių, kraujagyslinių darinių, karpų, apgamų diagnostika ir gydymas (įskaitant gydymą lazeriu); </w:t>
      </w:r>
    </w:p>
    <w:p w14:paraId="6CA976F7"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Lytinių hormonų tyrimai;</w:t>
      </w:r>
    </w:p>
    <w:p w14:paraId="3C45C70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Specifinių imunoglobulino E įvairiems alergenams nustatymas;</w:t>
      </w:r>
    </w:p>
    <w:p w14:paraId="5BF16DEC"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Gydomosios lazerio procedūros, išskyrus nedraudžiamuosius įvykius;</w:t>
      </w:r>
    </w:p>
    <w:p w14:paraId="5812E5C7"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Pėdos kaulų, raiščių, sąnarių bei raumenų netrauminių patologijų diagnostika ir gydymas;</w:t>
      </w:r>
    </w:p>
    <w:p w14:paraId="6805E47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Tuberkuliozės bei endokrininių ligų (visų ligų) diagnostika ir gydymas;</w:t>
      </w:r>
    </w:p>
    <w:p w14:paraId="451AE65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Epilepsijos diagnostika ir gydymas;</w:t>
      </w:r>
    </w:p>
    <w:p w14:paraId="3403CFDB"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Nutukimo, viršsvorio diagnostika ir gydymas;</w:t>
      </w:r>
    </w:p>
    <w:p w14:paraId="1149D123"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Nevaisingumo, potencijos sutrikimų diagnostika ir gydymas;</w:t>
      </w:r>
    </w:p>
    <w:p w14:paraId="57E8F79E"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Lytiškai plintančių ligų diagnostika ir gydymas;</w:t>
      </w:r>
    </w:p>
    <w:p w14:paraId="1F704251"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Plastinis estetinis chirurginis gydymas su gydytojo paskyrimu;</w:t>
      </w:r>
    </w:p>
    <w:p w14:paraId="30ACCFB4"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Sąnarių endoprotezavimo operacijos;</w:t>
      </w:r>
    </w:p>
    <w:p w14:paraId="70A901A8"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Nagų grybelio gydymas lazeriu</w:t>
      </w:r>
      <w:r w:rsidRPr="0005127B">
        <w:rPr>
          <w:rFonts w:cstheme="minorHAnsi"/>
          <w:sz w:val="22"/>
          <w:szCs w:val="22"/>
        </w:rPr>
        <w:t>.</w:t>
      </w:r>
    </w:p>
    <w:p w14:paraId="1EB17EFF"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bCs/>
          <w:sz w:val="22"/>
          <w:szCs w:val="22"/>
        </w:rPr>
        <w:t xml:space="preserve"> 4.4.6.</w:t>
      </w:r>
      <w:r w:rsidRPr="0005127B">
        <w:rPr>
          <w:rFonts w:cstheme="minorHAnsi"/>
          <w:sz w:val="22"/>
          <w:szCs w:val="22"/>
        </w:rPr>
        <w:t xml:space="preserve"> </w:t>
      </w:r>
      <w:r w:rsidRPr="0005127B">
        <w:rPr>
          <w:rFonts w:cstheme="minorHAnsi"/>
          <w:b/>
          <w:bCs/>
          <w:sz w:val="22"/>
          <w:szCs w:val="22"/>
        </w:rPr>
        <w:t xml:space="preserve">Vaistai, medicinos pagalbos priemonės. </w:t>
      </w:r>
      <w:r w:rsidRPr="0005127B">
        <w:rPr>
          <w:rFonts w:cstheme="minorHAnsi"/>
          <w:bCs/>
          <w:sz w:val="22"/>
          <w:szCs w:val="22"/>
        </w:rPr>
        <w:t xml:space="preserve">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 </w:t>
      </w:r>
    </w:p>
    <w:p w14:paraId="1A61C4F2"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Jeigu Draudiko standartinės draudimo taisyklės numato papildomų vaistų ir medicininių pagalbos priemonių įsigijimo apmokėjimą, tos prekės turi būti apmokamos ir draudimo sutarties Apdraustiesiems.</w:t>
      </w:r>
    </w:p>
    <w:p w14:paraId="33CD3641" w14:textId="77777777" w:rsidR="002D606A" w:rsidRPr="0005127B" w:rsidRDefault="002D606A" w:rsidP="002D606A">
      <w:pPr>
        <w:tabs>
          <w:tab w:val="left" w:pos="567"/>
        </w:tabs>
        <w:spacing w:line="276" w:lineRule="auto"/>
        <w:ind w:left="-11" w:right="141"/>
        <w:rPr>
          <w:rFonts w:cstheme="minorHAnsi"/>
          <w:b/>
          <w:bCs/>
          <w:sz w:val="22"/>
          <w:szCs w:val="22"/>
        </w:rPr>
      </w:pPr>
      <w:r w:rsidRPr="0005127B">
        <w:rPr>
          <w:rFonts w:cstheme="minorHAnsi"/>
          <w:b/>
          <w:sz w:val="22"/>
          <w:szCs w:val="22"/>
        </w:rPr>
        <w:lastRenderedPageBreak/>
        <w:t>4.4.7. Reabilitacijos paslaugos (be gydytojo siuntimo)</w:t>
      </w:r>
      <w:r w:rsidRPr="0005127B">
        <w:rPr>
          <w:rFonts w:cstheme="minorHAnsi"/>
          <w:b/>
          <w:bCs/>
          <w:sz w:val="22"/>
          <w:szCs w:val="22"/>
        </w:rPr>
        <w:t>. Apmokamos reabilitacijos:</w:t>
      </w:r>
    </w:p>
    <w:p w14:paraId="62A73A3F"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Kineziterapeuto, </w:t>
      </w:r>
      <w:proofErr w:type="spellStart"/>
      <w:r w:rsidRPr="0005127B">
        <w:rPr>
          <w:rFonts w:cstheme="minorHAnsi"/>
          <w:bCs/>
          <w:sz w:val="22"/>
          <w:szCs w:val="22"/>
        </w:rPr>
        <w:t>ergoterapeuto</w:t>
      </w:r>
      <w:proofErr w:type="spellEnd"/>
      <w:r w:rsidRPr="0005127B">
        <w:rPr>
          <w:rFonts w:cstheme="minorHAnsi"/>
          <w:bCs/>
          <w:sz w:val="22"/>
          <w:szCs w:val="22"/>
        </w:rPr>
        <w:t>, logopedo konsultacijos;</w:t>
      </w:r>
    </w:p>
    <w:p w14:paraId="44726C89"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Fizioterapinės (ultragarsas, mikrobangos, impulsinė terapija) procedūros;</w:t>
      </w:r>
    </w:p>
    <w:p w14:paraId="74BAA1F4"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Kineziterapijos, </w:t>
      </w:r>
      <w:proofErr w:type="spellStart"/>
      <w:r w:rsidRPr="0005127B">
        <w:rPr>
          <w:rFonts w:cstheme="minorHAnsi"/>
          <w:bCs/>
          <w:sz w:val="22"/>
          <w:szCs w:val="22"/>
        </w:rPr>
        <w:t>ergoterapijos</w:t>
      </w:r>
      <w:proofErr w:type="spellEnd"/>
      <w:r w:rsidRPr="0005127B">
        <w:rPr>
          <w:rFonts w:cstheme="minorHAnsi"/>
          <w:bCs/>
          <w:sz w:val="22"/>
          <w:szCs w:val="22"/>
        </w:rPr>
        <w:t xml:space="preserve"> užsiėmimai;</w:t>
      </w:r>
    </w:p>
    <w:p w14:paraId="36E3F3D8"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Vandens ir purvo procedūros;</w:t>
      </w:r>
    </w:p>
    <w:p w14:paraId="620E7604"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Manualinė terapija, masažai (gydomieji/klasikiniai, gydytojo paskyrimas nereikalingas);</w:t>
      </w:r>
    </w:p>
    <w:p w14:paraId="5FD25B68"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Baseinas, </w:t>
      </w:r>
      <w:proofErr w:type="spellStart"/>
      <w:r w:rsidRPr="0005127B">
        <w:rPr>
          <w:rFonts w:cstheme="minorHAnsi"/>
          <w:bCs/>
          <w:sz w:val="22"/>
          <w:szCs w:val="22"/>
        </w:rPr>
        <w:t>haloterapija</w:t>
      </w:r>
      <w:proofErr w:type="spellEnd"/>
      <w:r w:rsidRPr="0005127B">
        <w:rPr>
          <w:rFonts w:cstheme="minorHAnsi"/>
          <w:bCs/>
          <w:sz w:val="22"/>
          <w:szCs w:val="22"/>
        </w:rPr>
        <w:t>, ozono terapija;</w:t>
      </w:r>
    </w:p>
    <w:p w14:paraId="24098A76"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Kitos paslaugos, numatytos Draudiko standartinėse taisyklėse.</w:t>
      </w:r>
    </w:p>
    <w:p w14:paraId="1D119701"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bCs/>
          <w:sz w:val="22"/>
          <w:szCs w:val="22"/>
        </w:rPr>
        <w:t>4.4.8. Optika</w:t>
      </w:r>
      <w:r w:rsidRPr="0005127B">
        <w:rPr>
          <w:rFonts w:cstheme="minorHAnsi"/>
          <w:bCs/>
          <w:sz w:val="22"/>
          <w:szCs w:val="22"/>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46DAB570" w14:textId="77777777" w:rsidR="002D606A" w:rsidRPr="0005127B" w:rsidRDefault="002D606A" w:rsidP="002D606A">
      <w:pPr>
        <w:tabs>
          <w:tab w:val="left" w:pos="567"/>
        </w:tabs>
        <w:spacing w:line="276" w:lineRule="auto"/>
        <w:ind w:left="-11" w:right="141"/>
        <w:rPr>
          <w:rFonts w:cstheme="minorHAnsi"/>
          <w:sz w:val="22"/>
          <w:szCs w:val="22"/>
        </w:rPr>
      </w:pPr>
      <w:r w:rsidRPr="0005127B">
        <w:rPr>
          <w:rFonts w:cstheme="minorHAnsi"/>
          <w:b/>
          <w:bCs/>
          <w:sz w:val="22"/>
          <w:szCs w:val="22"/>
        </w:rPr>
        <w:t xml:space="preserve">4.4.9. Nėščiųjų priežiūra, gimdymas ir pogimdyminė priežiūra </w:t>
      </w:r>
      <w:r w:rsidRPr="0005127B">
        <w:rPr>
          <w:rFonts w:cstheme="minorHAnsi"/>
          <w:b/>
          <w:sz w:val="22"/>
          <w:szCs w:val="22"/>
        </w:rPr>
        <w:t>valstybinėse ir privačiose ligoninėse</w:t>
      </w:r>
      <w:r w:rsidRPr="0005127B">
        <w:rPr>
          <w:rFonts w:cstheme="minorHAnsi"/>
          <w:b/>
          <w:bCs/>
          <w:sz w:val="22"/>
          <w:szCs w:val="22"/>
        </w:rPr>
        <w:t>. Ši programa galioja tik moterims. Kompensuojamos šios paslaugos:</w:t>
      </w:r>
    </w:p>
    <w:p w14:paraId="4F6F6CBE"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Nėščiųjų apžiūra, gydytojų konsultacijos, nėštumo stebėsenos tyrimai;</w:t>
      </w:r>
    </w:p>
    <w:p w14:paraId="00AB93D0"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Nėščiųjų mankšta ir vandens aerobika;</w:t>
      </w:r>
    </w:p>
    <w:p w14:paraId="51523D6C"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Nėštumo komplikacijų diagnostika ir gydymas;</w:t>
      </w:r>
    </w:p>
    <w:p w14:paraId="5B0B2E2D"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Vienvietė ar dvivietė palata;</w:t>
      </w:r>
    </w:p>
    <w:p w14:paraId="56F766C3"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Gimdymas, gimdymo priežiūra.</w:t>
      </w:r>
    </w:p>
    <w:p w14:paraId="6C2E2EB0"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sz w:val="22"/>
          <w:szCs w:val="22"/>
        </w:rPr>
        <w:t xml:space="preserve">4.4.10. Odontologija: </w:t>
      </w:r>
      <w:r w:rsidRPr="0005127B">
        <w:rPr>
          <w:rFonts w:cstheme="minorHAnsi"/>
          <w:bCs/>
          <w:sz w:val="22"/>
          <w:szCs w:val="22"/>
        </w:rPr>
        <w:t>Atlyginamos Apdraustojo patirtos išlaidos dėl jam reikalingų paslaugų, susijusių su dantų arba žandikaulio liga, trauminiu sužalojimu, dėl kurio reikalingos paslaugos:</w:t>
      </w:r>
    </w:p>
    <w:p w14:paraId="42C20CB3" w14:textId="77777777" w:rsidR="002D606A" w:rsidRPr="0005127B" w:rsidRDefault="002D606A" w:rsidP="002D606A">
      <w:pPr>
        <w:pStyle w:val="ListParagraph"/>
        <w:numPr>
          <w:ilvl w:val="0"/>
          <w:numId w:val="32"/>
        </w:numPr>
        <w:tabs>
          <w:tab w:val="left" w:pos="426"/>
          <w:tab w:val="left" w:pos="851"/>
        </w:tabs>
        <w:spacing w:line="276" w:lineRule="auto"/>
        <w:ind w:left="0" w:firstLine="0"/>
        <w:rPr>
          <w:rFonts w:cstheme="minorHAnsi"/>
          <w:bCs/>
          <w:sz w:val="22"/>
          <w:szCs w:val="22"/>
        </w:rPr>
      </w:pPr>
      <w:r w:rsidRPr="0005127B">
        <w:rPr>
          <w:rFonts w:cstheme="minorHAnsi"/>
          <w:bCs/>
          <w:sz w:val="22"/>
          <w:szCs w:val="22"/>
        </w:rPr>
        <w:t xml:space="preserve">Dantų gydymas ir burnos ertmės higiena: gydytojo higienisto konsultacijos, apnašų nuvalymas, konkrementų pašalinimas, fluoro aplikacijos, estetinis plombavimas, </w:t>
      </w:r>
      <w:proofErr w:type="spellStart"/>
      <w:r w:rsidRPr="0005127B">
        <w:rPr>
          <w:rFonts w:cstheme="minorHAnsi"/>
          <w:bCs/>
          <w:sz w:val="22"/>
          <w:szCs w:val="22"/>
        </w:rPr>
        <w:t>kariozinių</w:t>
      </w:r>
      <w:proofErr w:type="spellEnd"/>
      <w:r w:rsidRPr="0005127B">
        <w:rPr>
          <w:rFonts w:cstheme="minorHAnsi"/>
          <w:bCs/>
          <w:sz w:val="22"/>
          <w:szCs w:val="22"/>
        </w:rPr>
        <w:t xml:space="preserve"> danties pažeidimų ir/ar jų komplikacijų gydymas, nuskausminimas, dantų rovimas, diagnozės patikslinimui reikalingos radiogramos, ortodontinis, </w:t>
      </w:r>
      <w:proofErr w:type="spellStart"/>
      <w:r w:rsidRPr="0005127B">
        <w:rPr>
          <w:rFonts w:cstheme="minorHAnsi"/>
          <w:bCs/>
          <w:sz w:val="22"/>
          <w:szCs w:val="22"/>
        </w:rPr>
        <w:t>endodontinis</w:t>
      </w:r>
      <w:proofErr w:type="spellEnd"/>
      <w:r w:rsidRPr="0005127B">
        <w:rPr>
          <w:rFonts w:cstheme="minorHAnsi"/>
          <w:bCs/>
          <w:sz w:val="22"/>
          <w:szCs w:val="22"/>
        </w:rPr>
        <w:t xml:space="preserve">, </w:t>
      </w:r>
      <w:proofErr w:type="spellStart"/>
      <w:r w:rsidRPr="0005127B">
        <w:rPr>
          <w:rFonts w:cstheme="minorHAnsi"/>
          <w:bCs/>
          <w:sz w:val="22"/>
          <w:szCs w:val="22"/>
        </w:rPr>
        <w:t>periodontinis</w:t>
      </w:r>
      <w:proofErr w:type="spellEnd"/>
      <w:r w:rsidRPr="0005127B">
        <w:rPr>
          <w:rFonts w:cstheme="minorHAnsi"/>
          <w:bCs/>
          <w:sz w:val="22"/>
          <w:szCs w:val="22"/>
        </w:rPr>
        <w:t xml:space="preserve"> ir chirurginis danties ligų gydymas, specialistų konsultacijos;</w:t>
      </w:r>
    </w:p>
    <w:p w14:paraId="296E051F" w14:textId="77777777" w:rsidR="002D606A" w:rsidRPr="0005127B" w:rsidRDefault="002D606A" w:rsidP="002D606A">
      <w:pPr>
        <w:pStyle w:val="ListParagraph"/>
        <w:numPr>
          <w:ilvl w:val="0"/>
          <w:numId w:val="32"/>
        </w:numPr>
        <w:tabs>
          <w:tab w:val="left" w:pos="426"/>
          <w:tab w:val="left" w:pos="851"/>
        </w:tabs>
        <w:spacing w:line="276" w:lineRule="auto"/>
        <w:ind w:left="0" w:firstLine="0"/>
        <w:rPr>
          <w:rFonts w:cstheme="minorHAnsi"/>
          <w:bCs/>
          <w:sz w:val="22"/>
          <w:szCs w:val="22"/>
        </w:rPr>
      </w:pPr>
      <w:r w:rsidRPr="0005127B">
        <w:rPr>
          <w:rFonts w:cstheme="minorHAnsi"/>
          <w:bCs/>
          <w:sz w:val="22"/>
          <w:szCs w:val="22"/>
        </w:rPr>
        <w:t xml:space="preserve">Dantų protezavimas: gydytojo konsultacijos dėl protezavimo, implantavimo ir ortodontinio gydymo, dantų protezų gamyba, restauravimas ir taisymas, </w:t>
      </w:r>
      <w:proofErr w:type="spellStart"/>
      <w:r w:rsidRPr="0005127B">
        <w:rPr>
          <w:rFonts w:cstheme="minorHAnsi"/>
          <w:bCs/>
          <w:sz w:val="22"/>
          <w:szCs w:val="22"/>
        </w:rPr>
        <w:t>breketai</w:t>
      </w:r>
      <w:proofErr w:type="spellEnd"/>
      <w:r w:rsidRPr="0005127B">
        <w:rPr>
          <w:rFonts w:cstheme="minorHAnsi"/>
          <w:bCs/>
          <w:sz w:val="22"/>
          <w:szCs w:val="22"/>
        </w:rPr>
        <w:t>, gydomosios kapos.</w:t>
      </w:r>
    </w:p>
    <w:p w14:paraId="7CC744C8"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p>
    <w:p w14:paraId="03A6BAA6"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b/>
          <w:bCs/>
          <w:sz w:val="22"/>
          <w:szCs w:val="22"/>
        </w:rPr>
        <w:t xml:space="preserve">4.4.12 Profilaktiniai patikrinimai ir vakcinacija. </w:t>
      </w:r>
      <w:r w:rsidRPr="0005127B">
        <w:rPr>
          <w:rFonts w:cstheme="minorHAnsi"/>
          <w:sz w:val="22"/>
          <w:szCs w:val="22"/>
        </w:rPr>
        <w:t xml:space="preserve">Kompensuojamos Apdraustojo patirtos išlaidos dėl: </w:t>
      </w:r>
    </w:p>
    <w:p w14:paraId="2E532DE0"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4.4.12.1 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4813AD5C"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4.4.12.2 Gydytojo apžiūros ir tyrimų, kurie periodiškai reikalingi nustatytu (gydytojo paskirtu) laiko intervalu, siekiant reguliariai sekti Apdraustojo, sergančio tam tikra lėtine liga ar vartojančio tam tikrus medikamentus sveikatos būklę;</w:t>
      </w:r>
    </w:p>
    <w:p w14:paraId="35EE8B19"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4.4.12.3 Konsultacijų ir tyrimų privalomų pagal darbo pobūdį; </w:t>
      </w:r>
    </w:p>
    <w:p w14:paraId="1B5B0E68"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4.4.12.4 Konsultacijų ir tyrimų pagal sveikatos priežiūros įstaigoje sudarytas sveikatos patikrinimų programas; </w:t>
      </w:r>
    </w:p>
    <w:p w14:paraId="0F447AD5"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4.4.12.5 Konsultacijų ir tyrimų, kurie paskirti siekiant nustatyti polinkį sirgti liga ar siekiant išvengti galimo susirgimo; </w:t>
      </w:r>
    </w:p>
    <w:p w14:paraId="5129090E"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4.4.12.6 Apmokamos gydytojo konsultacijos dėl vakcinavimo, pasirinktos ar gydytojo paskirtos vakcinos bei vakcinavimas. Kompensuojamos visų tipų vakcinos; </w:t>
      </w:r>
    </w:p>
    <w:p w14:paraId="2E4D4976"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4.4.12.7 Apmokami visi COVID-19 tyrimai. </w:t>
      </w:r>
    </w:p>
    <w:p w14:paraId="6607F281" w14:textId="77777777" w:rsidR="002D606A" w:rsidRPr="0005127B" w:rsidRDefault="002D606A" w:rsidP="002D606A">
      <w:pPr>
        <w:pStyle w:val="ListParagraph"/>
        <w:tabs>
          <w:tab w:val="left" w:pos="851"/>
          <w:tab w:val="left" w:pos="1134"/>
        </w:tabs>
        <w:spacing w:line="276" w:lineRule="auto"/>
        <w:ind w:left="0"/>
        <w:rPr>
          <w:rFonts w:cstheme="minorHAnsi"/>
          <w:b/>
          <w:bCs/>
          <w:sz w:val="22"/>
          <w:szCs w:val="22"/>
        </w:rPr>
      </w:pPr>
      <w:r w:rsidRPr="0005127B">
        <w:rPr>
          <w:rFonts w:cstheme="minorHAnsi"/>
          <w:sz w:val="22"/>
          <w:szCs w:val="22"/>
        </w:rPr>
        <w:lastRenderedPageBreak/>
        <w:t>4.4.12.8 Jeigu Draudiko standartinės draudimo taisyklės numato papildomų profilaktinių paslaugų apmokėjimą, tos paslaugos turi būti apmokamos ir šios sutarties apdraustiesiems.</w:t>
      </w:r>
    </w:p>
    <w:p w14:paraId="59EF395F" w14:textId="77777777" w:rsidR="002D606A" w:rsidRPr="0005127B" w:rsidRDefault="002D606A" w:rsidP="002D606A">
      <w:pPr>
        <w:spacing w:before="240" w:line="276" w:lineRule="auto"/>
        <w:jc w:val="left"/>
        <w:rPr>
          <w:rFonts w:cstheme="minorHAnsi"/>
          <w:b/>
          <w:sz w:val="22"/>
          <w:szCs w:val="22"/>
        </w:rPr>
      </w:pPr>
      <w:r w:rsidRPr="0005127B">
        <w:rPr>
          <w:rFonts w:cstheme="minorHAnsi"/>
          <w:b/>
          <w:sz w:val="22"/>
          <w:szCs w:val="22"/>
        </w:rPr>
        <w:t>5. Sveikatos sutrikimai, sveikatos priežiūros paslaugos ir įvykiai, pripažįstami nedraudžiamaisiais:</w:t>
      </w:r>
    </w:p>
    <w:p w14:paraId="4978CAAD" w14:textId="77777777" w:rsidR="002D606A" w:rsidRPr="0005127B" w:rsidRDefault="002D606A" w:rsidP="002D606A">
      <w:pPr>
        <w:pStyle w:val="ListParagraph"/>
        <w:numPr>
          <w:ilvl w:val="1"/>
          <w:numId w:val="33"/>
        </w:numPr>
        <w:tabs>
          <w:tab w:val="left" w:pos="1134"/>
        </w:tabs>
        <w:spacing w:line="276" w:lineRule="auto"/>
        <w:ind w:left="426" w:hanging="426"/>
        <w:rPr>
          <w:rFonts w:cstheme="minorHAnsi"/>
          <w:bCs/>
          <w:sz w:val="22"/>
          <w:szCs w:val="22"/>
        </w:rPr>
      </w:pPr>
      <w:r w:rsidRPr="0005127B">
        <w:rPr>
          <w:rFonts w:cstheme="minorHAnsi"/>
          <w:bCs/>
          <w:sz w:val="22"/>
          <w:szCs w:val="22"/>
        </w:rPr>
        <w:t>sveikatos sutrikimai, kurie buvo sukelti Apdraustajam tyčia susižalojus ar bandant nusižudyti;</w:t>
      </w:r>
    </w:p>
    <w:p w14:paraId="3A042E88"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sveikatos sutrikimai, kurie atsirado Apdraustajam vykdant nusikalstamą veiką arba rengiantis ją įvykdyti ar dėl kito priešingo teisei veikimo;</w:t>
      </w:r>
    </w:p>
    <w:p w14:paraId="4D79EF85"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sveikatos sutrikimai, kurie atsirado Apdraustajam aktyviai dalyvaujant karo veiksmuose, karinio pobūdžio operacijose, masiniuose ir pilietiniuose neramumuose, sukilimuose, streikuose;</w:t>
      </w:r>
    </w:p>
    <w:p w14:paraId="59E6B288"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 xml:space="preserve">sveikatos sutrikimai, atsiradę Apdraustajam nuo alkoholio, narkotinių ar apsvaigimo tikslu naudotų toksinių medžiagų ar vaistų, kurie nebuvo paskirti gydytojo, poveikio; </w:t>
      </w:r>
    </w:p>
    <w:p w14:paraId="025BF6DC"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paslaugos suteiktos draudimo apsaugos negaliojimo (sustabdymo) metu;</w:t>
      </w:r>
    </w:p>
    <w:p w14:paraId="1D19F52B"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sergančių priklausomybės nuo psichoaktyvių medžiagų (narkotikų, alkoholio, psichotropinių medžiagų) ligomis gydymas;</w:t>
      </w:r>
    </w:p>
    <w:p w14:paraId="07DF42A7"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Lietuvos Respublikos sveikatos apsaugos ministerijos nelicencijuota veikla, neaprobuoti gydymo būdai ir paslaugos;</w:t>
      </w:r>
    </w:p>
    <w:p w14:paraId="1B0CA47C"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nėštumo nutraukimas nesant medicininių indikacijų ir gimdymas ne medicinos įstaigoje;</w:t>
      </w:r>
    </w:p>
    <w:p w14:paraId="4F0EFC24"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 xml:space="preserve">kosmetinės - plastinės operacijos, nesant gydytojo paskyrimo, </w:t>
      </w:r>
      <w:proofErr w:type="spellStart"/>
      <w:r w:rsidRPr="0005127B">
        <w:rPr>
          <w:rFonts w:cstheme="minorHAnsi"/>
          <w:bCs/>
          <w:sz w:val="22"/>
          <w:szCs w:val="22"/>
        </w:rPr>
        <w:t>kosmetologinės</w:t>
      </w:r>
      <w:proofErr w:type="spellEnd"/>
      <w:r w:rsidRPr="0005127B">
        <w:rPr>
          <w:rFonts w:cstheme="minorHAnsi"/>
          <w:bCs/>
          <w:sz w:val="22"/>
          <w:szCs w:val="22"/>
        </w:rPr>
        <w:t xml:space="preserve"> procedūros;</w:t>
      </w:r>
    </w:p>
    <w:p w14:paraId="0CEBDBC8"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estetinės odontologijos paslaugos (išskyrus estetinį plombavimą), dantų balinimas, laminavimas ir panašios procedūros nėra apmokamos</w:t>
      </w:r>
    </w:p>
    <w:p w14:paraId="4F5B2DF2"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77FE6FC8"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akinių nuo saulės, akinių stiklų priežiūros priemonių įsigijimas; </w:t>
      </w:r>
    </w:p>
    <w:p w14:paraId="771347CF"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įvykiai, kurių datos ir aplinkybių negalima nustatyti atlikus įvykio tyrimą;</w:t>
      </w:r>
    </w:p>
    <w:p w14:paraId="39B6CFA7"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jei draudimo apsauga naudojasi ne Apdraustasis; </w:t>
      </w:r>
    </w:p>
    <w:p w14:paraId="35491275"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apgyvendinimo ir maitinimo išlaidos, apsilankymai vandens pramogų parkuose, dovanų kuponai;</w:t>
      </w:r>
    </w:p>
    <w:p w14:paraId="4F55F5B5"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sporto paslaugos: šokiai, golfas, slidinėjimo treniruotės, kovos menai, tenisas, joga, treniruoklių salėje gautos paslaugos, aerobika, </w:t>
      </w:r>
      <w:proofErr w:type="spellStart"/>
      <w:r w:rsidRPr="0005127B">
        <w:rPr>
          <w:rFonts w:cstheme="minorHAnsi"/>
          <w:bCs/>
          <w:sz w:val="22"/>
          <w:szCs w:val="22"/>
        </w:rPr>
        <w:t>skvošas</w:t>
      </w:r>
      <w:proofErr w:type="spellEnd"/>
      <w:r w:rsidRPr="0005127B">
        <w:rPr>
          <w:rFonts w:cstheme="minorHAnsi"/>
          <w:bCs/>
          <w:sz w:val="22"/>
          <w:szCs w:val="22"/>
        </w:rPr>
        <w:t xml:space="preserve">, </w:t>
      </w:r>
      <w:proofErr w:type="spellStart"/>
      <w:r w:rsidRPr="0005127B">
        <w:rPr>
          <w:rFonts w:cstheme="minorHAnsi"/>
          <w:bCs/>
          <w:sz w:val="22"/>
          <w:szCs w:val="22"/>
        </w:rPr>
        <w:t>fitnesas</w:t>
      </w:r>
      <w:proofErr w:type="spellEnd"/>
      <w:r w:rsidRPr="0005127B">
        <w:rPr>
          <w:rFonts w:cstheme="minorHAnsi"/>
          <w:bCs/>
          <w:sz w:val="22"/>
          <w:szCs w:val="22"/>
        </w:rPr>
        <w:t xml:space="preserve">, </w:t>
      </w:r>
      <w:proofErr w:type="spellStart"/>
      <w:r w:rsidRPr="0005127B">
        <w:rPr>
          <w:rFonts w:cstheme="minorHAnsi"/>
          <w:bCs/>
          <w:sz w:val="22"/>
          <w:szCs w:val="22"/>
        </w:rPr>
        <w:t>kalanetika</w:t>
      </w:r>
      <w:proofErr w:type="spellEnd"/>
      <w:r w:rsidRPr="0005127B">
        <w:rPr>
          <w:rFonts w:cstheme="minorHAnsi"/>
          <w:bCs/>
          <w:sz w:val="22"/>
          <w:szCs w:val="22"/>
        </w:rPr>
        <w:t xml:space="preserve">, </w:t>
      </w:r>
      <w:proofErr w:type="spellStart"/>
      <w:r w:rsidRPr="0005127B">
        <w:rPr>
          <w:rFonts w:cstheme="minorHAnsi"/>
          <w:bCs/>
          <w:sz w:val="22"/>
          <w:szCs w:val="22"/>
        </w:rPr>
        <w:t>pilatesas</w:t>
      </w:r>
      <w:proofErr w:type="spellEnd"/>
      <w:r w:rsidRPr="0005127B">
        <w:rPr>
          <w:rFonts w:cstheme="minorHAnsi"/>
          <w:bCs/>
          <w:sz w:val="22"/>
          <w:szCs w:val="22"/>
        </w:rPr>
        <w:t xml:space="preserve"> ir t.t.; </w:t>
      </w:r>
    </w:p>
    <w:p w14:paraId="2FC00D7A"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sporto abonementai, negydomieji masažai, higienos prekės, optikos prekės be dioptrijų, akinių ir kontaktinių lęšių aksesuarai bei dėklai, jų priežiūros priemonės.</w:t>
      </w:r>
    </w:p>
    <w:p w14:paraId="75D1CA4C"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kosmetikos priemonių, higienos prekių įsigijimas vaistinėse, e-vaistinėse;</w:t>
      </w:r>
    </w:p>
    <w:p w14:paraId="0C4AC2AB"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paslaugos suteiktos vandens arba žiemos pramogų parkuose.</w:t>
      </w:r>
    </w:p>
    <w:p w14:paraId="2B1AD3BE"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Draudimo sutarčiai taikomi nedraudžiamieji įvykiai, nurodyti draudiko taisyklėse (išskyrus atvejus, kurie nurodyti kaip kompensuojami techninėje specifikacijoje).</w:t>
      </w:r>
    </w:p>
    <w:p w14:paraId="5D4CF94E" w14:textId="3F39EDA6" w:rsidR="00CB5907" w:rsidRPr="0005127B" w:rsidRDefault="002D606A" w:rsidP="002D606A">
      <w:pPr>
        <w:jc w:val="center"/>
        <w:rPr>
          <w:rFonts w:cstheme="minorHAnsi"/>
          <w:sz w:val="22"/>
          <w:szCs w:val="22"/>
        </w:rPr>
      </w:pPr>
      <w:r w:rsidRPr="0005127B">
        <w:rPr>
          <w:rFonts w:cstheme="minorHAnsi"/>
          <w:sz w:val="22"/>
          <w:szCs w:val="22"/>
        </w:rPr>
        <w:t>_________</w:t>
      </w:r>
    </w:p>
    <w:p w14:paraId="4785DE22" w14:textId="05A4CA10" w:rsidR="00E40629" w:rsidRPr="005F167C" w:rsidRDefault="00E40629" w:rsidP="00A0720C">
      <w:pPr>
        <w:ind w:firstLine="0"/>
        <w:rPr>
          <w:rFonts w:ascii="Arial" w:hAnsi="Arial" w:cs="Arial"/>
        </w:rPr>
      </w:pPr>
      <w:bookmarkStart w:id="9" w:name="_GoBack"/>
      <w:bookmarkEnd w:id="7"/>
      <w:bookmarkEnd w:id="9"/>
    </w:p>
    <w:sectPr w:rsidR="00E40629" w:rsidRPr="005F167C" w:rsidSect="00980AB7">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7E806" w14:textId="77777777" w:rsidR="005B796F" w:rsidRDefault="005B796F" w:rsidP="00D05666">
      <w:r>
        <w:separator/>
      </w:r>
    </w:p>
  </w:endnote>
  <w:endnote w:type="continuationSeparator" w:id="0">
    <w:p w14:paraId="6EF4C30E" w14:textId="77777777" w:rsidR="005B796F" w:rsidRDefault="005B796F" w:rsidP="00D05666">
      <w:r>
        <w:continuationSeparator/>
      </w:r>
    </w:p>
  </w:endnote>
  <w:endnote w:type="continuationNotice" w:id="1">
    <w:p w14:paraId="7C121CC4" w14:textId="77777777" w:rsidR="005B796F" w:rsidRDefault="005B79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6DB6132A" w14:textId="77777777" w:rsidTr="0B831528">
      <w:tc>
        <w:tcPr>
          <w:tcW w:w="3600" w:type="dxa"/>
        </w:tcPr>
        <w:p w14:paraId="3DD6CB26" w14:textId="44274829" w:rsidR="002D606A" w:rsidRDefault="002D606A" w:rsidP="0B831528">
          <w:pPr>
            <w:pStyle w:val="Header"/>
            <w:ind w:left="-115"/>
            <w:jc w:val="left"/>
          </w:pPr>
        </w:p>
      </w:tc>
      <w:tc>
        <w:tcPr>
          <w:tcW w:w="3600" w:type="dxa"/>
        </w:tcPr>
        <w:p w14:paraId="0FFE1169" w14:textId="04D5F0EA" w:rsidR="002D606A" w:rsidRDefault="002D606A" w:rsidP="0B831528">
          <w:pPr>
            <w:pStyle w:val="Header"/>
            <w:jc w:val="center"/>
          </w:pPr>
        </w:p>
      </w:tc>
      <w:tc>
        <w:tcPr>
          <w:tcW w:w="3600" w:type="dxa"/>
        </w:tcPr>
        <w:p w14:paraId="637FC8A9" w14:textId="7FCE1B5E" w:rsidR="002D606A" w:rsidRDefault="002D606A" w:rsidP="0B831528">
          <w:pPr>
            <w:pStyle w:val="Header"/>
            <w:ind w:right="-115"/>
            <w:jc w:val="right"/>
          </w:pPr>
        </w:p>
      </w:tc>
    </w:tr>
  </w:tbl>
  <w:p w14:paraId="1418C709" w14:textId="2F0E40AA" w:rsidR="002D606A" w:rsidRDefault="002D606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26379111" w14:textId="77777777" w:rsidTr="0B831528">
      <w:tc>
        <w:tcPr>
          <w:tcW w:w="3600" w:type="dxa"/>
        </w:tcPr>
        <w:p w14:paraId="47E711C1" w14:textId="19AB4DF1" w:rsidR="002D606A" w:rsidRDefault="002D606A" w:rsidP="0B831528">
          <w:pPr>
            <w:pStyle w:val="Header"/>
            <w:ind w:left="-115"/>
            <w:jc w:val="left"/>
          </w:pPr>
        </w:p>
      </w:tc>
      <w:tc>
        <w:tcPr>
          <w:tcW w:w="3600" w:type="dxa"/>
        </w:tcPr>
        <w:p w14:paraId="1A5949BA" w14:textId="5C596B32" w:rsidR="002D606A" w:rsidRDefault="002D606A" w:rsidP="0B831528">
          <w:pPr>
            <w:pStyle w:val="Header"/>
            <w:jc w:val="center"/>
          </w:pPr>
        </w:p>
      </w:tc>
      <w:tc>
        <w:tcPr>
          <w:tcW w:w="3600" w:type="dxa"/>
        </w:tcPr>
        <w:p w14:paraId="397999A9" w14:textId="74BE2DF9" w:rsidR="002D606A" w:rsidRDefault="002D606A" w:rsidP="0B831528">
          <w:pPr>
            <w:pStyle w:val="Header"/>
            <w:ind w:right="-115"/>
            <w:jc w:val="right"/>
          </w:pPr>
        </w:p>
      </w:tc>
    </w:tr>
  </w:tbl>
  <w:p w14:paraId="16BE47DF" w14:textId="0FE8012D" w:rsidR="002D606A" w:rsidRDefault="002D606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5940C" w14:textId="77777777" w:rsidR="005B796F" w:rsidRDefault="005B796F" w:rsidP="00D05666">
      <w:r>
        <w:separator/>
      </w:r>
    </w:p>
  </w:footnote>
  <w:footnote w:type="continuationSeparator" w:id="0">
    <w:p w14:paraId="1754D3FE" w14:textId="77777777" w:rsidR="005B796F" w:rsidRDefault="005B796F" w:rsidP="00D05666">
      <w:r>
        <w:continuationSeparator/>
      </w:r>
    </w:p>
  </w:footnote>
  <w:footnote w:type="continuationNotice" w:id="1">
    <w:p w14:paraId="6368DF5E" w14:textId="77777777" w:rsidR="005B796F" w:rsidRDefault="005B79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D606A" w:rsidRDefault="002D606A">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D606A" w:rsidRDefault="002D60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93308"/>
    <w:multiLevelType w:val="multilevel"/>
    <w:tmpl w:val="1526A9E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5257"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326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 w15:restartNumberingAfterBreak="0">
    <w:nsid w:val="097C033F"/>
    <w:multiLevelType w:val="multilevel"/>
    <w:tmpl w:val="99B2A88E"/>
    <w:lvl w:ilvl="0">
      <w:start w:val="4"/>
      <w:numFmt w:val="decimal"/>
      <w:lvlText w:val="%1"/>
      <w:lvlJc w:val="left"/>
      <w:pPr>
        <w:ind w:left="480" w:hanging="480"/>
      </w:pPr>
    </w:lvl>
    <w:lvl w:ilvl="1">
      <w:start w:val="1"/>
      <w:numFmt w:val="decimal"/>
      <w:lvlText w:val="%1.%2"/>
      <w:lvlJc w:val="left"/>
      <w:pPr>
        <w:ind w:left="690" w:hanging="480"/>
      </w:pPr>
    </w:lvl>
    <w:lvl w:ilvl="2">
      <w:start w:val="1"/>
      <w:numFmt w:val="bullet"/>
      <w:lvlText w:val=""/>
      <w:lvlJc w:val="left"/>
      <w:pPr>
        <w:ind w:left="780" w:hanging="360"/>
      </w:pPr>
      <w:rPr>
        <w:rFonts w:ascii="Symbol" w:hAnsi="Symbol" w:hint="default"/>
      </w:r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6" w15:restartNumberingAfterBreak="0">
    <w:nsid w:val="0A2F6537"/>
    <w:multiLevelType w:val="multilevel"/>
    <w:tmpl w:val="7C24E916"/>
    <w:lvl w:ilvl="0">
      <w:start w:val="7"/>
      <w:numFmt w:val="decimal"/>
      <w:lvlText w:val="%1."/>
      <w:lvlJc w:val="left"/>
      <w:pPr>
        <w:ind w:left="360" w:hanging="360"/>
      </w:pPr>
      <w:rPr>
        <w:rFonts w:eastAsia="Times New Roman"/>
        <w:color w:val="FFFFFF" w:themeColor="background1"/>
      </w:rPr>
    </w:lvl>
    <w:lvl w:ilvl="1">
      <w:start w:val="1"/>
      <w:numFmt w:val="decimal"/>
      <w:lvlText w:val="%1.%2."/>
      <w:lvlJc w:val="left"/>
      <w:pPr>
        <w:ind w:left="786" w:hanging="360"/>
      </w:pPr>
      <w:rPr>
        <w:rFonts w:eastAsia="Times New Roman"/>
        <w:color w:val="000000" w:themeColor="text1"/>
      </w:rPr>
    </w:lvl>
    <w:lvl w:ilvl="2">
      <w:start w:val="1"/>
      <w:numFmt w:val="decimal"/>
      <w:lvlText w:val="%1.%2.%3."/>
      <w:lvlJc w:val="left"/>
      <w:pPr>
        <w:ind w:left="1854" w:hanging="720"/>
      </w:pPr>
      <w:rPr>
        <w:rFonts w:eastAsia="Times New Roman"/>
        <w:color w:val="000000" w:themeColor="text1"/>
      </w:rPr>
    </w:lvl>
    <w:lvl w:ilvl="3">
      <w:start w:val="1"/>
      <w:numFmt w:val="decimal"/>
      <w:lvlText w:val="%1.%2.%3.%4."/>
      <w:lvlJc w:val="left"/>
      <w:pPr>
        <w:ind w:left="2421" w:hanging="720"/>
      </w:pPr>
      <w:rPr>
        <w:rFonts w:eastAsia="Times New Roman"/>
        <w:color w:val="000000" w:themeColor="text1"/>
      </w:rPr>
    </w:lvl>
    <w:lvl w:ilvl="4">
      <w:start w:val="1"/>
      <w:numFmt w:val="decimal"/>
      <w:lvlText w:val="%1.%2.%3.%4.%5."/>
      <w:lvlJc w:val="left"/>
      <w:pPr>
        <w:ind w:left="3348" w:hanging="1080"/>
      </w:pPr>
      <w:rPr>
        <w:rFonts w:eastAsia="Times New Roman"/>
        <w:color w:val="000000" w:themeColor="text1"/>
      </w:rPr>
    </w:lvl>
    <w:lvl w:ilvl="5">
      <w:start w:val="1"/>
      <w:numFmt w:val="decimal"/>
      <w:lvlText w:val="%1.%2.%3.%4.%5.%6."/>
      <w:lvlJc w:val="left"/>
      <w:pPr>
        <w:ind w:left="3915" w:hanging="1080"/>
      </w:pPr>
      <w:rPr>
        <w:rFonts w:eastAsia="Times New Roman"/>
        <w:color w:val="000000" w:themeColor="text1"/>
      </w:rPr>
    </w:lvl>
    <w:lvl w:ilvl="6">
      <w:start w:val="1"/>
      <w:numFmt w:val="decimal"/>
      <w:lvlText w:val="%1.%2.%3.%4.%5.%6.%7."/>
      <w:lvlJc w:val="left"/>
      <w:pPr>
        <w:ind w:left="4842" w:hanging="1440"/>
      </w:pPr>
      <w:rPr>
        <w:rFonts w:eastAsia="Times New Roman"/>
        <w:color w:val="000000" w:themeColor="text1"/>
      </w:rPr>
    </w:lvl>
    <w:lvl w:ilvl="7">
      <w:start w:val="1"/>
      <w:numFmt w:val="decimal"/>
      <w:lvlText w:val="%1.%2.%3.%4.%5.%6.%7.%8."/>
      <w:lvlJc w:val="left"/>
      <w:pPr>
        <w:ind w:left="5409" w:hanging="1440"/>
      </w:pPr>
      <w:rPr>
        <w:rFonts w:eastAsia="Times New Roman"/>
        <w:color w:val="000000" w:themeColor="text1"/>
      </w:rPr>
    </w:lvl>
    <w:lvl w:ilvl="8">
      <w:start w:val="1"/>
      <w:numFmt w:val="decimal"/>
      <w:lvlText w:val="%1.%2.%3.%4.%5.%6.%7.%8.%9."/>
      <w:lvlJc w:val="left"/>
      <w:pPr>
        <w:ind w:left="6336" w:hanging="1800"/>
      </w:pPr>
      <w:rPr>
        <w:rFonts w:eastAsia="Times New Roman"/>
        <w:color w:val="000000" w:themeColor="text1"/>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B11C3"/>
    <w:multiLevelType w:val="hybridMultilevel"/>
    <w:tmpl w:val="9AD8FDB8"/>
    <w:lvl w:ilvl="0" w:tplc="C60E929A">
      <w:start w:val="1"/>
      <w:numFmt w:val="decimal"/>
      <w:lvlText w:val="%1."/>
      <w:lvlJc w:val="left"/>
      <w:pPr>
        <w:ind w:left="391" w:hanging="360"/>
      </w:p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0" w15:restartNumberingAfterBreak="0">
    <w:nsid w:val="139D1D53"/>
    <w:multiLevelType w:val="multilevel"/>
    <w:tmpl w:val="BEE4D858"/>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1538A3"/>
    <w:multiLevelType w:val="hybridMultilevel"/>
    <w:tmpl w:val="0994D6C8"/>
    <w:lvl w:ilvl="0" w:tplc="04270001">
      <w:start w:val="1"/>
      <w:numFmt w:val="bullet"/>
      <w:lvlText w:val=""/>
      <w:lvlJc w:val="left"/>
      <w:pPr>
        <w:ind w:left="644" w:hanging="360"/>
      </w:pPr>
      <w:rPr>
        <w:rFonts w:ascii="Symbol" w:hAnsi="Symbol" w:hint="default"/>
      </w:r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AA33AE"/>
    <w:multiLevelType w:val="multilevel"/>
    <w:tmpl w:val="A774AA26"/>
    <w:lvl w:ilvl="0">
      <w:start w:val="1"/>
      <w:numFmt w:val="lowerLetter"/>
      <w:lvlText w:val="%1)"/>
      <w:lvlJc w:val="left"/>
      <w:pPr>
        <w:ind w:left="1048" w:hanging="480"/>
      </w:pPr>
    </w:lvl>
    <w:lvl w:ilvl="1">
      <w:start w:val="1"/>
      <w:numFmt w:val="decimal"/>
      <w:lvlText w:val="%1.%2."/>
      <w:lvlJc w:val="left"/>
      <w:pPr>
        <w:ind w:left="1758" w:hanging="480"/>
      </w:pPr>
    </w:lvl>
    <w:lvl w:ilvl="2">
      <w:start w:val="1"/>
      <w:numFmt w:val="decimal"/>
      <w:lvlText w:val="%1.%2.%3."/>
      <w:lvlJc w:val="left"/>
      <w:pPr>
        <w:ind w:left="2422" w:hanging="720"/>
      </w:pPr>
    </w:lvl>
    <w:lvl w:ilvl="3">
      <w:start w:val="1"/>
      <w:numFmt w:val="decimal"/>
      <w:lvlText w:val="%1.%2.%3.%4."/>
      <w:lvlJc w:val="left"/>
      <w:pPr>
        <w:ind w:left="2989" w:hanging="720"/>
      </w:pPr>
    </w:lvl>
    <w:lvl w:ilvl="4">
      <w:start w:val="1"/>
      <w:numFmt w:val="decimal"/>
      <w:lvlText w:val="%1.%2.%3.%4.%5."/>
      <w:lvlJc w:val="left"/>
      <w:pPr>
        <w:ind w:left="3916" w:hanging="1080"/>
      </w:pPr>
    </w:lvl>
    <w:lvl w:ilvl="5">
      <w:start w:val="1"/>
      <w:numFmt w:val="decimal"/>
      <w:lvlText w:val="%1.%2.%3.%4.%5.%6."/>
      <w:lvlJc w:val="left"/>
      <w:pPr>
        <w:ind w:left="4483" w:hanging="1080"/>
      </w:pPr>
    </w:lvl>
    <w:lvl w:ilvl="6">
      <w:start w:val="1"/>
      <w:numFmt w:val="decimal"/>
      <w:lvlText w:val="%1.%2.%3.%4.%5.%6.%7."/>
      <w:lvlJc w:val="left"/>
      <w:pPr>
        <w:ind w:left="5410" w:hanging="1440"/>
      </w:pPr>
    </w:lvl>
    <w:lvl w:ilvl="7">
      <w:start w:val="1"/>
      <w:numFmt w:val="decimal"/>
      <w:lvlText w:val="%1.%2.%3.%4.%5.%6.%7.%8."/>
      <w:lvlJc w:val="left"/>
      <w:pPr>
        <w:ind w:left="5977" w:hanging="1440"/>
      </w:pPr>
    </w:lvl>
    <w:lvl w:ilvl="8">
      <w:start w:val="1"/>
      <w:numFmt w:val="decimal"/>
      <w:lvlText w:val="%1.%2.%3.%4.%5.%6.%7.%8.%9."/>
      <w:lvlJc w:val="left"/>
      <w:pPr>
        <w:ind w:left="6904" w:hanging="1800"/>
      </w:pPr>
    </w:lvl>
  </w:abstractNum>
  <w:abstractNum w:abstractNumId="15"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82052EC"/>
    <w:multiLevelType w:val="multilevel"/>
    <w:tmpl w:val="C1648D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F4167FF"/>
    <w:multiLevelType w:val="multilevel"/>
    <w:tmpl w:val="DB341A56"/>
    <w:lvl w:ilvl="0">
      <w:start w:val="12"/>
      <w:numFmt w:val="decimal"/>
      <w:lvlText w:val="%1."/>
      <w:lvlJc w:val="left"/>
      <w:pPr>
        <w:ind w:left="480" w:hanging="480"/>
      </w:pPr>
      <w:rPr>
        <w:color w:val="000000" w:themeColor="text1"/>
      </w:rPr>
    </w:lvl>
    <w:lvl w:ilvl="1">
      <w:start w:val="1"/>
      <w:numFmt w:val="decimal"/>
      <w:lvlText w:val="%1.%2."/>
      <w:lvlJc w:val="left"/>
      <w:pPr>
        <w:ind w:left="480" w:hanging="480"/>
      </w:pPr>
      <w:rPr>
        <w:b w:val="0"/>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E265962"/>
    <w:multiLevelType w:val="hybridMultilevel"/>
    <w:tmpl w:val="7A767C32"/>
    <w:lvl w:ilvl="0" w:tplc="25EE667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87F4D9C"/>
    <w:multiLevelType w:val="multilevel"/>
    <w:tmpl w:val="4A369290"/>
    <w:lvl w:ilvl="0">
      <w:start w:val="1"/>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27"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FE7D57"/>
    <w:multiLevelType w:val="multilevel"/>
    <w:tmpl w:val="87CAC1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200FEC"/>
    <w:multiLevelType w:val="hybridMultilevel"/>
    <w:tmpl w:val="4E9E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744171"/>
    <w:multiLevelType w:val="hybridMultilevel"/>
    <w:tmpl w:val="A11E8F40"/>
    <w:lvl w:ilvl="0" w:tplc="D4FA11A0">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21"/>
  </w:num>
  <w:num w:numId="4">
    <w:abstractNumId w:val="40"/>
  </w:num>
  <w:num w:numId="5">
    <w:abstractNumId w:val="13"/>
  </w:num>
  <w:num w:numId="6">
    <w:abstractNumId w:val="7"/>
  </w:num>
  <w:num w:numId="7">
    <w:abstractNumId w:val="22"/>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1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16"/>
  </w:num>
  <w:num w:numId="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27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DD9"/>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4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42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5C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D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6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1F"/>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DB"/>
    <w:rsid w:val="00623F37"/>
    <w:rsid w:val="00623F56"/>
    <w:rsid w:val="006242E9"/>
    <w:rsid w:val="00624348"/>
    <w:rsid w:val="006250F6"/>
    <w:rsid w:val="006258F1"/>
    <w:rsid w:val="00626341"/>
    <w:rsid w:val="00626844"/>
    <w:rsid w:val="00626BBC"/>
    <w:rsid w:val="00626FE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982"/>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D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1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B78"/>
    <w:rsid w:val="00907DBA"/>
    <w:rsid w:val="0091128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96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AB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C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20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AC"/>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65"/>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5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0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29"/>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AD4"/>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99"/>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A8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uiPriority w:val="59"/>
    <w:rsid w:val="000A5F41"/>
    <w:pPr>
      <w:spacing w:line="240" w:lineRule="auto"/>
      <w:ind w:left="34" w:firstLine="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228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894332">
      <w:bodyDiv w:val="1"/>
      <w:marLeft w:val="0"/>
      <w:marRight w:val="0"/>
      <w:marTop w:val="0"/>
      <w:marBottom w:val="0"/>
      <w:divBdr>
        <w:top w:val="none" w:sz="0" w:space="0" w:color="auto"/>
        <w:left w:val="none" w:sz="0" w:space="0" w:color="auto"/>
        <w:bottom w:val="none" w:sz="0" w:space="0" w:color="auto"/>
        <w:right w:val="none" w:sz="0" w:space="0" w:color="auto"/>
      </w:divBdr>
    </w:div>
    <w:div w:id="259795607">
      <w:bodyDiv w:val="1"/>
      <w:marLeft w:val="0"/>
      <w:marRight w:val="0"/>
      <w:marTop w:val="0"/>
      <w:marBottom w:val="0"/>
      <w:divBdr>
        <w:top w:val="none" w:sz="0" w:space="0" w:color="auto"/>
        <w:left w:val="none" w:sz="0" w:space="0" w:color="auto"/>
        <w:bottom w:val="none" w:sz="0" w:space="0" w:color="auto"/>
        <w:right w:val="none" w:sz="0" w:space="0" w:color="auto"/>
      </w:divBdr>
    </w:div>
    <w:div w:id="2636587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94085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9768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4081903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285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536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722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F2C6B56-D4DF-4F64-A843-C6A7086D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13642</Words>
  <Characters>7777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21377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14</cp:revision>
  <cp:lastPrinted>2021-11-03T05:49:00Z</cp:lastPrinted>
  <dcterms:created xsi:type="dcterms:W3CDTF">2024-11-27T12:12:00Z</dcterms:created>
  <dcterms:modified xsi:type="dcterms:W3CDTF">2025-02-27T06:59:00Z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