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2A355484"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6E96F9A"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4537E1" w:rsidP="004537E1">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sidRPr="00FC08E7">
              <w:rPr>
                <w:b w:val="0"/>
                <w:bCs w:val="0"/>
                <w:webHidden/>
              </w:rPr>
              <w:t>2</w:t>
            </w:r>
            <w:r w:rsidRPr="00FC08E7">
              <w:rPr>
                <w:b w:val="0"/>
                <w:bCs w:val="0"/>
                <w:webHidden/>
              </w:rPr>
              <w:fldChar w:fldCharType="end"/>
            </w:r>
          </w:hyperlink>
        </w:p>
        <w:p w14:paraId="7BC1B498" w14:textId="01A9675B" w:rsidR="004537E1" w:rsidRPr="00FC08E7" w:rsidRDefault="004537E1" w:rsidP="004537E1">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513A3490" w14:textId="3FB6A9C3" w:rsidR="004537E1" w:rsidRPr="00FC08E7" w:rsidRDefault="004537E1" w:rsidP="004537E1">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40FF5034" w14:textId="60753A73" w:rsidR="004537E1" w:rsidRPr="00FC08E7" w:rsidRDefault="004537E1" w:rsidP="004537E1">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1DB4B734" w14:textId="625AA8A7" w:rsidR="004537E1" w:rsidRPr="00FC08E7" w:rsidRDefault="004537E1" w:rsidP="004537E1">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38E51757" w14:textId="49705F63" w:rsidR="004537E1" w:rsidRPr="00FC08E7" w:rsidRDefault="004537E1" w:rsidP="004537E1">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47BD2917" w14:textId="078B15D5" w:rsidR="004537E1" w:rsidRPr="00FC08E7" w:rsidRDefault="004537E1" w:rsidP="004537E1">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3EDE31F2" w14:textId="23CC4D65" w:rsidR="004537E1" w:rsidRPr="00FC08E7" w:rsidRDefault="004537E1" w:rsidP="004537E1">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6D2EDB8A" w14:textId="560167EA" w:rsidR="004537E1" w:rsidRPr="00FC08E7" w:rsidRDefault="004537E1" w:rsidP="004537E1">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39A93A0A" w14:textId="37542DF0" w:rsidR="004537E1" w:rsidRPr="00FC08E7" w:rsidRDefault="004537E1" w:rsidP="004537E1">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2C2463AE" w14:textId="325260EC" w:rsidR="004537E1" w:rsidRPr="00FC08E7" w:rsidRDefault="004537E1" w:rsidP="004537E1">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0B10E015" w14:textId="51264032" w:rsidR="004537E1" w:rsidRPr="00FC08E7" w:rsidRDefault="004537E1" w:rsidP="004537E1">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sidRPr="00FC08E7">
              <w:rPr>
                <w:b w:val="0"/>
                <w:bCs w:val="0"/>
                <w:webHidden/>
              </w:rPr>
              <w:t>9</w:t>
            </w:r>
            <w:r w:rsidRPr="00FC08E7">
              <w:rPr>
                <w:b w:val="0"/>
                <w:bCs w:val="0"/>
                <w:webHidden/>
              </w:rPr>
              <w:fldChar w:fldCharType="end"/>
            </w:r>
          </w:hyperlink>
        </w:p>
        <w:p w14:paraId="21713F40" w14:textId="3C4B5FCF" w:rsidR="004537E1" w:rsidRPr="00FC08E7" w:rsidRDefault="004537E1" w:rsidP="004537E1">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sidRPr="00FC08E7">
              <w:rPr>
                <w:b w:val="0"/>
                <w:bCs w:val="0"/>
                <w:webHidden/>
              </w:rPr>
              <w:t>10</w:t>
            </w:r>
            <w:r w:rsidRPr="00FC08E7">
              <w:rPr>
                <w:b w:val="0"/>
                <w:bCs w:val="0"/>
                <w:webHidden/>
              </w:rPr>
              <w:fldChar w:fldCharType="end"/>
            </w:r>
          </w:hyperlink>
        </w:p>
        <w:p w14:paraId="109447E1" w14:textId="4D0006A9" w:rsidR="004537E1" w:rsidRPr="00FC08E7" w:rsidRDefault="004537E1" w:rsidP="004537E1">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23963D1C" w14:textId="17DCF89E" w:rsidR="004537E1" w:rsidRPr="00FC08E7" w:rsidRDefault="004537E1" w:rsidP="004537E1">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5B321C1" w14:textId="2EB063D6" w:rsidR="004537E1" w:rsidRPr="00FC08E7" w:rsidRDefault="004537E1" w:rsidP="004537E1">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422C6FF" w14:textId="109D9332" w:rsidR="004537E1" w:rsidRPr="00FC08E7" w:rsidRDefault="004537E1" w:rsidP="004537E1">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sidRPr="00FC08E7">
              <w:rPr>
                <w:b w:val="0"/>
                <w:bCs w:val="0"/>
                <w:webHidden/>
              </w:rPr>
              <w:t>12</w:t>
            </w:r>
            <w:r w:rsidRPr="00FC08E7">
              <w:rPr>
                <w:b w:val="0"/>
                <w:bCs w:val="0"/>
                <w:webHidden/>
              </w:rPr>
              <w:fldChar w:fldCharType="end"/>
            </w:r>
          </w:hyperlink>
        </w:p>
        <w:p w14:paraId="55391554" w14:textId="55865AE5" w:rsidR="004537E1" w:rsidRPr="00FC08E7" w:rsidRDefault="00B160E2" w:rsidP="004537E1">
          <w:pPr>
            <w:pStyle w:val="TOC1"/>
            <w:rPr>
              <w:rFonts w:eastAsiaTheme="minorEastAsia" w:cstheme="minorBidi"/>
              <w:b w:val="0"/>
              <w:bCs w:val="0"/>
              <w:sz w:val="22"/>
              <w:szCs w:val="22"/>
            </w:rPr>
          </w:pPr>
          <w:hyperlink w:anchor="_Toc124323621" w:history="1">
            <w:r>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B160E2" w:rsidP="004537E1">
          <w:pPr>
            <w:pStyle w:val="TOC1"/>
            <w:rPr>
              <w:rFonts w:eastAsiaTheme="minorEastAsia" w:cstheme="minorBidi"/>
              <w:b w:val="0"/>
              <w:bCs w:val="0"/>
              <w:sz w:val="22"/>
              <w:szCs w:val="22"/>
            </w:rPr>
          </w:pPr>
          <w:hyperlink w:anchor="_Toc124323622" w:history="1">
            <w:r>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4537E1" w:rsidP="004537E1">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sidR="00B160E2">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sidRPr="00FC08E7">
              <w:rPr>
                <w:b w:val="0"/>
                <w:bCs w:val="0"/>
                <w:webHidden/>
              </w:rPr>
              <w:t>14</w:t>
            </w:r>
            <w:r w:rsidRPr="00FC08E7">
              <w:rPr>
                <w:b w:val="0"/>
                <w:bCs w:val="0"/>
                <w:webHidden/>
              </w:rPr>
              <w:fldChar w:fldCharType="end"/>
            </w:r>
          </w:hyperlink>
        </w:p>
        <w:p w14:paraId="6B9311D3" w14:textId="32775D14" w:rsidR="004537E1" w:rsidRPr="00FC08E7" w:rsidRDefault="004537E1" w:rsidP="004537E1">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sidR="00B160E2">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sidRPr="00FC08E7">
              <w:rPr>
                <w:b w:val="0"/>
                <w:bCs w:val="0"/>
                <w:webHidden/>
              </w:rPr>
              <w:t>15</w:t>
            </w:r>
            <w:r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0"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5C1281BA" w:rsidR="00184B8C" w:rsidRPr="005058D9"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00CE1DA6" w:rsidRPr="005058D9">
        <w:rPr>
          <w:lang w:val="lt-LT"/>
        </w:rPr>
        <w:t xml:space="preserve">ūkio </w:t>
      </w:r>
      <w:r w:rsidRPr="005058D9">
        <w:rPr>
          <w:lang w:val="lt-LT"/>
        </w:rPr>
        <w:t xml:space="preserve">subjektai, kurių pajėgumais jis remiasi pagal VPĮ 49 straipsnį, </w:t>
      </w:r>
      <w:r w:rsidR="00CE1DA6" w:rsidRPr="005058D9">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058D9">
          <w:rPr>
            <w:rStyle w:val="Hyperlink"/>
            <w:color w:val="0070C0"/>
            <w:lang w:val="lt-LT"/>
          </w:rPr>
          <w:t>http://ebvpd.eviesiejipirkimai.lt/espd-web/</w:t>
        </w:r>
      </w:hyperlink>
      <w:r w:rsidRPr="005058D9">
        <w:rPr>
          <w:rStyle w:val="Hyperlink"/>
          <w:lang w:val="lt-LT"/>
        </w:rPr>
        <w:t xml:space="preserve"> .</w:t>
      </w:r>
    </w:p>
    <w:p w14:paraId="573171FF" w14:textId="1842755C"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00CE1DA6" w:rsidRPr="005058D9">
        <w:rPr>
          <w:lang w:val="lt-LT"/>
        </w:rPr>
        <w:t>, nurodyta specialiosiose pirkimo sąlygose</w:t>
      </w:r>
      <w:r w:rsidRPr="005058D9">
        <w:rPr>
          <w:i/>
          <w:iCs/>
          <w:lang w:val="lt-LT"/>
        </w:rPr>
        <w:t xml:space="preserve">. </w:t>
      </w:r>
    </w:p>
    <w:p w14:paraId="1EEF1EAD" w14:textId="14F8D4CA"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00904BFB" w:rsidRPr="005058D9">
        <w:rPr>
          <w:lang w:val="lt-LT"/>
        </w:rPr>
        <w:t xml:space="preserve"> </w:t>
      </w:r>
      <w:r w:rsidRPr="005058D9">
        <w:rPr>
          <w:lang w:val="lt-LT"/>
        </w:rPr>
        <w:t xml:space="preserve">specialiosiose </w:t>
      </w:r>
      <w:r w:rsidR="00904BFB" w:rsidRPr="005058D9">
        <w:rPr>
          <w:lang w:val="lt-LT"/>
        </w:rPr>
        <w:t xml:space="preserve">pirkimo </w:t>
      </w:r>
      <w:r w:rsidRPr="005058D9">
        <w:rPr>
          <w:lang w:val="lt-LT"/>
        </w:rPr>
        <w:t>sąlygose nur</w:t>
      </w:r>
      <w:r w:rsidRPr="00FC08E7">
        <w:rPr>
          <w:lang w:val="lt-LT"/>
        </w:rPr>
        <w:t>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išankstinis informacinis skelbimas (jei buvo skelbta</w:t>
      </w:r>
      <w:r w:rsidR="00EF3E6C" w:rsidRPr="00FC08E7">
        <w:rPr>
          <w:rFonts w:eastAsia="Calibri" w:cstheme="minorHAnsi"/>
          <w:lang w:val="lt-LT"/>
        </w:rPr>
        <w:t>s</w:t>
      </w:r>
      <w:r w:rsidRPr="00FC08E7">
        <w:rPr>
          <w:rFonts w:eastAsia="Calibri" w:cstheme="minorHAnsi"/>
          <w:lang w:val="lt-LT"/>
        </w:rPr>
        <w:t>);</w:t>
      </w:r>
    </w:p>
    <w:p w14:paraId="540EA04C" w14:textId="0924AC17" w:rsidR="0045295F" w:rsidRPr="003E0CDA" w:rsidRDefault="00FD34E4" w:rsidP="009E70BF">
      <w:pPr>
        <w:pStyle w:val="ListParagraph"/>
        <w:numPr>
          <w:ilvl w:val="2"/>
          <w:numId w:val="2"/>
        </w:numPr>
        <w:spacing w:after="120" w:line="20" w:lineRule="atLeast"/>
        <w:ind w:left="0" w:firstLine="567"/>
        <w:jc w:val="both"/>
        <w:rPr>
          <w:rFonts w:eastAsia="Calibri" w:cstheme="minorHAnsi"/>
          <w:b/>
          <w:bCs/>
          <w:lang w:val="lt-LT"/>
        </w:rPr>
      </w:pPr>
      <w:r w:rsidRPr="003E0CDA">
        <w:rPr>
          <w:rFonts w:eastAsia="Calibri" w:cstheme="minorHAnsi"/>
          <w:b/>
          <w:bCs/>
          <w:lang w:val="lt-LT"/>
        </w:rPr>
        <w:t>P</w:t>
      </w:r>
      <w:r w:rsidR="0045295F" w:rsidRPr="003E0CDA">
        <w:rPr>
          <w:rFonts w:eastAsia="Calibri" w:cstheme="minorHAnsi"/>
          <w:b/>
          <w:bCs/>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74E6FAA3"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r w:rsidR="00003500">
        <w:rPr>
          <w:rFonts w:eastAsia="Calibri" w:cstheme="minorHAnsi"/>
          <w:lang w:val="lt-LT"/>
        </w:rPr>
        <w:t>;</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lastRenderedPageBreak/>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10D780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stebėtojo teisėmis gali dalyvauti valstybės ir savivaldybių institucijų ar įstaigų atstovai</w:t>
      </w:r>
      <w:r w:rsidR="00E82C7C">
        <w:rPr>
          <w:rFonts w:cstheme="minorHAnsi"/>
          <w:color w:val="000000"/>
          <w:lang w:val="lt-LT"/>
        </w:rPr>
        <w:t xml:space="preserve"> išskyrus politinio (asmeninio) pasitikėjimo valstybės tarnautojus ir valstybės politikus)</w:t>
      </w:r>
      <w:r w:rsidR="00DC3CC2" w:rsidRPr="00FC08E7">
        <w:rPr>
          <w:rFonts w:cstheme="minorHAnsi"/>
          <w:color w:val="000000"/>
          <w:lang w:val="lt-LT"/>
        </w:rPr>
        <w:t xml:space="preserve">,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5058D9" w:rsidRDefault="009D57D1" w:rsidP="009E70BF">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5058D9">
        <w:rPr>
          <w:rFonts w:cstheme="minorHAnsi"/>
          <w:color w:val="000000" w:themeColor="text1"/>
          <w:lang w:val="lt-LT"/>
        </w:rPr>
        <w:t>sąlygų priede „Terminai“.</w:t>
      </w:r>
    </w:p>
    <w:p w14:paraId="1277A3D5" w14:textId="3F222E44" w:rsidR="0056232B" w:rsidRPr="005058D9" w:rsidRDefault="001738DA" w:rsidP="004F363E">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003123AB" w:rsidRPr="005058D9">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009964D6" w:rsidRPr="005058D9">
        <w:rPr>
          <w:rFonts w:cstheme="minorHAnsi"/>
          <w:color w:val="000000" w:themeColor="text1"/>
          <w:lang w:val="lt-LT"/>
        </w:rPr>
        <w:t xml:space="preserve">taikys </w:t>
      </w:r>
      <w:r w:rsidRPr="005058D9">
        <w:rPr>
          <w:rFonts w:cstheme="minorHAnsi"/>
          <w:color w:val="000000" w:themeColor="text1"/>
          <w:lang w:val="lt-LT"/>
        </w:rPr>
        <w:t>nuostatas, susijusias su nacionaliniu saugumu, kaip nurodyta VPĮ 45 straipsnio 2</w:t>
      </w:r>
      <w:r w:rsidRPr="005058D9">
        <w:rPr>
          <w:rFonts w:cstheme="minorHAnsi"/>
          <w:color w:val="000000" w:themeColor="text1"/>
          <w:vertAlign w:val="superscript"/>
          <w:lang w:val="lt-LT"/>
        </w:rPr>
        <w:t>1</w:t>
      </w:r>
      <w:r w:rsidRPr="005058D9">
        <w:rPr>
          <w:rFonts w:cstheme="minorHAnsi"/>
          <w:color w:val="000000" w:themeColor="text1"/>
          <w:lang w:val="lt-LT"/>
        </w:rPr>
        <w:t xml:space="preserve"> dalyje. </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004A1911" w:rsidRPr="005058D9">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lastRenderedPageBreak/>
        <w:t>Pirkimo objektas</w:t>
      </w:r>
      <w:bookmarkEnd w:id="2"/>
    </w:p>
    <w:p w14:paraId="38ADEB5D" w14:textId="5850BA44" w:rsidR="002D3427" w:rsidRPr="00FC08E7" w:rsidRDefault="002D3427" w:rsidP="00487DB3">
      <w:pPr>
        <w:pStyle w:val="NoSpacing"/>
        <w:ind w:firstLine="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42C0A935"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2" w:history="1">
        <w:r w:rsidRPr="00FC08E7">
          <w:rPr>
            <w:rFonts w:cstheme="minorHAnsi"/>
            <w:color w:val="0070C0"/>
            <w:szCs w:val="24"/>
            <w:lang w:val="lt-LT"/>
          </w:rPr>
          <w:t>https://pirkimai.eviesiejipirkimai.lt</w:t>
        </w:r>
      </w:hyperlink>
      <w:r w:rsidR="00AD70E4">
        <w:rPr>
          <w:rFonts w:cstheme="minorHAnsi"/>
          <w:color w:val="0070C0"/>
          <w:szCs w:val="24"/>
          <w:lang w:val="lt-LT"/>
        </w:rPr>
        <w:t xml:space="preserve"> </w:t>
      </w:r>
      <w:r w:rsidR="008C4742" w:rsidRPr="008C4742">
        <w:rPr>
          <w:rFonts w:cstheme="minorHAnsi"/>
          <w:szCs w:val="24"/>
          <w:lang w:val="lt-LT"/>
        </w:rPr>
        <w:t>ir</w:t>
      </w:r>
      <w:r w:rsidR="00AD70E4" w:rsidRPr="008C4742">
        <w:rPr>
          <w:rFonts w:cstheme="minorHAnsi"/>
          <w:szCs w:val="24"/>
          <w:lang w:val="lt-LT"/>
        </w:rPr>
        <w:t xml:space="preserve"> </w:t>
      </w:r>
      <w:hyperlink r:id="rId13" w:history="1">
        <w:r w:rsidR="00E171E3" w:rsidRPr="00E171E3">
          <w:rPr>
            <w:color w:val="0070C0"/>
            <w:lang w:val="lt-LT"/>
          </w:rPr>
          <w:t>https://viesiejipirkimai.lt</w:t>
        </w:r>
      </w:hyperlink>
      <w:r w:rsidRPr="00E171E3">
        <w:rPr>
          <w:rFonts w:cstheme="minorHAnsi"/>
          <w:color w:val="0070C0"/>
          <w:szCs w:val="24"/>
          <w:lang w:val="lt-LT"/>
        </w:rPr>
        <w:t>.</w:t>
      </w:r>
      <w:r w:rsidRPr="00FC08E7">
        <w:rPr>
          <w:rFonts w:cstheme="minorHAnsi"/>
          <w:szCs w:val="24"/>
          <w:lang w:val="lt-LT"/>
        </w:rPr>
        <w:t xml:space="preserve"> 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25AFFDFA"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4" w:history="1">
        <w:r w:rsidR="00913572" w:rsidRPr="00913572">
          <w:rPr>
            <w:color w:val="0070C0"/>
            <w:lang w:val="lt-LT"/>
          </w:rPr>
          <w:t>https://viesiejipirkimai.lt</w:t>
        </w:r>
      </w:hyperlink>
      <w:r w:rsidRPr="00913572">
        <w:rPr>
          <w:color w:val="0070C0"/>
          <w:lang w:val="lt-LT"/>
        </w:rPr>
        <w:t>.</w:t>
      </w:r>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C773FF"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73262" w:rsidRDefault="00585483" w:rsidP="00585483">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0DC229C8" w14:textId="0DCA201B" w:rsidR="00F42204" w:rsidRPr="000D430D" w:rsidRDefault="00585483" w:rsidP="00576A8E">
      <w:pPr>
        <w:pStyle w:val="ListParagraph"/>
        <w:spacing w:after="120" w:line="20" w:lineRule="atLeast"/>
        <w:ind w:left="0" w:firstLine="567"/>
        <w:jc w:val="both"/>
        <w:rPr>
          <w:rFonts w:cstheme="minorHAnsi"/>
          <w:lang w:val="lt-LT"/>
        </w:rPr>
      </w:pPr>
      <w:r>
        <w:rPr>
          <w:rFonts w:cstheme="minorHAnsi"/>
          <w:lang w:val="lt-LT"/>
        </w:rPr>
        <w:t xml:space="preserve">4.5. </w:t>
      </w:r>
      <w:r w:rsidR="000D430D">
        <w:rPr>
          <w:rFonts w:cstheme="minorHAnsi"/>
          <w:lang w:val="lt-LT"/>
        </w:rPr>
        <w:t xml:space="preserve">         </w:t>
      </w:r>
      <w:r w:rsidR="00374030">
        <w:rPr>
          <w:rFonts w:cstheme="minorHAnsi"/>
          <w:lang w:val="lt-LT"/>
        </w:rPr>
        <w:t>P</w:t>
      </w:r>
      <w:r w:rsidR="00F42204" w:rsidRPr="00FC08E7">
        <w:rPr>
          <w:rFonts w:cstheme="minorHAnsi"/>
          <w:lang w:val="lt-LT"/>
        </w:rPr>
        <w:t xml:space="preserve">asirašant ar nutraukiant, vykdant </w:t>
      </w:r>
      <w:r w:rsidR="00B13197">
        <w:rPr>
          <w:rFonts w:cstheme="minorHAnsi"/>
          <w:lang w:val="lt-LT"/>
        </w:rPr>
        <w:t>i</w:t>
      </w:r>
      <w:r w:rsidR="00B13197" w:rsidRPr="00FC08E7">
        <w:rPr>
          <w:rFonts w:cstheme="minorHAnsi"/>
          <w:lang w:val="lt-LT"/>
        </w:rPr>
        <w:t xml:space="preserve">r </w:t>
      </w:r>
      <w:r w:rsidR="00F42204" w:rsidRPr="00FC08E7">
        <w:rPr>
          <w:rFonts w:cstheme="minorHAnsi"/>
          <w:lang w:val="lt-LT"/>
        </w:rPr>
        <w:t xml:space="preserve">keičiant </w:t>
      </w:r>
      <w:r w:rsidR="00706747" w:rsidRPr="00FC08E7">
        <w:rPr>
          <w:rFonts w:cstheme="minorHAnsi"/>
          <w:lang w:val="lt-LT"/>
        </w:rPr>
        <w:t>s</w:t>
      </w:r>
      <w:r w:rsidR="00C6588F" w:rsidRPr="00FC08E7">
        <w:rPr>
          <w:rFonts w:cstheme="minorHAnsi"/>
          <w:lang w:val="lt-LT"/>
        </w:rPr>
        <w:t>utartis</w:t>
      </w:r>
      <w:r w:rsidR="007B6F99">
        <w:rPr>
          <w:rFonts w:cstheme="minorHAnsi"/>
          <w:lang w:val="lt-LT"/>
        </w:rPr>
        <w:t xml:space="preserve"> </w:t>
      </w:r>
      <w:r w:rsidR="00543DFA">
        <w:rPr>
          <w:rFonts w:cstheme="minorHAnsi"/>
          <w:lang w:val="lt-LT"/>
        </w:rPr>
        <w:t xml:space="preserve">Perkančiosios organizacijos ir tiekėjo bendravimas ir keitimasis informacija gali vykti ne CVP IS priemonėmis. </w:t>
      </w:r>
    </w:p>
    <w:p w14:paraId="62467139" w14:textId="771EDB6F" w:rsidR="00FC757D" w:rsidRPr="00543DFA" w:rsidRDefault="00543DFA" w:rsidP="008C142C">
      <w:pPr>
        <w:spacing w:line="240" w:lineRule="auto"/>
        <w:ind w:firstLine="567"/>
        <w:jc w:val="both"/>
        <w:rPr>
          <w:rFonts w:cstheme="minorHAnsi"/>
          <w:bCs/>
          <w:lang w:val="lt-LT"/>
        </w:rPr>
      </w:pPr>
      <w:r>
        <w:rPr>
          <w:rFonts w:cstheme="minorHAnsi"/>
          <w:bCs/>
          <w:lang w:val="lt-LT"/>
        </w:rPr>
        <w:t xml:space="preserve">4.6. </w:t>
      </w:r>
      <w:r w:rsidR="008C142C">
        <w:rPr>
          <w:rFonts w:cstheme="minorHAnsi"/>
          <w:bCs/>
          <w:lang w:val="lt-LT"/>
        </w:rPr>
        <w:t xml:space="preserve">      </w:t>
      </w:r>
      <w:r w:rsidR="0041281F" w:rsidRPr="00543DFA">
        <w:rPr>
          <w:rFonts w:cstheme="minorHAnsi"/>
          <w:bCs/>
          <w:lang w:val="lt-LT"/>
        </w:rPr>
        <w:t xml:space="preserve">Pasiūlymai teikiami CVP IS priemonėmis, naudojant „pasiūlymų dėžutę“. Instrukcija kaip pateikti </w:t>
      </w:r>
      <w:r w:rsidR="002E43A7" w:rsidRPr="00543DFA">
        <w:rPr>
          <w:rFonts w:cstheme="minorHAnsi"/>
          <w:bCs/>
          <w:lang w:val="lt-LT"/>
        </w:rPr>
        <w:t>p</w:t>
      </w:r>
      <w:r w:rsidR="0041281F" w:rsidRPr="00543DFA">
        <w:rPr>
          <w:rFonts w:cstheme="minorHAnsi"/>
          <w:bCs/>
          <w:lang w:val="lt-LT"/>
        </w:rPr>
        <w:t>asiūlymą skelbiama Viešųjų pirkimų tarnybos interneto svetainėje</w:t>
      </w:r>
      <w:r w:rsidR="0041281F" w:rsidRPr="00FC08E7">
        <w:rPr>
          <w:rStyle w:val="FootnoteReference"/>
          <w:rFonts w:cstheme="minorHAnsi"/>
          <w:bCs/>
          <w:lang w:val="lt-LT"/>
        </w:rPr>
        <w:footnoteReference w:id="2"/>
      </w:r>
      <w:r w:rsidR="0041281F" w:rsidRPr="00543DFA">
        <w:rPr>
          <w:rFonts w:cstheme="minorHAnsi"/>
          <w:bCs/>
          <w:lang w:val="lt-LT"/>
        </w:rPr>
        <w:t xml:space="preserve">. </w:t>
      </w:r>
    </w:p>
    <w:p w14:paraId="40AC0B8F" w14:textId="43DF3FB0" w:rsidR="0041281F" w:rsidRPr="0060417F" w:rsidRDefault="0060417F" w:rsidP="008C142C">
      <w:pPr>
        <w:spacing w:line="240" w:lineRule="auto"/>
        <w:ind w:firstLine="567"/>
        <w:jc w:val="both"/>
        <w:rPr>
          <w:rFonts w:cstheme="minorHAnsi"/>
          <w:bCs/>
          <w:lang w:val="lt-LT"/>
        </w:rPr>
      </w:pPr>
      <w:r>
        <w:rPr>
          <w:rFonts w:cstheme="minorHAnsi"/>
          <w:bCs/>
          <w:lang w:val="lt-LT"/>
        </w:rPr>
        <w:t xml:space="preserve">4.7. </w:t>
      </w:r>
      <w:r w:rsidR="008C142C">
        <w:rPr>
          <w:rFonts w:cstheme="minorHAnsi"/>
          <w:bCs/>
          <w:lang w:val="lt-LT"/>
        </w:rPr>
        <w:t xml:space="preserve">        </w:t>
      </w:r>
      <w:r w:rsidR="0041281F" w:rsidRPr="0060417F">
        <w:rPr>
          <w:rFonts w:cstheme="minorHAnsi"/>
          <w:bCs/>
          <w:lang w:val="lt-LT"/>
        </w:rPr>
        <w:t>Pasiūlymai pateikti CVP IS susirašinėjimo priemonėmis</w:t>
      </w:r>
      <w:r w:rsidR="002C5213" w:rsidRPr="0060417F">
        <w:rPr>
          <w:rFonts w:cstheme="minorHAnsi"/>
          <w:bCs/>
          <w:lang w:val="lt-LT"/>
        </w:rPr>
        <w:t xml:space="preserve"> nesilaikant </w:t>
      </w:r>
      <w:r w:rsidR="00706747" w:rsidRPr="0060417F">
        <w:rPr>
          <w:rFonts w:cstheme="minorHAnsi"/>
          <w:bCs/>
          <w:lang w:val="lt-LT"/>
        </w:rPr>
        <w:t>b</w:t>
      </w:r>
      <w:r w:rsidR="002C5213" w:rsidRPr="0060417F">
        <w:rPr>
          <w:rFonts w:cstheme="minorHAnsi"/>
          <w:bCs/>
          <w:lang w:val="lt-LT"/>
        </w:rPr>
        <w:t xml:space="preserve">endrųjų </w:t>
      </w:r>
      <w:r w:rsidR="00352D37" w:rsidRPr="0060417F">
        <w:rPr>
          <w:rFonts w:cstheme="minorHAnsi"/>
          <w:bCs/>
          <w:lang w:val="lt-LT"/>
        </w:rPr>
        <w:t xml:space="preserve">pirkimo </w:t>
      </w:r>
      <w:r w:rsidR="00867299" w:rsidRPr="0060417F">
        <w:rPr>
          <w:rFonts w:cstheme="minorHAnsi"/>
          <w:bCs/>
          <w:lang w:val="lt-LT"/>
        </w:rPr>
        <w:t>sąlygų 4.</w:t>
      </w:r>
      <w:r w:rsidR="00325D65" w:rsidRPr="0060417F">
        <w:rPr>
          <w:rFonts w:cstheme="minorHAnsi"/>
          <w:bCs/>
          <w:lang w:val="lt-LT"/>
        </w:rPr>
        <w:t>5</w:t>
      </w:r>
      <w:r w:rsidR="00867299" w:rsidRPr="0060417F">
        <w:rPr>
          <w:rFonts w:cstheme="minorHAnsi"/>
          <w:bCs/>
          <w:lang w:val="lt-LT"/>
        </w:rPr>
        <w:t xml:space="preserve"> punkto </w:t>
      </w:r>
      <w:r w:rsidR="007A289C" w:rsidRPr="0060417F">
        <w:rPr>
          <w:rFonts w:cstheme="minorHAnsi"/>
          <w:bCs/>
          <w:lang w:val="lt-LT"/>
        </w:rPr>
        <w:t xml:space="preserve">ir (ar) </w:t>
      </w:r>
      <w:r w:rsidR="00706747" w:rsidRPr="0060417F">
        <w:rPr>
          <w:rFonts w:cstheme="minorHAnsi"/>
          <w:bCs/>
          <w:lang w:val="lt-LT"/>
        </w:rPr>
        <w:t>s</w:t>
      </w:r>
      <w:r w:rsidR="007A289C" w:rsidRPr="0060417F">
        <w:rPr>
          <w:rFonts w:cstheme="minorHAnsi"/>
          <w:bCs/>
          <w:lang w:val="lt-LT"/>
        </w:rPr>
        <w:t xml:space="preserve">pecialiosiose </w:t>
      </w:r>
      <w:r w:rsidR="00352D37" w:rsidRPr="0060417F">
        <w:rPr>
          <w:rFonts w:cstheme="minorHAnsi"/>
          <w:bCs/>
          <w:lang w:val="lt-LT"/>
        </w:rPr>
        <w:t xml:space="preserve">pirkimo </w:t>
      </w:r>
      <w:r w:rsidR="007A289C" w:rsidRPr="0060417F">
        <w:rPr>
          <w:rFonts w:cstheme="minorHAnsi"/>
          <w:bCs/>
          <w:lang w:val="lt-LT"/>
        </w:rPr>
        <w:t xml:space="preserve">sąlygose </w:t>
      </w:r>
      <w:r w:rsidR="009D5AA9" w:rsidRPr="0060417F">
        <w:rPr>
          <w:rFonts w:cstheme="minorHAnsi"/>
          <w:bCs/>
          <w:lang w:val="lt-LT"/>
        </w:rPr>
        <w:t>nustatytos teikimo tvarkos</w:t>
      </w:r>
      <w:r w:rsidR="0041281F" w:rsidRPr="0060417F">
        <w:rPr>
          <w:rFonts w:cstheme="minorHAnsi"/>
          <w:bCs/>
          <w:lang w:val="lt-LT"/>
        </w:rPr>
        <w:t xml:space="preserve">, bus laikomi negautais ir nebus vertinami. </w:t>
      </w:r>
      <w:r w:rsidR="00916D72" w:rsidRPr="0060417F">
        <w:rPr>
          <w:rFonts w:cstheme="minorHAnsi"/>
          <w:bCs/>
          <w:lang w:val="lt-LT"/>
        </w:rPr>
        <w:t>P</w:t>
      </w:r>
      <w:r w:rsidR="0041281F" w:rsidRPr="0060417F">
        <w:rPr>
          <w:rFonts w:cstheme="minorHAnsi"/>
          <w:bCs/>
          <w:lang w:val="lt-LT"/>
        </w:rPr>
        <w:t>asiūlymai pateikti ne CVP IS priemonėmis (pvz. popierinėje laikmenoje vokuose) bus grąžinami tiekėjams, bus laikomi negautais ir nebus vertinami.</w:t>
      </w:r>
    </w:p>
    <w:p w14:paraId="3D7D092A" w14:textId="708C20AB"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702C71" w:rsidRPr="00FC08E7">
        <w:rPr>
          <w:rFonts w:asciiTheme="minorHAnsi" w:hAnsiTheme="minorHAnsi" w:cstheme="minorHAnsi"/>
          <w:color w:val="auto"/>
          <w:lang w:val="lt-LT"/>
        </w:rPr>
        <w:t>sąlygų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6AEAD70"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bookmarkEnd w:id="19"/>
      <w:r w:rsidR="009B66E1">
        <w:rPr>
          <w:rFonts w:cstheme="minorHAnsi"/>
          <w:lang w:val="lt-LT"/>
        </w:rPr>
        <w:t>pirkimo dokumentus</w:t>
      </w:r>
      <w:r w:rsidRPr="00FC08E7">
        <w:rPr>
          <w:rFonts w:cstheme="minorHAnsi"/>
          <w:lang w:val="lt-LT"/>
        </w:rPr>
        <w:t>.</w:t>
      </w:r>
    </w:p>
    <w:p w14:paraId="16E60ADD" w14:textId="3C93F41C" w:rsidR="00F42204" w:rsidRPr="005058D9" w:rsidRDefault="00F42204" w:rsidP="00F42204">
      <w:pPr>
        <w:pStyle w:val="ListParagraph"/>
        <w:numPr>
          <w:ilvl w:val="1"/>
          <w:numId w:val="9"/>
        </w:numPr>
        <w:spacing w:after="120" w:line="20" w:lineRule="atLeast"/>
        <w:ind w:left="0" w:firstLine="567"/>
        <w:jc w:val="both"/>
        <w:rPr>
          <w:rFonts w:cstheme="minorHAnsi"/>
          <w:iCs/>
          <w:color w:val="000000" w:themeColor="text1"/>
          <w:lang w:val="lt-LT"/>
        </w:rPr>
      </w:pPr>
      <w:r w:rsidRPr="00FC08E7">
        <w:rPr>
          <w:rFonts w:eastAsia="Calibri" w:cstheme="minorHAnsi"/>
          <w:lang w:val="lt-LT"/>
        </w:rPr>
        <w:t xml:space="preserve">Tiekėjai </w:t>
      </w:r>
      <w:r w:rsidR="006E7E97" w:rsidRPr="00FC08E7">
        <w:rPr>
          <w:rFonts w:eastAsia="Calibri" w:cstheme="minorHAnsi"/>
          <w:lang w:val="lt-LT"/>
        </w:rPr>
        <w:t>turi</w:t>
      </w:r>
      <w:r w:rsidRPr="00FC08E7">
        <w:rPr>
          <w:rFonts w:eastAsia="Calibri" w:cstheme="minorHAnsi"/>
          <w:lang w:val="lt-LT"/>
        </w:rPr>
        <w:t xml:space="preserve"> būti aktyvūs ir pateikti klausimus ar paprašyti paaiškinti </w:t>
      </w:r>
      <w:r w:rsidR="00124F7C" w:rsidRPr="00FC08E7">
        <w:rPr>
          <w:rFonts w:eastAsia="Calibri" w:cstheme="minorHAnsi"/>
          <w:lang w:val="lt-LT"/>
        </w:rPr>
        <w:t>P</w:t>
      </w:r>
      <w:r w:rsidRPr="00FC08E7">
        <w:rPr>
          <w:rFonts w:eastAsia="Calibri" w:cstheme="minorHAnsi"/>
          <w:lang w:val="lt-LT"/>
        </w:rPr>
        <w:t xml:space="preserve">irkimo </w:t>
      </w:r>
      <w:r w:rsidR="000467E8" w:rsidRPr="00FC08E7">
        <w:rPr>
          <w:rFonts w:eastAsia="Calibri" w:cstheme="minorHAnsi"/>
          <w:lang w:val="lt-LT"/>
        </w:rPr>
        <w:t>sąlygas</w:t>
      </w:r>
      <w:r w:rsidRPr="00FC08E7">
        <w:rPr>
          <w:rFonts w:eastAsia="Calibri" w:cstheme="minorHAnsi"/>
          <w:lang w:val="lt-LT"/>
        </w:rPr>
        <w:t xml:space="preserve"> iš karto j</w:t>
      </w:r>
      <w:r w:rsidR="000467E8" w:rsidRPr="00FC08E7">
        <w:rPr>
          <w:rFonts w:eastAsia="Calibri" w:cstheme="minorHAnsi"/>
          <w:lang w:val="lt-LT"/>
        </w:rPr>
        <w:t>a</w:t>
      </w:r>
      <w:r w:rsidRPr="00FC08E7">
        <w:rPr>
          <w:rFonts w:eastAsia="Calibri" w:cstheme="minorHAnsi"/>
          <w:lang w:val="lt-LT"/>
        </w:rPr>
        <w:t>s išanalizavę, atsižvelgdami į tai, kad terminas, skirtas pateikti klausimams ir prašymams, yra ribotas</w:t>
      </w:r>
      <w:r w:rsidR="009927D7" w:rsidRPr="00FC08E7">
        <w:rPr>
          <w:rFonts w:eastAsia="Calibri" w:cstheme="minorHAnsi"/>
          <w:lang w:val="lt-LT"/>
        </w:rPr>
        <w:t>.</w:t>
      </w:r>
      <w:r w:rsidRPr="00FC08E7">
        <w:rPr>
          <w:rFonts w:eastAsia="Calibri" w:cstheme="minorHAnsi"/>
          <w:lang w:val="lt-LT"/>
        </w:rPr>
        <w:t xml:space="preserve"> </w:t>
      </w:r>
      <w:r w:rsidRPr="00FC08E7">
        <w:rPr>
          <w:rFonts w:cstheme="minorHAnsi"/>
          <w:lang w:val="lt-LT"/>
        </w:rPr>
        <w:t xml:space="preserve">Pirkimo </w:t>
      </w:r>
      <w:r w:rsidR="008C4629">
        <w:rPr>
          <w:rFonts w:cstheme="minorHAnsi"/>
          <w:lang w:val="lt-LT"/>
        </w:rPr>
        <w:t xml:space="preserve">dokumentų </w:t>
      </w:r>
      <w:r w:rsidRPr="00FC08E7">
        <w:rPr>
          <w:rFonts w:cstheme="minorHAnsi"/>
          <w:lang w:val="lt-LT"/>
        </w:rPr>
        <w:t xml:space="preserve">paaiškinimai ir patikslinimai skelbiami CVP IS priemonėmis ir siunčiami prašymą pateikusiam bei visiems prie </w:t>
      </w:r>
      <w:r w:rsidR="000C712D" w:rsidRPr="00FC08E7">
        <w:rPr>
          <w:rFonts w:cstheme="minorHAnsi"/>
          <w:lang w:val="lt-LT"/>
        </w:rPr>
        <w:t>P</w:t>
      </w:r>
      <w:r w:rsidRPr="00FC08E7">
        <w:rPr>
          <w:rFonts w:cstheme="minorHAnsi"/>
          <w:lang w:val="lt-LT"/>
        </w:rPr>
        <w:t>irkimo prisijungusiems tiekėjams, neatskleidžiant prašymą pateikusio</w:t>
      </w:r>
      <w:r w:rsidR="00BB68ED" w:rsidRPr="00FC08E7">
        <w:rPr>
          <w:rFonts w:cstheme="minorHAnsi"/>
          <w:lang w:val="lt-LT"/>
        </w:rPr>
        <w:t xml:space="preserve"> tiekėjo</w:t>
      </w:r>
      <w:r w:rsidRPr="00FC08E7">
        <w:rPr>
          <w:rFonts w:cstheme="minorHAnsi"/>
          <w:lang w:val="lt-LT"/>
        </w:rPr>
        <w:t xml:space="preserve"> tapatybės. Jei paaiškinimai ar patikslinimai teikiami perkančiosios </w:t>
      </w:r>
      <w:r w:rsidRPr="003010C3">
        <w:rPr>
          <w:rFonts w:cstheme="minorHAnsi"/>
          <w:lang w:val="lt-LT"/>
        </w:rPr>
        <w:t>organizacijos iniciatyva, jie skelbiami CVP IS priemonėmis</w:t>
      </w:r>
      <w:r w:rsidR="00891D8E">
        <w:rPr>
          <w:rFonts w:cstheme="minorHAnsi"/>
          <w:lang w:val="lt-LT"/>
        </w:rPr>
        <w:t xml:space="preserve"> bei apie juos </w:t>
      </w:r>
      <w:r w:rsidR="00891D8E">
        <w:rPr>
          <w:rFonts w:cstheme="minorHAnsi"/>
          <w:lang w:val="lt-LT"/>
        </w:rPr>
        <w:lastRenderedPageBreak/>
        <w:t>informuojami prie pirkimo prisijungę tiekėjai</w:t>
      </w:r>
      <w:r w:rsidRPr="003010C3">
        <w:rPr>
          <w:rFonts w:cstheme="minorHAnsi"/>
          <w:lang w:val="lt-LT"/>
        </w:rPr>
        <w:t xml:space="preserve">. </w:t>
      </w:r>
      <w:r w:rsidRPr="003010C3">
        <w:rPr>
          <w:rFonts w:cstheme="minorHAnsi"/>
          <w:iCs/>
          <w:lang w:val="lt-LT"/>
        </w:rPr>
        <w:t xml:space="preserve">Tiekėjui prieš teikiant </w:t>
      </w:r>
      <w:r w:rsidR="006010BF" w:rsidRPr="003010C3">
        <w:rPr>
          <w:rFonts w:cstheme="minorHAnsi"/>
          <w:iCs/>
          <w:lang w:val="lt-LT"/>
        </w:rPr>
        <w:t>p</w:t>
      </w:r>
      <w:r w:rsidRPr="003010C3">
        <w:rPr>
          <w:rFonts w:cstheme="minorHAnsi"/>
          <w:iCs/>
          <w:lang w:val="lt-LT"/>
        </w:rPr>
        <w:t xml:space="preserve">asiūlymą rekomenduojama pasitikrinti, ar perkančioji organizacija nėra paskelbusi </w:t>
      </w:r>
      <w:r w:rsidR="002D2DB2">
        <w:rPr>
          <w:rFonts w:cstheme="minorHAnsi"/>
          <w:iCs/>
          <w:lang w:val="lt-LT"/>
        </w:rPr>
        <w:t>pirkimo dokumentų</w:t>
      </w:r>
      <w:r w:rsidRPr="003010C3">
        <w:rPr>
          <w:rFonts w:cstheme="minorHAnsi"/>
          <w:iCs/>
          <w:lang w:val="lt-LT"/>
        </w:rPr>
        <w:t xml:space="preserve"> paaiškinimų, patikslinimų</w:t>
      </w:r>
      <w:r w:rsidR="00A86655" w:rsidRPr="003010C3">
        <w:rPr>
          <w:rFonts w:cstheme="minorHAnsi"/>
          <w:iCs/>
          <w:lang w:val="lt-LT"/>
        </w:rPr>
        <w:t>,</w:t>
      </w:r>
      <w:r w:rsidR="00886C87">
        <w:rPr>
          <w:rFonts w:cstheme="minorHAnsi"/>
          <w:iCs/>
          <w:lang w:val="lt-LT"/>
        </w:rPr>
        <w:t xml:space="preserve"> o ir jei tokių yra, pasitikrinti, ar anksčiau</w:t>
      </w:r>
      <w:r w:rsidR="0034415C">
        <w:rPr>
          <w:rFonts w:cstheme="minorHAnsi"/>
          <w:iCs/>
          <w:lang w:val="lt-LT"/>
        </w:rPr>
        <w:t xml:space="preserve"> pateiktas pasiūlymas atitinka naujausius paskelbtus reikalavimus ir, ar reikia patikslinti pasiūlymą</w:t>
      </w:r>
      <w:r w:rsidR="003A7E8C">
        <w:rPr>
          <w:rFonts w:cstheme="minorHAnsi"/>
          <w:iCs/>
          <w:lang w:val="lt-LT"/>
        </w:rPr>
        <w:t xml:space="preserve">. </w:t>
      </w:r>
      <w:r w:rsidR="00A86655" w:rsidRPr="003010C3">
        <w:rPr>
          <w:rFonts w:cstheme="minorHAnsi"/>
          <w:iCs/>
          <w:lang w:val="lt-LT"/>
        </w:rPr>
        <w:t xml:space="preserve"> </w:t>
      </w:r>
    </w:p>
    <w:p w14:paraId="1F2604F5" w14:textId="77777777" w:rsidR="007E4875" w:rsidRPr="005058D9" w:rsidRDefault="00F42204"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002F0585" w:rsidRPr="005058D9">
        <w:rPr>
          <w:rFonts w:cstheme="minorHAnsi"/>
          <w:color w:val="000000" w:themeColor="text1"/>
          <w:lang w:val="lt-LT"/>
        </w:rPr>
        <w:t xml:space="preserve">iki </w:t>
      </w:r>
      <w:r w:rsidR="00E92DF6" w:rsidRPr="005058D9">
        <w:rPr>
          <w:rFonts w:cstheme="minorHAnsi"/>
          <w:color w:val="000000" w:themeColor="text1"/>
          <w:lang w:val="lt-LT"/>
        </w:rPr>
        <w:t>Pirkimo</w:t>
      </w:r>
      <w:r w:rsidR="0026387A"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6E3C2D" w:rsidRPr="005058D9">
        <w:rPr>
          <w:rFonts w:cstheme="minorHAnsi"/>
          <w:color w:val="000000" w:themeColor="text1"/>
          <w:lang w:val="lt-LT"/>
        </w:rPr>
        <w:t xml:space="preserve">priede </w:t>
      </w:r>
      <w:r w:rsidR="0026387A" w:rsidRPr="005058D9">
        <w:rPr>
          <w:rFonts w:cstheme="minorHAnsi"/>
          <w:color w:val="000000" w:themeColor="text1"/>
          <w:lang w:val="lt-LT"/>
        </w:rPr>
        <w:t xml:space="preserve">„Terminai“ </w:t>
      </w:r>
      <w:r w:rsidRPr="005058D9">
        <w:rPr>
          <w:rFonts w:cstheme="minorHAnsi"/>
          <w:color w:val="000000" w:themeColor="text1"/>
          <w:lang w:val="lt-LT"/>
        </w:rPr>
        <w:t>nurodyto termino (</w:t>
      </w:r>
      <w:r w:rsidR="008D6AC7" w:rsidRPr="005058D9">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006010BF" w:rsidRPr="005058D9">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14:paraId="2176D41A" w14:textId="5813A4D1" w:rsidR="005A2020" w:rsidRPr="005058D9" w:rsidRDefault="00670AEE"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Perkančioji organizacija savo iniciatyva gali paaiškinti (patikslinti) Pirkimo </w:t>
      </w:r>
      <w:r w:rsidR="002671F7" w:rsidRPr="005058D9">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00C47621" w:rsidRPr="005058D9">
        <w:rPr>
          <w:rFonts w:cstheme="minorHAnsi"/>
          <w:color w:val="000000" w:themeColor="text1"/>
          <w:lang w:val="lt-LT"/>
        </w:rPr>
        <w:t xml:space="preserve">Atsižvelgiant į tokio paaiškinimo, patikslinimo </w:t>
      </w:r>
      <w:r w:rsidR="00925628" w:rsidRPr="005058D9">
        <w:rPr>
          <w:rFonts w:cstheme="minorHAnsi"/>
          <w:color w:val="000000" w:themeColor="text1"/>
          <w:lang w:val="lt-LT"/>
        </w:rPr>
        <w:t xml:space="preserve">pobūdį, perkančioji organizacija </w:t>
      </w:r>
      <w:r w:rsidR="00C15329" w:rsidRPr="005058D9">
        <w:rPr>
          <w:rFonts w:cstheme="minorHAnsi"/>
          <w:color w:val="000000" w:themeColor="text1"/>
          <w:lang w:val="lt-LT"/>
        </w:rPr>
        <w:t xml:space="preserve">spręs dėl pasiūlymų pateikimo termino nukėlimo. </w:t>
      </w:r>
      <w:r w:rsidR="00587841">
        <w:rPr>
          <w:rFonts w:cstheme="minorHAnsi"/>
          <w:color w:val="000000" w:themeColor="text1"/>
          <w:lang w:val="lt-LT"/>
        </w:rPr>
        <w:t>Jei pirkimo dokumentų pa</w:t>
      </w:r>
      <w:r w:rsidR="00ED1177">
        <w:rPr>
          <w:rFonts w:cstheme="minorHAnsi"/>
          <w:color w:val="000000" w:themeColor="text1"/>
          <w:lang w:val="lt-LT"/>
        </w:rPr>
        <w:t>tikslinimų</w:t>
      </w:r>
      <w:r w:rsidR="00346E6A">
        <w:rPr>
          <w:rFonts w:cstheme="minorHAnsi"/>
          <w:color w:val="000000" w:themeColor="text1"/>
          <w:lang w:val="lt-LT"/>
        </w:rPr>
        <w:t xml:space="preserve"> perkančioji organizacija negali pateikti iki kol nesibaigė VPĮ 36 straipsnio 5 dalyje nustatytas terminas, perkančioji organizacija nukels pasiūlymų pateikimo terminą. </w:t>
      </w:r>
      <w:r w:rsidR="008E0131">
        <w:rPr>
          <w:rFonts w:cstheme="minorHAnsi"/>
          <w:color w:val="000000" w:themeColor="text1"/>
          <w:lang w:val="lt-LT"/>
        </w:rPr>
        <w:t>Jei bus tikslinama skelbime paskelbta</w:t>
      </w:r>
      <w:r w:rsidR="00855935">
        <w:rPr>
          <w:rFonts w:cstheme="minorHAnsi"/>
          <w:color w:val="000000" w:themeColor="text1"/>
          <w:lang w:val="lt-LT"/>
        </w:rPr>
        <w:t xml:space="preserve"> informacija, perkančioji organizacija </w:t>
      </w:r>
      <w:r w:rsidR="0028297E">
        <w:rPr>
          <w:rFonts w:cstheme="minorHAnsi"/>
          <w:color w:val="000000" w:themeColor="text1"/>
          <w:lang w:val="lt-LT"/>
        </w:rPr>
        <w:t xml:space="preserve">patikslins skelbimą ir, esant reikalui, pratęs pasiūlymų pateikimo terminą protingumo </w:t>
      </w:r>
      <w:r w:rsidR="00E33F0B">
        <w:rPr>
          <w:rFonts w:cstheme="minorHAnsi"/>
          <w:color w:val="000000" w:themeColor="text1"/>
          <w:lang w:val="lt-LT"/>
        </w:rPr>
        <w:t xml:space="preserve">kriterijų atitinkančiam laikotarpiui. </w:t>
      </w:r>
      <w:r w:rsidR="00855935">
        <w:rPr>
          <w:rFonts w:cstheme="minorHAnsi"/>
          <w:color w:val="000000" w:themeColor="text1"/>
          <w:lang w:val="lt-LT"/>
        </w:rPr>
        <w:t xml:space="preserve">  </w:t>
      </w:r>
      <w:r w:rsidR="00B441A7">
        <w:rPr>
          <w:i/>
          <w:iCs/>
          <w:color w:val="000000" w:themeColor="text1"/>
          <w:lang w:val="lt-LT"/>
        </w:rPr>
        <w:t xml:space="preserve"> </w:t>
      </w:r>
      <w:r w:rsidR="00BC5F61">
        <w:rPr>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001803D4">
        <w:rPr>
          <w:rFonts w:cstheme="minorHAnsi"/>
          <w:color w:val="000000" w:themeColor="text1"/>
          <w:lang w:val="lt-LT"/>
        </w:rPr>
        <w:t>pirkimo dokumentų</w:t>
      </w:r>
      <w:r w:rsidRPr="005058D9">
        <w:rPr>
          <w:rFonts w:cstheme="minorHAnsi"/>
          <w:color w:val="000000" w:themeColor="text1"/>
          <w:lang w:val="lt-LT"/>
        </w:rPr>
        <w:t xml:space="preserve"> paaiškinimo ir (</w:t>
      </w:r>
      <w:r w:rsidRPr="00FC08E7">
        <w:rPr>
          <w:rFonts w:cstheme="minorHAnsi"/>
          <w:lang w:val="lt-LT"/>
        </w:rPr>
        <w:t xml:space="preserve">ar)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B5E64AF"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Reikalavimai dėl tiekėjo</w:t>
      </w:r>
      <w:r w:rsidR="00FB2032">
        <w:rPr>
          <w:rFonts w:eastAsiaTheme="minorHAnsi" w:cstheme="minorHAnsi"/>
          <w:lang w:val="lt-LT"/>
        </w:rPr>
        <w:t xml:space="preserve">, ūkio subjektų, kurių pajėgumais tiekėjas remiasi ir, jei taikoma, subtiekėjų </w:t>
      </w:r>
      <w:r w:rsidRPr="00FC08E7">
        <w:rPr>
          <w:rFonts w:eastAsiaTheme="minorHAnsi" w:cstheme="minorHAnsi"/>
          <w:lang w:val="lt-LT"/>
        </w:rPr>
        <w:t xml:space="preserve"> </w:t>
      </w:r>
      <w:bookmarkStart w:id="25" w:name="_Hlk41039660"/>
      <w:r w:rsidRPr="00FC08E7">
        <w:rPr>
          <w:rFonts w:eastAsiaTheme="minorHAnsi" w:cstheme="minorHAnsi"/>
          <w:lang w:val="lt-LT"/>
        </w:rPr>
        <w:t>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5058D9" w:rsidRDefault="00502EDB" w:rsidP="003010C3">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00FE6E86" w:rsidRPr="005058D9">
        <w:rPr>
          <w:rFonts w:cstheme="minorHAnsi"/>
          <w:color w:val="000000" w:themeColor="text1"/>
          <w:lang w:val="lt-LT"/>
        </w:rPr>
        <w:t xml:space="preserve"> </w:t>
      </w:r>
    </w:p>
    <w:p w14:paraId="7157E27F" w14:textId="29B8B620" w:rsidR="00CE1DA6" w:rsidRPr="005058D9" w:rsidRDefault="006460BE" w:rsidP="003010C3">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000A56C0" w:rsidRPr="005058D9">
        <w:rPr>
          <w:rFonts w:cstheme="minorHAnsi"/>
          <w:color w:val="000000" w:themeColor="text1"/>
          <w:lang w:val="lt-LT"/>
        </w:rPr>
        <w:t>3</w:t>
      </w:r>
      <w:r w:rsidRPr="005058D9">
        <w:rPr>
          <w:rFonts w:cstheme="minorHAnsi"/>
          <w:color w:val="000000" w:themeColor="text1"/>
          <w:lang w:val="lt-LT"/>
        </w:rPr>
        <w:t xml:space="preserve">. punkto nuostatų, tiekėjas iš </w:t>
      </w:r>
      <w:r w:rsidR="00FE6E86" w:rsidRPr="005058D9">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id="27" w:name="_Hlk155776233"/>
      <w:r w:rsidR="003010C3" w:rsidRPr="005058D9">
        <w:rPr>
          <w:rFonts w:cstheme="minorHAnsi"/>
          <w:color w:val="000000" w:themeColor="text1"/>
          <w:lang w:val="lt-LT"/>
        </w:rPr>
        <w:t xml:space="preserve"> </w:t>
      </w:r>
      <w:r w:rsidR="00CE1DA6" w:rsidRPr="005058D9">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5058D9">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5058D9" w:rsidRDefault="00F2782D" w:rsidP="003F2330">
      <w:pPr>
        <w:pStyle w:val="ListParagraph"/>
        <w:tabs>
          <w:tab w:val="left" w:pos="567"/>
        </w:tabs>
        <w:spacing w:after="120" w:line="20" w:lineRule="atLeast"/>
        <w:ind w:left="567"/>
        <w:jc w:val="both"/>
        <w:rPr>
          <w:rFonts w:eastAsia="Arial" w:cstheme="minorHAnsi"/>
          <w:color w:val="000000" w:themeColor="text1"/>
          <w:lang w:val="lt-LT"/>
        </w:rPr>
      </w:pP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4323609"/>
      <w:r w:rsidRPr="00FC08E7">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lastRenderedPageBreak/>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4323610"/>
      <w:r w:rsidRPr="00FC08E7">
        <w:rPr>
          <w:rFonts w:asciiTheme="minorHAnsi" w:hAnsiTheme="minorHAnsi" w:cstheme="minorHAnsi"/>
          <w:color w:val="auto"/>
          <w:lang w:val="lt-LT"/>
        </w:rPr>
        <w:t>Rezervuota teisė dalyvauti pirkime</w:t>
      </w:r>
      <w:bookmarkEnd w:id="31"/>
      <w:bookmarkEnd w:id="32"/>
    </w:p>
    <w:p w14:paraId="7588BEB4" w14:textId="1DA18A6F"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Default="004D7765" w:rsidP="004D7765">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Default="005B0DA8" w:rsidP="005B0DA8">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2A58904" w14:textId="77777777" w:rsidR="00AC3198" w:rsidRPr="00FE256C" w:rsidRDefault="00AC3198" w:rsidP="00AC3198">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0CB1615" w14:textId="59141770"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9"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per paskutinius 3 metus perkančioji organizacija su šia įmone nebuvo sudariusi sutarties </w:t>
      </w:r>
      <w:r w:rsidR="00AC459F">
        <w:rPr>
          <w:rFonts w:cstheme="minorHAnsi"/>
          <w:lang w:val="lt-LT"/>
        </w:rPr>
        <w:t>VPĮ 24 straipsnyje</w:t>
      </w:r>
      <w:r w:rsidRPr="00FC08E7">
        <w:rPr>
          <w:rFonts w:cstheme="minorHAnsi"/>
          <w:lang w:val="lt-LT"/>
        </w:rPr>
        <w:t xml:space="preserve"> nustatytus reikalavimus.</w:t>
      </w:r>
    </w:p>
    <w:p w14:paraId="284D758F" w14:textId="75E0BD3E"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w:t>
      </w:r>
      <w:r w:rsidR="00862C3E">
        <w:rPr>
          <w:color w:val="000000"/>
          <w:lang w:val="lt-LT"/>
        </w:rPr>
        <w:t xml:space="preserve">pasitelkti tik subtiekėjus, atitinkančius 8.6 punkte nustatytus reikalavimus. </w:t>
      </w:r>
    </w:p>
    <w:p w14:paraId="3EA3BAC7" w14:textId="10099176"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00007BDD">
        <w:rPr>
          <w:color w:val="000000"/>
          <w:lang w:val="lt-LT"/>
        </w:rPr>
        <w:t xml:space="preserve">8.6 punkte </w:t>
      </w:r>
      <w:r w:rsidRPr="00FC08E7">
        <w:rPr>
          <w:color w:val="000000"/>
          <w:lang w:val="lt-LT"/>
        </w:rPr>
        <w:t xml:space="preserve"> nustatytus reikalavimus</w:t>
      </w:r>
      <w:r w:rsidR="00007BDD">
        <w:rPr>
          <w:color w:val="000000"/>
          <w:lang w:val="lt-LT"/>
        </w:rPr>
        <w:t xml:space="preserve"> pateikdamas tiekėjo patvirtintą dekl</w:t>
      </w:r>
      <w:r w:rsidR="005160EA">
        <w:rPr>
          <w:color w:val="000000"/>
          <w:lang w:val="lt-LT"/>
        </w:rPr>
        <w:t>araciją.</w:t>
      </w:r>
    </w:p>
    <w:p w14:paraId="2A41373E" w14:textId="3AE4EF39" w:rsidR="005B08B2" w:rsidRPr="00FC08E7" w:rsidRDefault="005B08B2" w:rsidP="006F1547">
      <w:pPr>
        <w:pStyle w:val="ListParagraph"/>
        <w:numPr>
          <w:ilvl w:val="1"/>
          <w:numId w:val="9"/>
        </w:numPr>
        <w:spacing w:after="0" w:line="240" w:lineRule="auto"/>
        <w:ind w:left="0" w:firstLine="567"/>
        <w:jc w:val="both"/>
        <w:rPr>
          <w:rFonts w:cstheme="minorHAnsi"/>
          <w:lang w:val="lt-LT"/>
        </w:rPr>
      </w:pPr>
      <w:bookmarkStart w:id="40" w:name="_Ref51235548"/>
      <w:r w:rsidRPr="00FC08E7">
        <w:rPr>
          <w:rFonts w:cstheme="minorHAnsi"/>
          <w:lang w:val="lt-LT"/>
        </w:rPr>
        <w:t xml:space="preserve">Tiekėjas ir subtiekėjai (jei pasitelkiami) </w:t>
      </w:r>
      <w:r w:rsidRPr="00FC08E7">
        <w:rPr>
          <w:color w:val="000000"/>
          <w:lang w:val="lt-LT"/>
        </w:rPr>
        <w:t>visą dalyvavimo pirkime ir sutarties vykdymo laikotarpį privalo atitikti šiame skyriuje nustatytus reikalavimus.</w:t>
      </w:r>
      <w:bookmarkEnd w:id="40"/>
    </w:p>
    <w:p w14:paraId="62F5439D" w14:textId="5EA82D52" w:rsidR="00730ADC" w:rsidRPr="00FC08E7" w:rsidRDefault="00730ADC" w:rsidP="00D36A03">
      <w:pPr>
        <w:spacing w:after="0" w:line="240" w:lineRule="auto"/>
        <w:jc w:val="both"/>
        <w:rPr>
          <w:rFonts w:cstheme="minorHAnsi"/>
          <w:lang w:val="lt-LT"/>
        </w:rPr>
      </w:pP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1" w:name="_Ref48037697"/>
      <w:bookmarkStart w:id="42" w:name="_Ref48037709"/>
      <w:bookmarkStart w:id="43" w:name="_Toc48053167"/>
      <w:bookmarkStart w:id="44" w:name="_Toc124323611"/>
      <w:r w:rsidRPr="00FC08E7">
        <w:rPr>
          <w:rFonts w:asciiTheme="minorHAnsi" w:hAnsiTheme="minorHAnsi" w:cstheme="minorHAnsi"/>
          <w:color w:val="auto"/>
          <w:lang w:val="lt-LT"/>
        </w:rPr>
        <w:lastRenderedPageBreak/>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1"/>
      <w:bookmarkEnd w:id="42"/>
      <w:bookmarkEnd w:id="43"/>
      <w:bookmarkEnd w:id="44"/>
    </w:p>
    <w:p w14:paraId="785768EB" w14:textId="06EB9FFB"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1C66AE">
        <w:rPr>
          <w:rFonts w:cstheme="minorHAnsi"/>
          <w:lang w:val="lt-LT"/>
        </w:rPr>
        <w:t xml:space="preserve"> (VPĮ 88 straipsnio 5 dalies nuostatų taikymo atvejais ir subtiekėjai)</w:t>
      </w:r>
      <w:r w:rsidR="001C174C" w:rsidRPr="00FC08E7">
        <w:rPr>
          <w:rFonts w:cstheme="minorHAnsi"/>
          <w:lang w:val="lt-LT"/>
        </w:rPr>
        <w:t>,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5" w:name="_Ref39744259"/>
      <w:r w:rsidRPr="00FC08E7">
        <w:rPr>
          <w:rFonts w:cstheme="minorHAnsi"/>
          <w:lang w:val="lt-LT"/>
        </w:rPr>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5"/>
    </w:p>
    <w:p w14:paraId="5B3D31FB" w14:textId="5A1E1F60"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6" w:name="_Ref39744312"/>
      <w:r w:rsidRPr="00FC08E7">
        <w:rPr>
          <w:lang w:val="lt-LT"/>
        </w:rPr>
        <w:t>fiziniai asmenys, kuriuos tiekėjas ketina įdarbinti Pirkimo laimėjimo atveju ir kurių pajėgumais tiekėjas remiasi pagal VPĮ 49 straipsnį</w:t>
      </w:r>
      <w:r w:rsidR="00C006C1">
        <w:rPr>
          <w:lang w:val="lt-LT"/>
        </w:rPr>
        <w:t xml:space="preserve"> (</w:t>
      </w:r>
      <w:proofErr w:type="spellStart"/>
      <w:r w:rsidR="00C006C1">
        <w:rPr>
          <w:lang w:val="lt-LT"/>
        </w:rPr>
        <w:t>kvazisubtiekėjai</w:t>
      </w:r>
      <w:proofErr w:type="spellEnd"/>
      <w:r w:rsidR="00C006C1">
        <w:rPr>
          <w:lang w:val="lt-LT"/>
        </w:rPr>
        <w:t xml:space="preserve">) (jeigu perkančioji </w:t>
      </w:r>
      <w:r w:rsidR="00181E1D">
        <w:rPr>
          <w:lang w:val="lt-LT"/>
        </w:rPr>
        <w:t xml:space="preserve">organizacija nustato reikalavimus dėl fizinių asmenų, kurių kvalifikacija tiekėjas remiasi ir kuriuos, pirkimo laimėjimo atveju, tiekėjas ketina įdarbinti, pašalinimo pagrindų). </w:t>
      </w:r>
      <w:bookmarkEnd w:id="46"/>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5"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5058D9" w:rsidRDefault="00F67C86" w:rsidP="006F1547">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003C31EF" w:rsidRPr="005058D9">
        <w:rPr>
          <w:color w:val="000000" w:themeColor="text1"/>
          <w:lang w:val="lt-LT"/>
        </w:rPr>
        <w:t>p</w:t>
      </w:r>
      <w:r w:rsidRPr="005058D9">
        <w:rPr>
          <w:color w:val="000000" w:themeColor="text1"/>
          <w:lang w:val="lt-LT"/>
        </w:rPr>
        <w:t>irkimo procedūros atlikimą.</w:t>
      </w:r>
    </w:p>
    <w:p w14:paraId="2E38FA61" w14:textId="7930AF98" w:rsidR="009148FC" w:rsidRPr="005058D9" w:rsidRDefault="00546C35" w:rsidP="006F1547">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0036054C" w:rsidRPr="005058D9">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00284629" w:rsidRPr="005058D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00E92DF6" w:rsidRPr="005058D9">
        <w:rPr>
          <w:rFonts w:cstheme="minorHAnsi"/>
          <w:color w:val="000000" w:themeColor="text1"/>
          <w:lang w:val="lt-LT"/>
        </w:rPr>
        <w:t>Pirkimo</w:t>
      </w:r>
      <w:r w:rsidR="0065756E"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305A06" w:rsidRPr="005058D9">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00284629" w:rsidRPr="005058D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14:paraId="286AAA96" w14:textId="77777777" w:rsidR="001352C1" w:rsidRDefault="00CE1DA6" w:rsidP="00CE1DA6">
      <w:pPr>
        <w:pStyle w:val="ListParagraph"/>
        <w:numPr>
          <w:ilvl w:val="1"/>
          <w:numId w:val="73"/>
        </w:numPr>
        <w:spacing w:after="120" w:line="20" w:lineRule="atLeast"/>
        <w:ind w:left="0" w:firstLine="567"/>
        <w:jc w:val="both"/>
        <w:rPr>
          <w:rFonts w:cstheme="minorHAnsi"/>
          <w:color w:val="000000" w:themeColor="text1"/>
          <w:lang w:val="lt-LT"/>
        </w:rPr>
      </w:pPr>
      <w:bookmarkStart w:id="47" w:name="_Hlk155710805"/>
      <w:bookmarkStart w:id="48" w:name="_Hlk155710776"/>
      <w:r w:rsidRPr="005058D9">
        <w:rPr>
          <w:rFonts w:cstheme="minorHAnsi"/>
          <w:color w:val="000000" w:themeColor="text1"/>
          <w:lang w:val="lt-LT"/>
        </w:rPr>
        <w:t xml:space="preserve"> </w:t>
      </w:r>
    </w:p>
    <w:p w14:paraId="024741EB" w14:textId="152E3317" w:rsidR="00361025" w:rsidRPr="00793649" w:rsidRDefault="00361025" w:rsidP="00793649">
      <w:pPr>
        <w:pStyle w:val="ListParagraph"/>
        <w:spacing w:after="120" w:line="20" w:lineRule="atLeast"/>
        <w:ind w:left="0"/>
        <w:jc w:val="both"/>
        <w:rPr>
          <w:rFonts w:cstheme="minorHAnsi"/>
          <w:i/>
          <w:iCs/>
          <w:color w:val="FF0000"/>
          <w:lang w:val="lt-LT"/>
        </w:rPr>
      </w:pPr>
      <w:r w:rsidRPr="00793649">
        <w:rPr>
          <w:rFonts w:cstheme="minorHAnsi"/>
          <w:i/>
          <w:iCs/>
          <w:color w:val="FF0000"/>
          <w:lang w:val="lt-LT"/>
        </w:rPr>
        <w:t xml:space="preserve">Jei vykdomas tarptautinis pirkimas: </w:t>
      </w:r>
    </w:p>
    <w:p w14:paraId="0F43DBA4" w14:textId="77777777" w:rsidR="0069785C" w:rsidRPr="00D35B43" w:rsidRDefault="0069785C" w:rsidP="0069785C">
      <w:pPr>
        <w:pStyle w:val="ListParagraph"/>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94DD29C" w14:textId="77777777" w:rsidR="0069785C" w:rsidRDefault="0069785C" w:rsidP="0069785C">
      <w:pPr>
        <w:pStyle w:val="ListParagraph"/>
        <w:spacing w:after="120" w:line="20" w:lineRule="atLeast"/>
        <w:ind w:left="0"/>
        <w:jc w:val="both"/>
        <w:rPr>
          <w:i/>
          <w:iCs/>
          <w:lang w:val="lt-LT"/>
        </w:rPr>
      </w:pPr>
      <w:r w:rsidRPr="00835D41">
        <w:rPr>
          <w:i/>
          <w:iCs/>
          <w:color w:val="FF0000"/>
          <w:lang w:val="lt-LT"/>
        </w:rPr>
        <w:t>Jei vykdomas supaprastintas pirkimas:</w:t>
      </w:r>
    </w:p>
    <w:p w14:paraId="79956EB4" w14:textId="77777777" w:rsidR="0069785C" w:rsidRPr="00DF05E1" w:rsidRDefault="0069785C" w:rsidP="0069785C">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bookmarkEnd w:id="47"/>
    <w:bookmarkEnd w:id="48"/>
    <w:p w14:paraId="3ECF4AB8" w14:textId="50FEDDC8" w:rsidR="002C3735" w:rsidRPr="005058D9" w:rsidRDefault="008E262D" w:rsidP="008E262D">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t>Perkančioji organizacija</w:t>
      </w:r>
      <w:r w:rsidR="002C3735" w:rsidRPr="005058D9">
        <w:rPr>
          <w:color w:val="000000" w:themeColor="text1"/>
          <w:lang w:val="lt-LT"/>
        </w:rPr>
        <w:t xml:space="preserve"> nereikalauja pateikti dokumentų kaip nustatyta VPĮ 50 straipsnio 4 ir 6</w:t>
      </w:r>
      <w:r w:rsidR="006919B4" w:rsidRPr="005058D9">
        <w:rPr>
          <w:color w:val="000000" w:themeColor="text1"/>
          <w:lang w:val="lt-LT"/>
        </w:rPr>
        <w:t xml:space="preserve"> </w:t>
      </w:r>
      <w:r w:rsidR="002C3735" w:rsidRPr="005058D9">
        <w:rPr>
          <w:color w:val="000000" w:themeColor="text1"/>
          <w:lang w:val="lt-LT"/>
        </w:rPr>
        <w:t xml:space="preserve"> </w:t>
      </w:r>
      <w:r w:rsidR="006919B4" w:rsidRPr="005058D9">
        <w:rPr>
          <w:rFonts w:cstheme="minorHAnsi"/>
          <w:color w:val="000000" w:themeColor="text1"/>
          <w:lang w:val="lt-LT"/>
        </w:rPr>
        <w:t xml:space="preserve"> </w:t>
      </w:r>
      <w:r w:rsidR="002C3735" w:rsidRPr="005058D9">
        <w:rPr>
          <w:color w:val="000000" w:themeColor="text1"/>
          <w:lang w:val="lt-LT"/>
        </w:rPr>
        <w:t>dalyse, jeigu ji:</w:t>
      </w:r>
    </w:p>
    <w:p w14:paraId="31723895" w14:textId="7A8D3E3D"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lastRenderedPageBreak/>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191ECC" w:rsidRPr="00FC08E7">
        <w:rPr>
          <w:lang w:val="lt-LT"/>
        </w:rPr>
        <w:t xml:space="preserve"> punktą nustatytų pašalinimo pagrindų nebuvimą įrodančių dokumentų</w:t>
      </w:r>
      <w:r w:rsidR="002B68FB">
        <w:rPr>
          <w:lang w:val="lt-LT"/>
        </w:rPr>
        <w:t xml:space="preserve"> (kai taikoma)</w:t>
      </w:r>
      <w:r w:rsidR="00191ECC" w:rsidRPr="00FC08E7">
        <w:rPr>
          <w:lang w:val="lt-LT"/>
        </w:rPr>
        <w:t xml:space="preserve">,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9" w:name="_Toc48053168"/>
      <w:bookmarkStart w:id="50" w:name="_Toc124323612"/>
      <w:bookmarkStart w:id="51" w:name="_Hlk90906609"/>
      <w:r w:rsidRPr="00FC08E7">
        <w:rPr>
          <w:rFonts w:asciiTheme="minorHAnsi" w:hAnsiTheme="minorHAnsi" w:cstheme="minorHAnsi"/>
          <w:color w:val="auto"/>
          <w:lang w:val="lt-LT"/>
        </w:rPr>
        <w:t>Rėmimasis ūkio subjektų pajėgumais</w:t>
      </w:r>
      <w:bookmarkEnd w:id="49"/>
      <w:bookmarkEnd w:id="50"/>
    </w:p>
    <w:bookmarkEnd w:id="51"/>
    <w:p w14:paraId="172AC6C4" w14:textId="697F0947"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r w:rsidR="0085395A">
        <w:rPr>
          <w:rFonts w:cstheme="minorHAnsi"/>
          <w:lang w:val="lt-LT"/>
        </w:rPr>
        <w:t xml:space="preserve"> (</w:t>
      </w:r>
      <w:proofErr w:type="spellStart"/>
      <w:r w:rsidR="0085395A">
        <w:rPr>
          <w:rFonts w:cstheme="minorHAnsi"/>
          <w:lang w:val="lt-LT"/>
        </w:rPr>
        <w:t>kvazisubtiekėjai</w:t>
      </w:r>
      <w:proofErr w:type="spellEnd"/>
      <w:r w:rsidR="0085395A">
        <w:rPr>
          <w:rFonts w:cstheme="minorHAnsi"/>
          <w:lang w:val="lt-LT"/>
        </w:rPr>
        <w:t>)</w:t>
      </w:r>
      <w:r w:rsidRPr="00FC08E7">
        <w:rPr>
          <w:rFonts w:cstheme="minorHAnsi"/>
          <w:lang w:val="lt-LT"/>
        </w:rPr>
        <w:t>.</w:t>
      </w:r>
    </w:p>
    <w:p w14:paraId="5F181728" w14:textId="66C88594"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247F83">
        <w:rPr>
          <w:rFonts w:asciiTheme="minorHAnsi" w:hAnsiTheme="minorHAnsi" w:cstheme="minorHAnsi"/>
          <w:lang w:val="lt-LT"/>
        </w:rPr>
        <w:t xml:space="preserve"> Tiekėjas, nenurodęs</w:t>
      </w:r>
      <w:r w:rsidR="00FB558F">
        <w:rPr>
          <w:rFonts w:asciiTheme="minorHAnsi" w:hAnsiTheme="minorHAnsi" w:cstheme="minorHAnsi"/>
          <w:lang w:val="lt-LT"/>
        </w:rPr>
        <w:t>, jog remiasi kitų ūkio subjektų pajėgumais (kvalifikacija), tačiau pats neatitinka specialiosiose pirkimo sąlygose</w:t>
      </w:r>
      <w:r w:rsidR="00763EE4">
        <w:rPr>
          <w:rFonts w:asciiTheme="minorHAnsi" w:hAnsiTheme="minorHAnsi" w:cstheme="minorHAnsi"/>
          <w:lang w:val="lt-LT"/>
        </w:rPr>
        <w:t xml:space="preserve"> </w:t>
      </w:r>
      <w:r w:rsidR="00763EE4" w:rsidRPr="005058D9">
        <w:rPr>
          <w:rFonts w:cstheme="minorHAnsi"/>
          <w:color w:val="000000" w:themeColor="text1"/>
          <w:lang w:val="lt-LT"/>
        </w:rPr>
        <w:t>ir (ar) Pirkimo sąlygų pried</w:t>
      </w:r>
      <w:r w:rsidR="00D47F1B">
        <w:rPr>
          <w:rFonts w:cstheme="minorHAnsi"/>
          <w:color w:val="000000" w:themeColor="text1"/>
          <w:lang w:val="lt-LT"/>
        </w:rPr>
        <w:t>uose</w:t>
      </w:r>
      <w:r w:rsidR="00FB558F">
        <w:rPr>
          <w:rFonts w:asciiTheme="minorHAnsi" w:hAnsiTheme="minorHAnsi" w:cstheme="minorHAnsi"/>
          <w:lang w:val="lt-LT"/>
        </w:rPr>
        <w:t xml:space="preserve"> </w:t>
      </w:r>
      <w:r w:rsidR="00185F09">
        <w:rPr>
          <w:rFonts w:asciiTheme="minorHAnsi" w:hAnsiTheme="minorHAnsi" w:cstheme="minorHAnsi"/>
          <w:lang w:val="lt-LT"/>
        </w:rPr>
        <w:t xml:space="preserve"> </w:t>
      </w:r>
      <w:r w:rsidR="00FB558F">
        <w:rPr>
          <w:rFonts w:asciiTheme="minorHAnsi" w:hAnsiTheme="minorHAnsi" w:cstheme="minorHAnsi"/>
          <w:lang w:val="lt-LT"/>
        </w:rPr>
        <w:t>nurodytų</w:t>
      </w:r>
      <w:r w:rsidR="005E252F">
        <w:rPr>
          <w:rFonts w:asciiTheme="minorHAnsi" w:hAnsiTheme="minorHAnsi" w:cstheme="minorHAnsi"/>
          <w:lang w:val="lt-LT"/>
        </w:rPr>
        <w:t xml:space="preserve"> kvalifikacijos reikalavimų, neįgyja teisės po pasiūlymų pateikimo termino pabaigos pasitelkti (nurodyti) naujų subjektų tam, kad atitiktų kvalifikacijos reikalavimus. </w:t>
      </w:r>
      <w:r w:rsidR="00FB558F">
        <w:rPr>
          <w:rFonts w:asciiTheme="minorHAnsi" w:hAnsiTheme="minorHAnsi" w:cstheme="minorHAnsi"/>
          <w:lang w:val="lt-LT"/>
        </w:rPr>
        <w:t xml:space="preserve"> </w:t>
      </w:r>
    </w:p>
    <w:p w14:paraId="07052BD5" w14:textId="0AB3789D"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EA4936">
        <w:rPr>
          <w:rFonts w:eastAsia="Calibri" w:cstheme="minorHAnsi"/>
          <w:bCs/>
          <w:lang w:val="lt-LT"/>
        </w:rPr>
        <w:t>, tačiau tai negali sąlygoti draudžiamų susitarimų</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1E873846" w14:textId="0E055312" w:rsidR="002F0742" w:rsidRPr="00FC08E7" w:rsidRDefault="00517EAA" w:rsidP="007A3A73">
      <w:pPr>
        <w:pStyle w:val="ListParagraph"/>
        <w:numPr>
          <w:ilvl w:val="1"/>
          <w:numId w:val="9"/>
        </w:numPr>
        <w:spacing w:after="0" w:line="20" w:lineRule="atLeast"/>
        <w:ind w:left="0" w:firstLine="567"/>
        <w:jc w:val="both"/>
        <w:rPr>
          <w:rFonts w:cstheme="minorHAnsi"/>
          <w:lang w:val="lt-LT"/>
        </w:rPr>
      </w:pPr>
      <w:r>
        <w:rPr>
          <w:rFonts w:cstheme="minorHAnsi"/>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52" w:name="_Toc48053169"/>
      <w:bookmarkStart w:id="53" w:name="_Toc124323613"/>
      <w:r w:rsidRPr="00FC08E7">
        <w:rPr>
          <w:rFonts w:ascii="Calibri" w:hAnsi="Calibri" w:cs="Calibri"/>
          <w:color w:val="auto"/>
          <w:lang w:val="lt-LT"/>
        </w:rPr>
        <w:t>Subtiekėjų pasitelkimas</w:t>
      </w:r>
      <w:bookmarkEnd w:id="52"/>
      <w:bookmarkEnd w:id="53"/>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lastRenderedPageBreak/>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6F92C9B" w:rsidR="003B359D" w:rsidRPr="005058D9" w:rsidRDefault="003B359D" w:rsidP="006F1547">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t xml:space="preserve">Jeigu pagal </w:t>
      </w:r>
      <w:r w:rsidR="007764F7" w:rsidRPr="005058D9">
        <w:rPr>
          <w:rFonts w:cstheme="minorHAnsi"/>
          <w:color w:val="000000" w:themeColor="text1"/>
          <w:lang w:val="lt-LT"/>
        </w:rPr>
        <w:t>s</w:t>
      </w:r>
      <w:r w:rsidR="00FE48E8" w:rsidRPr="005058D9">
        <w:rPr>
          <w:rFonts w:cstheme="minorHAnsi"/>
          <w:color w:val="000000" w:themeColor="text1"/>
          <w:lang w:val="lt-LT"/>
        </w:rPr>
        <w:t>peciali</w:t>
      </w:r>
      <w:r w:rsidR="004A2B22" w:rsidRPr="005058D9">
        <w:rPr>
          <w:rFonts w:cstheme="minorHAnsi"/>
          <w:color w:val="000000" w:themeColor="text1"/>
          <w:lang w:val="lt-LT"/>
        </w:rPr>
        <w:t>ųjų</w:t>
      </w:r>
      <w:r w:rsidR="00FE48E8" w:rsidRPr="005058D9">
        <w:rPr>
          <w:rFonts w:cstheme="minorHAnsi"/>
          <w:color w:val="000000" w:themeColor="text1"/>
          <w:lang w:val="lt-LT"/>
        </w:rPr>
        <w:t xml:space="preserve"> sąlyg</w:t>
      </w:r>
      <w:r w:rsidR="004A2B22" w:rsidRPr="005058D9">
        <w:rPr>
          <w:rFonts w:cstheme="minorHAnsi"/>
          <w:color w:val="000000" w:themeColor="text1"/>
          <w:lang w:val="lt-LT"/>
        </w:rPr>
        <w:t>ų</w:t>
      </w:r>
      <w:r w:rsidR="00FE48E8" w:rsidRPr="005058D9">
        <w:rPr>
          <w:rFonts w:cstheme="minorHAnsi"/>
          <w:color w:val="000000" w:themeColor="text1"/>
          <w:lang w:val="lt-LT"/>
        </w:rPr>
        <w:t xml:space="preserve"> </w:t>
      </w:r>
      <w:r w:rsidR="00B628E8" w:rsidRPr="005058D9">
        <w:rPr>
          <w:rFonts w:cstheme="minorHAnsi"/>
          <w:color w:val="000000" w:themeColor="text1"/>
          <w:lang w:val="lt-LT"/>
        </w:rPr>
        <w:t xml:space="preserve">ir (ar) </w:t>
      </w:r>
      <w:r w:rsidR="00E92DF6" w:rsidRPr="005058D9">
        <w:rPr>
          <w:rFonts w:cstheme="minorHAnsi"/>
          <w:color w:val="000000" w:themeColor="text1"/>
          <w:lang w:val="lt-LT"/>
        </w:rPr>
        <w:t>Pirkimo</w:t>
      </w:r>
      <w:r w:rsidR="00B628E8" w:rsidRPr="005058D9">
        <w:rPr>
          <w:rFonts w:cstheme="minorHAnsi"/>
          <w:color w:val="000000" w:themeColor="text1"/>
          <w:lang w:val="lt-LT"/>
        </w:rPr>
        <w:t xml:space="preserve"> sąlygų pried</w:t>
      </w:r>
      <w:r w:rsidR="004A2B22" w:rsidRPr="005058D9">
        <w:rPr>
          <w:rFonts w:cstheme="minorHAnsi"/>
          <w:color w:val="000000" w:themeColor="text1"/>
          <w:lang w:val="lt-LT"/>
        </w:rPr>
        <w:t>ų reikalavimus</w:t>
      </w:r>
      <w:r w:rsidR="00B628E8" w:rsidRPr="005058D9">
        <w:rPr>
          <w:rFonts w:cstheme="minorHAnsi"/>
          <w:color w:val="000000" w:themeColor="text1"/>
          <w:lang w:val="lt-LT"/>
        </w:rPr>
        <w:t xml:space="preserve"> </w:t>
      </w:r>
      <w:r w:rsidR="00190AD0" w:rsidRPr="005058D9">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5058D9">
        <w:rPr>
          <w:rFonts w:cstheme="minorHAnsi"/>
          <w:color w:val="000000" w:themeColor="text1"/>
          <w:lang w:val="lt-LT"/>
        </w:rPr>
        <w:t xml:space="preserve">  </w:t>
      </w:r>
      <w:r w:rsidR="00640D97" w:rsidRPr="005058D9">
        <w:rPr>
          <w:color w:val="000000" w:themeColor="text1"/>
          <w:lang w:val="lt-LT"/>
        </w:rPr>
        <w:t>(supaprastintų pirkimų atveju – reikalaujama tik tuomet, kai  perkančioji organizacija turi pagrįstų abejonių dėl jo patikimumo)</w:t>
      </w:r>
      <w:r w:rsidR="00640D97" w:rsidRPr="005058D9">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00E45939" w:rsidRPr="005058D9">
        <w:rPr>
          <w:rFonts w:cstheme="minorHAnsi"/>
          <w:color w:val="000000" w:themeColor="text1"/>
          <w:lang w:val="lt-LT"/>
        </w:rPr>
        <w:t>P</w:t>
      </w:r>
      <w:r w:rsidRPr="005058D9">
        <w:rPr>
          <w:rFonts w:cstheme="minorHAnsi"/>
          <w:color w:val="000000" w:themeColor="text1"/>
          <w:lang w:val="lt-LT"/>
        </w:rPr>
        <w:t xml:space="preserve">irkimo </w:t>
      </w:r>
      <w:r w:rsidR="005C0A84" w:rsidRPr="005058D9">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58D9">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14:paraId="1863C057" w14:textId="0EB86A07" w:rsidR="00D531A6" w:rsidRPr="005058D9" w:rsidRDefault="00D97F1F" w:rsidP="00F970C9">
      <w:pPr>
        <w:pStyle w:val="Heading1"/>
        <w:numPr>
          <w:ilvl w:val="0"/>
          <w:numId w:val="9"/>
        </w:numPr>
        <w:spacing w:line="20" w:lineRule="atLeast"/>
        <w:contextualSpacing/>
        <w:rPr>
          <w:rFonts w:asciiTheme="minorHAnsi" w:hAnsiTheme="minorHAnsi" w:cstheme="minorHAnsi"/>
          <w:color w:val="000000" w:themeColor="text1"/>
          <w:lang w:val="lt-LT"/>
        </w:rPr>
      </w:pPr>
      <w:bookmarkStart w:id="54" w:name="_Toc91076050"/>
      <w:bookmarkStart w:id="55" w:name="_Toc91076157"/>
      <w:bookmarkStart w:id="56" w:name="_Toc91076504"/>
      <w:bookmarkStart w:id="57" w:name="_Toc91146045"/>
      <w:bookmarkStart w:id="58" w:name="_Toc91076051"/>
      <w:bookmarkStart w:id="59" w:name="_Toc91076158"/>
      <w:bookmarkStart w:id="60" w:name="_Toc91076505"/>
      <w:bookmarkStart w:id="61" w:name="_Toc91146046"/>
      <w:bookmarkStart w:id="62" w:name="_Toc91076052"/>
      <w:bookmarkStart w:id="63" w:name="_Toc91076159"/>
      <w:bookmarkStart w:id="64" w:name="_Toc91076506"/>
      <w:bookmarkStart w:id="65" w:name="_Toc91146047"/>
      <w:bookmarkStart w:id="66" w:name="_Toc91076053"/>
      <w:bookmarkStart w:id="67" w:name="_Toc91076160"/>
      <w:bookmarkStart w:id="68" w:name="_Toc91076507"/>
      <w:bookmarkStart w:id="69" w:name="_Toc91146048"/>
      <w:bookmarkStart w:id="70" w:name="_Toc91076054"/>
      <w:bookmarkStart w:id="71" w:name="_Toc91076161"/>
      <w:bookmarkStart w:id="72" w:name="_Toc91076508"/>
      <w:bookmarkStart w:id="73" w:name="_Toc91146049"/>
      <w:bookmarkStart w:id="74" w:name="_Ref39668380"/>
      <w:bookmarkStart w:id="75" w:name="_Ref39668383"/>
      <w:bookmarkStart w:id="76" w:name="_Toc48053170"/>
      <w:bookmarkStart w:id="77" w:name="_Toc12432361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5058D9">
        <w:rPr>
          <w:rFonts w:asciiTheme="minorHAnsi" w:hAnsiTheme="minorHAnsi" w:cstheme="minorHAnsi"/>
          <w:color w:val="000000" w:themeColor="text1"/>
          <w:lang w:val="lt-LT"/>
        </w:rPr>
        <w:t xml:space="preserve">Tiekėjų </w:t>
      </w:r>
      <w:r w:rsidR="00D531A6" w:rsidRPr="005058D9">
        <w:rPr>
          <w:rFonts w:asciiTheme="minorHAnsi" w:hAnsiTheme="minorHAnsi" w:cstheme="minorHAnsi"/>
          <w:color w:val="000000" w:themeColor="text1"/>
          <w:lang w:val="lt-LT"/>
        </w:rPr>
        <w:t>grupės dalyvavimas</w:t>
      </w:r>
      <w:bookmarkEnd w:id="74"/>
      <w:bookmarkEnd w:id="75"/>
      <w:bookmarkEnd w:id="76"/>
      <w:bookmarkEnd w:id="77"/>
    </w:p>
    <w:p w14:paraId="77623249" w14:textId="0604810C" w:rsidR="001F20C8" w:rsidRPr="005058D9" w:rsidRDefault="001F20C8" w:rsidP="00503053">
      <w:pPr>
        <w:pStyle w:val="ListParagraph"/>
        <w:numPr>
          <w:ilvl w:val="1"/>
          <w:numId w:val="9"/>
        </w:numPr>
        <w:spacing w:after="120" w:line="20" w:lineRule="atLeast"/>
        <w:ind w:left="0" w:firstLine="567"/>
        <w:jc w:val="both"/>
        <w:rPr>
          <w:rFonts w:cstheme="minorHAnsi"/>
          <w:color w:val="000000" w:themeColor="text1"/>
          <w:lang w:val="lt-LT"/>
        </w:rPr>
      </w:pPr>
      <w:bookmarkStart w:id="78" w:name="_Hlk90910113"/>
      <w:r w:rsidRPr="005058D9">
        <w:rPr>
          <w:rFonts w:cstheme="minorHAnsi"/>
          <w:color w:val="000000" w:themeColor="text1"/>
          <w:lang w:val="lt-LT"/>
        </w:rPr>
        <w:t xml:space="preserve">Pasiūlymą gali pateikti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w:t>
      </w:r>
      <w:r w:rsidR="002A2008" w:rsidRPr="005058D9">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14:paraId="0D3014BB" w14:textId="77007E53" w:rsidR="001F20C8" w:rsidRPr="005058D9" w:rsidRDefault="00EE723D" w:rsidP="005030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001F20C8" w:rsidRPr="005058D9">
        <w:rPr>
          <w:rFonts w:cstheme="minorHAnsi"/>
          <w:color w:val="000000" w:themeColor="text1"/>
          <w:lang w:val="lt-LT"/>
        </w:rPr>
        <w:t xml:space="preserve"> grupės sudėtis ir kiekvieno tiekėjų grupės dalyvio įsipareigojimai vykdant numatomą su perkančiąja organizacija sudaryti sutartį</w:t>
      </w:r>
      <w:r w:rsidR="0016638E" w:rsidRPr="005058D9">
        <w:rPr>
          <w:rFonts w:cstheme="minorHAnsi"/>
          <w:color w:val="000000" w:themeColor="text1"/>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0F7F5ABA" w:rsidR="006F2481" w:rsidRPr="005058D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5058D9">
        <w:rPr>
          <w:rFonts w:cstheme="minorHAnsi"/>
          <w:lang w:val="lt-LT"/>
        </w:rPr>
        <w:t>s</w:t>
      </w:r>
      <w:r w:rsidR="00CB799F" w:rsidRPr="005058D9">
        <w:rPr>
          <w:rFonts w:cstheme="minorHAnsi"/>
          <w:lang w:val="lt-LT"/>
        </w:rPr>
        <w:t xml:space="preserve">pecialiosiose </w:t>
      </w:r>
      <w:r w:rsidR="001E22F0" w:rsidRPr="005058D9">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0026789D" w:rsidRPr="005058D9">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006959C3" w:rsidRPr="005058D9">
        <w:rPr>
          <w:rFonts w:cstheme="minorHAnsi"/>
          <w:bCs/>
          <w:lang w:val="lt-LT"/>
        </w:rPr>
        <w:t>tiekėjų</w:t>
      </w:r>
      <w:r w:rsidRPr="005058D9">
        <w:rPr>
          <w:rFonts w:cstheme="minorHAnsi"/>
          <w:color w:val="000000"/>
          <w:lang w:val="lt-LT"/>
        </w:rPr>
        <w:t xml:space="preserve"> grupė įgytų tam tikrą teisinę formą. </w:t>
      </w:r>
    </w:p>
    <w:p w14:paraId="6585560C" w14:textId="77777777" w:rsidR="00640D97" w:rsidRPr="005058D9" w:rsidRDefault="00640D97" w:rsidP="00640D9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FC08E7" w:rsidRDefault="00640D97" w:rsidP="00640D97">
      <w:pPr>
        <w:pStyle w:val="ListParagraph"/>
        <w:tabs>
          <w:tab w:val="left" w:pos="709"/>
        </w:tabs>
        <w:spacing w:after="0" w:line="240" w:lineRule="auto"/>
        <w:ind w:left="567"/>
        <w:jc w:val="both"/>
        <w:rPr>
          <w:rFonts w:cstheme="minorHAnsi"/>
          <w:lang w:val="lt-LT"/>
        </w:rPr>
      </w:pP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9" w:name="_Toc91076056"/>
      <w:bookmarkStart w:id="80" w:name="_Toc91076163"/>
      <w:bookmarkStart w:id="81" w:name="_Toc91076510"/>
      <w:bookmarkStart w:id="82" w:name="_Toc91146051"/>
      <w:bookmarkStart w:id="83" w:name="_Toc91076057"/>
      <w:bookmarkStart w:id="84" w:name="_Toc91076164"/>
      <w:bookmarkStart w:id="85" w:name="_Toc91076511"/>
      <w:bookmarkStart w:id="86" w:name="_Toc91146052"/>
      <w:bookmarkStart w:id="87" w:name="_Ref39666794"/>
      <w:bookmarkStart w:id="88" w:name="_Ref39666796"/>
      <w:bookmarkStart w:id="89" w:name="_Toc48053171"/>
      <w:bookmarkStart w:id="90" w:name="_Toc124323615"/>
      <w:bookmarkEnd w:id="78"/>
      <w:bookmarkEnd w:id="79"/>
      <w:bookmarkEnd w:id="80"/>
      <w:bookmarkEnd w:id="81"/>
      <w:bookmarkEnd w:id="82"/>
      <w:bookmarkEnd w:id="83"/>
      <w:bookmarkEnd w:id="84"/>
      <w:bookmarkEnd w:id="85"/>
      <w:bookmarkEnd w:id="86"/>
      <w:r w:rsidRPr="00FC08E7">
        <w:rPr>
          <w:rFonts w:asciiTheme="minorHAnsi" w:hAnsiTheme="minorHAnsi" w:cstheme="minorHAnsi"/>
          <w:color w:val="auto"/>
          <w:lang w:val="lt-LT"/>
        </w:rPr>
        <w:t>Reikalavimai pasiūlymų rengimui ir pateikimui</w:t>
      </w:r>
      <w:bookmarkEnd w:id="87"/>
      <w:bookmarkEnd w:id="88"/>
      <w:bookmarkEnd w:id="89"/>
      <w:bookmarkEnd w:id="90"/>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54665532"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w:t>
      </w:r>
      <w:r w:rsidR="00886630">
        <w:rPr>
          <w:rFonts w:cstheme="minorHAnsi"/>
          <w:bCs/>
          <w:iCs/>
          <w:lang w:val="lt-LT"/>
        </w:rPr>
        <w:t xml:space="preserve"> bus laikomi negautais ir</w:t>
      </w:r>
      <w:r w:rsidRPr="00FC08E7">
        <w:rPr>
          <w:rFonts w:cstheme="minorHAnsi"/>
          <w:bCs/>
          <w:iCs/>
          <w:lang w:val="lt-LT"/>
        </w:rPr>
        <w:t xml:space="preserve">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 xml:space="preserve">Perkančiajai organizacijai kilus abejonių, ar konkreti informacija pagrįstai nurodyta konfidencialia, privalo kreiptis į </w:t>
      </w:r>
      <w:r w:rsidR="00254D55" w:rsidRPr="00FC08E7">
        <w:rPr>
          <w:lang w:val="lt-LT"/>
        </w:rPr>
        <w:lastRenderedPageBreak/>
        <w:t>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6F8D4B95"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Pr>
          <w:rFonts w:eastAsia="Arial" w:cstheme="minorHAnsi"/>
          <w:color w:val="000000" w:themeColor="text1"/>
          <w:lang w:val="lt-LT"/>
        </w:rPr>
        <w:t>Jeigu specialio</w:t>
      </w:r>
      <w:r w:rsidR="00BB7145">
        <w:rPr>
          <w:rFonts w:eastAsia="Arial" w:cstheme="minorHAnsi"/>
          <w:color w:val="000000" w:themeColor="text1"/>
          <w:lang w:val="lt-LT"/>
        </w:rPr>
        <w:t>siose pirkimo sąlygose nenumatyta kitaip, p</w:t>
      </w:r>
      <w:r w:rsidRPr="00FC08E7">
        <w:rPr>
          <w:rFonts w:eastAsia="Arial" w:cstheme="minorHAnsi"/>
          <w:color w:val="000000" w:themeColor="text1"/>
          <w:lang w:val="lt-LT"/>
        </w:rPr>
        <w:t xml:space="preserve">asiūlymų kainos bus vertinamos ir lyginamos su visais mokesčiais, įskaitant PVM. </w:t>
      </w:r>
      <w:r w:rsidR="00BA7D6E">
        <w:rPr>
          <w:rFonts w:eastAsia="Arial" w:cstheme="minorHAnsi"/>
          <w:color w:val="000000" w:themeColor="text1"/>
          <w:lang w:val="lt-LT"/>
        </w:rPr>
        <w:t>Jei p</w:t>
      </w:r>
      <w:r w:rsidRPr="00FC08E7">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464E43">
        <w:rPr>
          <w:rFonts w:eastAsia="Arial" w:cstheme="minorHAnsi"/>
          <w:color w:val="000000" w:themeColor="text1"/>
          <w:lang w:val="lt-LT"/>
        </w:rPr>
        <w:t>tiekėjas</w:t>
      </w:r>
      <w:r w:rsidR="00464E43" w:rsidRPr="00FC08E7">
        <w:rPr>
          <w:rFonts w:eastAsia="Arial" w:cstheme="minorHAnsi"/>
          <w:color w:val="000000" w:themeColor="text1"/>
          <w:lang w:val="lt-LT"/>
        </w:rPr>
        <w:t xml:space="preserve"> </w:t>
      </w:r>
      <w:r w:rsidRPr="00FC08E7">
        <w:rPr>
          <w:rFonts w:eastAsia="Arial" w:cstheme="minorHAnsi"/>
          <w:color w:val="000000" w:themeColor="text1"/>
          <w:lang w:val="lt-LT"/>
        </w:rPr>
        <w:t xml:space="preserve">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817739">
        <w:rPr>
          <w:rFonts w:eastAsia="Arial" w:cstheme="minorHAnsi"/>
          <w:color w:val="000000" w:themeColor="text1"/>
          <w:lang w:val="lt-LT"/>
        </w:rPr>
        <w:t>p</w:t>
      </w:r>
      <w:r w:rsidR="00817739" w:rsidRPr="00FC08E7">
        <w:rPr>
          <w:rFonts w:eastAsia="Arial" w:cstheme="minorHAnsi"/>
          <w:color w:val="000000" w:themeColor="text1"/>
          <w:lang w:val="lt-LT"/>
        </w:rPr>
        <w:t xml:space="preserve">irkimo </w:t>
      </w:r>
      <w:r w:rsidRPr="00FC08E7">
        <w:rPr>
          <w:rFonts w:eastAsia="Arial" w:cstheme="minorHAnsi"/>
          <w:color w:val="000000" w:themeColor="text1"/>
          <w:lang w:val="lt-LT"/>
        </w:rPr>
        <w:t>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Norėdamas 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2969D551" w14:textId="335932DC" w:rsidR="001F20C8" w:rsidRPr="00FC08E7" w:rsidRDefault="00CE4A29"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T</w:t>
      </w:r>
      <w:r w:rsidR="001F20C8" w:rsidRPr="00FC08E7">
        <w:rPr>
          <w:lang w:val="lt-LT"/>
        </w:rPr>
        <w:t>iekėjui, teikiančiam pasiūlymą savarankiškai ar kaip ūkio subjektų grupės nariui, nedraudžiama būti kito tiekėjo subtiekėju ar ūkio subjektu, kurio pajėgumais remiamasi kitas tiekėjas, tame pačiame pirkime.</w:t>
      </w:r>
      <w:bookmarkStart w:id="91" w:name="_Hlk504996590"/>
    </w:p>
    <w:bookmarkEnd w:id="91"/>
    <w:p w14:paraId="5C294B02" w14:textId="13A3955E"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973CE7"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 xml:space="preserve">lbą (vertimas turi būti patvirtintas vertimą atlikusio asmens parašu).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2" w:name="_Toc48053175"/>
      <w:bookmarkStart w:id="93" w:name="_Toc124323616"/>
      <w:bookmarkStart w:id="94"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92"/>
      <w:bookmarkEnd w:id="93"/>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5" w:name="_Ref39754676"/>
      <w:bookmarkEnd w:id="94"/>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5"/>
    </w:p>
    <w:p w14:paraId="4DE57691" w14:textId="0AC5ACB1" w:rsidR="0017028B" w:rsidRPr="005058D9" w:rsidRDefault="0017028B" w:rsidP="002A78CC">
      <w:pPr>
        <w:pStyle w:val="ListParagraph"/>
        <w:numPr>
          <w:ilvl w:val="2"/>
          <w:numId w:val="64"/>
        </w:numPr>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hyperlink w:history="1"/>
      <w:r w:rsidR="007E4875" w:rsidRPr="005058D9">
        <w:rPr>
          <w:color w:val="000000" w:themeColor="text1"/>
        </w:rPr>
        <w:t xml:space="preserve"> </w:t>
      </w:r>
      <w:r w:rsidR="007E4875" w:rsidRPr="005058D9">
        <w:rPr>
          <w:rFonts w:cstheme="minorHAnsi"/>
          <w:color w:val="000000" w:themeColor="text1"/>
          <w:lang w:val="lt-LT"/>
        </w:rPr>
        <w:t>https://vpt.lrv.lt/lt/nuorodos/kiti-duomenys/pasiulymu-sifravimas/kas-yra-kainu-pasiulymu-sifravimas</w:t>
      </w:r>
    </w:p>
    <w:p w14:paraId="7702835F" w14:textId="4DB93E78"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00DF5C10">
        <w:rPr>
          <w:rFonts w:cstheme="minorHAnsi"/>
          <w:b/>
          <w:color w:val="000000" w:themeColor="text1"/>
          <w:lang w:val="lt-LT"/>
        </w:rPr>
        <w:t>30</w:t>
      </w:r>
      <w:r w:rsidR="00277C30" w:rsidRPr="005058D9">
        <w:rPr>
          <w:rFonts w:cstheme="minorHAnsi"/>
          <w:b/>
          <w:color w:val="000000" w:themeColor="text1"/>
          <w:lang w:val="lt-LT"/>
        </w:rPr>
        <w:t xml:space="preserve">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w:t>
      </w:r>
      <w:r w:rsidRPr="00FC08E7">
        <w:rPr>
          <w:rFonts w:eastAsia="Times New Roman" w:cstheme="minorHAnsi"/>
          <w:color w:val="000000"/>
          <w:lang w:val="lt-LT"/>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4AC17A5" w:rsidR="0017028B" w:rsidRPr="00FC08E7" w:rsidRDefault="00093A56" w:rsidP="00093A56">
      <w:pPr>
        <w:spacing w:after="0" w:line="240" w:lineRule="auto"/>
        <w:ind w:firstLine="567"/>
        <w:jc w:val="both"/>
        <w:rPr>
          <w:rFonts w:cstheme="minorHAnsi"/>
          <w:lang w:val="lt-LT"/>
        </w:rPr>
      </w:pPr>
      <w:bookmarkStart w:id="96"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6"/>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7"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7"/>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8"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8"/>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9" w:name="_Ref38971193"/>
      <w:bookmarkStart w:id="100" w:name="_Ref38971207"/>
      <w:bookmarkStart w:id="101" w:name="_Toc48053176"/>
      <w:bookmarkStart w:id="102" w:name="_Toc124323617"/>
      <w:bookmarkStart w:id="103" w:name="_Hlk91497725"/>
      <w:r w:rsidRPr="00FC08E7">
        <w:rPr>
          <w:rFonts w:asciiTheme="minorHAnsi" w:hAnsiTheme="minorHAnsi" w:cstheme="minorHAnsi"/>
          <w:color w:val="auto"/>
          <w:lang w:val="lt-LT"/>
        </w:rPr>
        <w:t>Susipažinimas su pasiūlymais</w:t>
      </w:r>
      <w:bookmarkEnd w:id="99"/>
      <w:bookmarkEnd w:id="100"/>
      <w:bookmarkEnd w:id="101"/>
      <w:bookmarkEnd w:id="102"/>
    </w:p>
    <w:p w14:paraId="3B43F355" w14:textId="10069D98"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4" w:name="_Ref39756072"/>
      <w:bookmarkEnd w:id="103"/>
      <w:r w:rsidRPr="00FC08E7">
        <w:rPr>
          <w:rFonts w:cstheme="minorHAnsi"/>
          <w:color w:val="000000" w:themeColor="text1"/>
          <w:lang w:val="lt-LT"/>
        </w:rPr>
        <w:t xml:space="preserve">Jeigu perkančioji organizacija pasiūlymus vertins pagal kainą arba </w:t>
      </w:r>
      <w:r w:rsidR="008A3341">
        <w:rPr>
          <w:rFonts w:cstheme="minorHAnsi"/>
          <w:color w:val="000000" w:themeColor="text1"/>
          <w:lang w:val="lt-LT"/>
        </w:rPr>
        <w:t xml:space="preserve">sąnaudas arba </w:t>
      </w:r>
      <w:r w:rsidRPr="00FC08E7">
        <w:rPr>
          <w:rFonts w:cstheme="minorHAnsi"/>
          <w:color w:val="000000" w:themeColor="text1"/>
          <w:lang w:val="lt-LT"/>
        </w:rPr>
        <w:t xml:space="preserve">kainos ar sąnaudų ir kokybės santykį ir jos pasirinktos vertinti </w:t>
      </w:r>
      <w:r w:rsidR="0039558E">
        <w:rPr>
          <w:rFonts w:cstheme="minorHAnsi"/>
          <w:color w:val="000000" w:themeColor="text1"/>
          <w:lang w:val="lt-LT"/>
        </w:rPr>
        <w:t>P</w:t>
      </w:r>
      <w:r w:rsidRPr="00FC08E7">
        <w:rPr>
          <w:rFonts w:cstheme="minorHAnsi"/>
          <w:color w:val="000000" w:themeColor="text1"/>
          <w:lang w:val="lt-LT"/>
        </w:rPr>
        <w:t>asiūlymo techninės charakteristikos yra kiekybiškai įvertinamos (</w:t>
      </w:r>
      <w:r w:rsidR="0039558E">
        <w:rPr>
          <w:rFonts w:cstheme="minorHAnsi"/>
          <w:b/>
          <w:bCs/>
          <w:color w:val="000000" w:themeColor="text1"/>
          <w:lang w:val="lt-LT"/>
        </w:rPr>
        <w:t>P</w:t>
      </w:r>
      <w:r w:rsidRPr="00FC08E7">
        <w:rPr>
          <w:rFonts w:cstheme="minorHAnsi"/>
          <w:b/>
          <w:bCs/>
          <w:color w:val="000000" w:themeColor="text1"/>
          <w:lang w:val="lt-LT"/>
        </w:rPr>
        <w:t>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5"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5"/>
    </w:p>
    <w:p w14:paraId="56DB5DA5" w14:textId="1616DCF5"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lastRenderedPageBreak/>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58218"/>
      <w:bookmarkStart w:id="107" w:name="_Ref39658226"/>
      <w:bookmarkStart w:id="108" w:name="_Ref39658248"/>
      <w:bookmarkStart w:id="109" w:name="_Ref39658251"/>
      <w:bookmarkStart w:id="110" w:name="_Toc48053177"/>
      <w:bookmarkStart w:id="111" w:name="_Toc124323618"/>
      <w:bookmarkEnd w:id="104"/>
      <w:r w:rsidRPr="00FC08E7">
        <w:rPr>
          <w:rFonts w:asciiTheme="minorHAnsi" w:hAnsiTheme="minorHAnsi" w:cstheme="minorHAnsi"/>
          <w:color w:val="auto"/>
          <w:lang w:val="lt-LT"/>
        </w:rPr>
        <w:t>Elektroninis aukcionas</w:t>
      </w:r>
      <w:bookmarkEnd w:id="106"/>
      <w:bookmarkEnd w:id="107"/>
      <w:bookmarkEnd w:id="108"/>
      <w:bookmarkEnd w:id="109"/>
      <w:bookmarkEnd w:id="110"/>
      <w:bookmarkEnd w:id="111"/>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2" w:name="_Ref39667303"/>
      <w:bookmarkStart w:id="113" w:name="_Ref39667308"/>
      <w:bookmarkStart w:id="114" w:name="_Toc48053178"/>
      <w:bookmarkStart w:id="115" w:name="_Toc124323619"/>
      <w:r w:rsidRPr="00FC08E7">
        <w:rPr>
          <w:rFonts w:asciiTheme="minorHAnsi" w:hAnsiTheme="minorHAnsi" w:cstheme="minorHAnsi"/>
          <w:color w:val="auto"/>
          <w:lang w:val="lt-LT"/>
        </w:rPr>
        <w:t>Pasiūlymų vertinimas</w:t>
      </w:r>
      <w:bookmarkEnd w:id="112"/>
      <w:bookmarkEnd w:id="113"/>
      <w:bookmarkEnd w:id="114"/>
      <w:bookmarkEnd w:id="115"/>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6" w:name="_Hlk505013401"/>
      <w:r w:rsidRPr="00FC08E7">
        <w:rPr>
          <w:lang w:val="lt-LT"/>
        </w:rPr>
        <w:t xml:space="preserve">tiekėjams ir (ar) jų įgaliotiesiems atstovams </w:t>
      </w:r>
      <w:bookmarkEnd w:id="116"/>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0E77C5CC"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pirkimo dokumentuose nustatytus, su pirkimo objektu nesusijusius, reikalavimus, įskaitant nuostatas dėl alternatyvių pasiūlymų teikimo;</w:t>
      </w:r>
    </w:p>
    <w:p w14:paraId="51DFFE2A" w14:textId="2A6300DB"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w:t>
      </w:r>
      <w:r w:rsidR="00992F2F" w:rsidRPr="00FC08E7">
        <w:rPr>
          <w:rFonts w:eastAsia="Times New Roman" w:cstheme="minorHAnsi"/>
          <w:lang w:val="lt-LT"/>
        </w:rPr>
        <w:t>nustatyt</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pašalinimo </w:t>
      </w:r>
      <w:r w:rsidR="00992F2F" w:rsidRPr="00FC08E7">
        <w:rPr>
          <w:rFonts w:eastAsia="Times New Roman" w:cstheme="minorHAnsi"/>
          <w:lang w:val="lt-LT"/>
        </w:rPr>
        <w:t>pagrind</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1C862B2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2F55E0">
        <w:rPr>
          <w:rFonts w:cstheme="minorHAnsi"/>
          <w:lang w:val="lt-LT"/>
        </w:rPr>
        <w:t>p</w:t>
      </w:r>
      <w:r w:rsidR="002F55E0"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62316BBA"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00965753">
        <w:rPr>
          <w:lang w:val="lt-LT"/>
        </w:rPr>
        <w:t>s</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3E6DBEC5" w:rsidR="00043570" w:rsidRPr="005058D9" w:rsidRDefault="00043570" w:rsidP="00043570">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lastRenderedPageBreak/>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5058D9">
        <w:rPr>
          <w:rFonts w:eastAsia="Calibri" w:cstheme="minorHAnsi"/>
          <w:color w:val="000000" w:themeColor="text1"/>
          <w:lang w:val="lt-LT" w:eastAsia="lt-LT"/>
        </w:rPr>
        <w:t xml:space="preserve"> A</w:t>
      </w:r>
      <w:r w:rsidR="003F2330" w:rsidRPr="005058D9">
        <w:rPr>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00D369B9" w:rsidRPr="005058D9">
        <w:rPr>
          <w:rFonts w:cstheme="minorHAnsi"/>
          <w:color w:val="000000" w:themeColor="text1"/>
          <w:lang w:val="lt-LT"/>
        </w:rPr>
        <w:t xml:space="preserve"> P</w:t>
      </w:r>
      <w:r w:rsidRPr="005058D9">
        <w:rPr>
          <w:rFonts w:cstheme="minorHAnsi"/>
          <w:color w:val="000000" w:themeColor="text1"/>
          <w:lang w:val="lt-LT"/>
        </w:rPr>
        <w:t xml:space="preserve">irkimo </w:t>
      </w:r>
      <w:r w:rsidR="002C1F03" w:rsidRPr="005058D9">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7" w:name="_Toc48053179"/>
      <w:bookmarkStart w:id="118" w:name="_Toc124323620"/>
      <w:r w:rsidRPr="00FC08E7">
        <w:rPr>
          <w:rFonts w:asciiTheme="minorHAnsi" w:hAnsiTheme="minorHAnsi" w:cstheme="minorHAnsi"/>
          <w:color w:val="auto"/>
          <w:lang w:val="lt-LT"/>
        </w:rPr>
        <w:t xml:space="preserve">Pasiūlymų atmetimo </w:t>
      </w:r>
      <w:bookmarkEnd w:id="117"/>
      <w:r w:rsidR="00154399" w:rsidRPr="00FC08E7">
        <w:rPr>
          <w:rFonts w:asciiTheme="minorHAnsi" w:hAnsiTheme="minorHAnsi" w:cstheme="minorHAnsi"/>
          <w:color w:val="auto"/>
          <w:lang w:val="lt-LT"/>
        </w:rPr>
        <w:t>pagrindai</w:t>
      </w:r>
      <w:bookmarkEnd w:id="118"/>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07A2CF6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2E6864"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6EBFFA9F" w14:textId="0EBF0B12" w:rsidR="002E6864" w:rsidRPr="00901104" w:rsidRDefault="000F52BD" w:rsidP="00FE7018">
      <w:pPr>
        <w:pStyle w:val="ListParagraph"/>
        <w:numPr>
          <w:ilvl w:val="2"/>
          <w:numId w:val="68"/>
        </w:numPr>
        <w:spacing w:line="240" w:lineRule="auto"/>
        <w:ind w:left="0" w:firstLine="709"/>
        <w:jc w:val="both"/>
        <w:rPr>
          <w:rFonts w:cstheme="minorHAnsi"/>
          <w:lang w:val="lt-LT"/>
        </w:rPr>
      </w:pPr>
      <w:r>
        <w:rPr>
          <w:lang w:val="lt-LT"/>
        </w:rPr>
        <w:t>tiekėjas per perkančiosios organizacijos nustatytą terminą patikslino, pa</w:t>
      </w:r>
      <w:r w:rsidR="00B96888">
        <w:rPr>
          <w:lang w:val="lt-LT"/>
        </w:rPr>
        <w:t>pildė, paaiškino pasiūlymą ir tai lėmė esminį jo pasiūlymo pakeitimą;</w:t>
      </w:r>
    </w:p>
    <w:p w14:paraId="2206E6D2" w14:textId="03B6C2D2" w:rsidR="00901104" w:rsidRPr="00FC08E7" w:rsidRDefault="002E7F2C" w:rsidP="00FE7018">
      <w:pPr>
        <w:pStyle w:val="ListParagraph"/>
        <w:numPr>
          <w:ilvl w:val="2"/>
          <w:numId w:val="68"/>
        </w:numPr>
        <w:spacing w:line="240" w:lineRule="auto"/>
        <w:ind w:left="0" w:firstLine="709"/>
        <w:jc w:val="both"/>
        <w:rPr>
          <w:rFonts w:cstheme="minorHAnsi"/>
          <w:lang w:val="lt-LT"/>
        </w:rPr>
      </w:pPr>
      <w:r>
        <w:rPr>
          <w:rFonts w:cstheme="minorHAnsi"/>
          <w:lang w:val="lt-LT"/>
        </w:rPr>
        <w:t xml:space="preserve">pasiūlymas neatitinka pirkimo dokumentų reikalavimų ir jo trūkumai negali būti ištaisyti vadovaujantis Viešųjų pirkimų tarnybos nustatytomis </w:t>
      </w:r>
      <w:r w:rsidR="00707844">
        <w:rPr>
          <w:color w:val="000000"/>
          <w:lang w:val="lt-LT"/>
        </w:rPr>
        <w:t>taisyklėmis</w:t>
      </w:r>
      <w:r w:rsidR="00707844">
        <w:rPr>
          <w:rStyle w:val="FootnoteReference"/>
          <w:lang w:val="lt-LT"/>
        </w:rPr>
        <w:footnoteReference w:id="4"/>
      </w:r>
      <w:r w:rsidR="00707844">
        <w:rPr>
          <w:color w:val="000000"/>
          <w:lang w:val="lt-LT"/>
        </w:rPr>
        <w:t>.</w:t>
      </w:r>
      <w:r>
        <w:rPr>
          <w:rFonts w:cstheme="minorHAnsi"/>
          <w:lang w:val="lt-LT"/>
        </w:rPr>
        <w:t xml:space="preserve"> </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6232C38F"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t>pasiūlyme nurodyta kaina perkančiajai organizacijai yra per didelė ir nepriimtina</w:t>
      </w:r>
      <w:r w:rsidR="00061722" w:rsidRPr="00FC08E7">
        <w:rPr>
          <w:lang w:val="lt-LT"/>
        </w:rPr>
        <w:t>, išskyrus VPĮ 45 straipsnio 1 dalies 5 punkte numatytus atvejus</w:t>
      </w:r>
      <w:r w:rsidRPr="00FC08E7">
        <w:rPr>
          <w:lang w:val="lt-LT"/>
        </w:rPr>
        <w:t xml:space="preserve">. Jeigu šiuo pagrindu atmetamas ekonomiškai naudingiausias pasiūlymas, </w:t>
      </w:r>
      <w:r w:rsidR="0084736A">
        <w:rPr>
          <w:lang w:val="lt-LT"/>
        </w:rPr>
        <w:t>o perkančioji organizacija pirkimo dokumentuose nėra nur</w:t>
      </w:r>
      <w:r w:rsidR="00C06A77">
        <w:rPr>
          <w:lang w:val="lt-LT"/>
        </w:rPr>
        <w:t>o</w:t>
      </w:r>
      <w:r w:rsidR="0084736A">
        <w:rPr>
          <w:lang w:val="lt-LT"/>
        </w:rPr>
        <w:t>džiusi pirkimui skirtų lėšų sumos</w:t>
      </w:r>
      <w:r w:rsidR="00705C6F">
        <w:rPr>
          <w:lang w:val="lt-LT"/>
        </w:rPr>
        <w:t xml:space="preserve">, </w:t>
      </w:r>
      <w:r w:rsidRPr="00FC08E7">
        <w:rPr>
          <w:lang w:val="lt-LT"/>
        </w:rPr>
        <w:t>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 xml:space="preserve">pasiūlyme neįprastai mažos kainos ir (ar) sąnaudos pasiūlytos dėl to, kad tiekėjas yra gavęs valstybės pagalbą, tačiau tiekėjas negali per pakankamą perkančiosios organizacijos nustatytą laikotarpį įrodyti, kad valstybės </w:t>
      </w:r>
      <w:r w:rsidRPr="00FC08E7">
        <w:rPr>
          <w:lang w:val="lt-LT"/>
        </w:rPr>
        <w:lastRenderedPageBreak/>
        <w:t>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FC08E7" w:rsidRDefault="00701A30" w:rsidP="00FE7018">
      <w:pPr>
        <w:pStyle w:val="ListParagraph"/>
        <w:numPr>
          <w:ilvl w:val="2"/>
          <w:numId w:val="68"/>
        </w:numPr>
        <w:spacing w:after="120" w:line="20" w:lineRule="atLeast"/>
        <w:ind w:left="0" w:firstLine="567"/>
        <w:jc w:val="both"/>
        <w:rPr>
          <w:rFonts w:cstheme="minorHAnsi"/>
          <w:lang w:val="lt-LT"/>
        </w:rPr>
      </w:pPr>
      <w:r>
        <w:rPr>
          <w:lang w:val="lt-LT"/>
        </w:rPr>
        <w:t xml:space="preserve">paaiškėja, kad ekonomiškai naudingiausią pasiūlymą pateikusio tiekėjo pasiūlymas neatitinka VPĮ </w:t>
      </w:r>
      <w:r w:rsidR="002D4895">
        <w:rPr>
          <w:lang w:val="lt-LT"/>
        </w:rPr>
        <w:t>17 straipsnio 2 dalies 2 punkte nurodytų aplinkos apsaugos, socialinės ir darbo teisės įsipareigojimų</w:t>
      </w:r>
      <w:r w:rsidR="00D83F2F">
        <w:rPr>
          <w:lang w:val="lt-LT"/>
        </w:rPr>
        <w:t xml:space="preserve">; </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0C6AB410" w:rsidR="0063217F" w:rsidRDefault="00C1259A" w:rsidP="00D626DF">
      <w:pPr>
        <w:pStyle w:val="ListParagraph"/>
        <w:tabs>
          <w:tab w:val="left" w:pos="993"/>
        </w:tabs>
        <w:spacing w:after="0" w:line="240" w:lineRule="auto"/>
        <w:ind w:left="0" w:firstLine="567"/>
        <w:jc w:val="both"/>
        <w:rPr>
          <w:color w:val="000000"/>
          <w:lang w:val="lt-LT"/>
        </w:rPr>
      </w:pPr>
      <w:r>
        <w:rPr>
          <w:color w:val="000000"/>
          <w:lang w:val="lt-LT"/>
        </w:rPr>
        <w:t xml:space="preserve">18.1.17.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56CA25A7" w14:textId="3EDAFBF8" w:rsidR="00D626DF" w:rsidRDefault="00D626DF" w:rsidP="00D626DF">
      <w:pPr>
        <w:pStyle w:val="ListParagraph"/>
        <w:tabs>
          <w:tab w:val="left" w:pos="993"/>
        </w:tabs>
        <w:spacing w:after="0" w:line="240" w:lineRule="auto"/>
        <w:ind w:left="0" w:firstLine="567"/>
        <w:jc w:val="both"/>
        <w:rPr>
          <w:color w:val="000000"/>
          <w:lang w:val="lt-LT"/>
        </w:rPr>
      </w:pPr>
      <w:r>
        <w:rPr>
          <w:color w:val="000000"/>
          <w:lang w:val="lt-LT"/>
        </w:rPr>
        <w:t>18.1.18. tiekėjas neturi reikalaujamo profesinio pajėgumo, kai perkančioji organizacija nustato tiekėjo interesų konfliktą, galintį</w:t>
      </w:r>
      <w:r w:rsidR="0083101C">
        <w:rPr>
          <w:color w:val="000000"/>
          <w:lang w:val="lt-LT"/>
        </w:rPr>
        <w:t xml:space="preserve"> neigiamai paveikti sutarties vykdymą;</w:t>
      </w:r>
    </w:p>
    <w:p w14:paraId="3ACA4B2E" w14:textId="64D5BF3A" w:rsidR="00C1259A" w:rsidRPr="00FC08E7" w:rsidRDefault="0083101C" w:rsidP="00781263">
      <w:pPr>
        <w:pStyle w:val="ListParagraph"/>
        <w:tabs>
          <w:tab w:val="left" w:pos="993"/>
        </w:tabs>
        <w:spacing w:after="0" w:line="240" w:lineRule="auto"/>
        <w:ind w:left="0" w:firstLine="567"/>
        <w:jc w:val="both"/>
        <w:rPr>
          <w:rFonts w:cstheme="minorHAnsi"/>
          <w:lang w:val="lt-LT"/>
        </w:rPr>
      </w:pPr>
      <w:r>
        <w:rPr>
          <w:color w:val="000000"/>
          <w:lang w:val="lt-LT"/>
        </w:rPr>
        <w:t>18.1.19. Perkančioji organ</w:t>
      </w:r>
      <w:r w:rsidR="00793649">
        <w:rPr>
          <w:color w:val="000000"/>
          <w:lang w:val="lt-LT"/>
        </w:rPr>
        <w:t>i</w:t>
      </w:r>
      <w:r>
        <w:rPr>
          <w:color w:val="000000"/>
          <w:lang w:val="lt-LT"/>
        </w:rPr>
        <w:t xml:space="preserve">zacija gali atmesti pasiūlymus kitais specialiosiose pirkimo sąlygose nurodytais pagrindais.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9" w:name="_Ref40443104"/>
      <w:bookmarkStart w:id="120" w:name="_Toc48053180"/>
      <w:bookmarkStart w:id="121" w:name="_Toc124323621"/>
      <w:r w:rsidRPr="00FC08E7">
        <w:rPr>
          <w:rFonts w:asciiTheme="minorHAnsi" w:hAnsiTheme="minorHAnsi" w:cstheme="minorHAnsi"/>
          <w:color w:val="auto"/>
          <w:lang w:val="lt-LT"/>
        </w:rPr>
        <w:t>Pasiūlymų eilė ir laimėtojo nustatymas</w:t>
      </w:r>
      <w:bookmarkEnd w:id="119"/>
      <w:bookmarkEnd w:id="120"/>
      <w:bookmarkEnd w:id="121"/>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22" w:name="_Toc124323622"/>
      <w:bookmarkStart w:id="123" w:name="_Hlk91498524"/>
      <w:r w:rsidRPr="00FC08E7">
        <w:rPr>
          <w:rFonts w:asciiTheme="minorHAnsi" w:hAnsiTheme="minorHAnsi" w:cstheme="minorHAnsi"/>
          <w:color w:val="auto"/>
          <w:lang w:val="lt-LT"/>
        </w:rPr>
        <w:t>Informavimas apie pirkimo procedūrų rezultatus</w:t>
      </w:r>
      <w:bookmarkEnd w:id="122"/>
    </w:p>
    <w:bookmarkEnd w:id="123"/>
    <w:p w14:paraId="3F0A54A9" w14:textId="1E0CA795" w:rsidR="0053096C" w:rsidRPr="00793649"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laimėjusio pasiūlymo nustatymo</w:t>
      </w:r>
      <w:r w:rsidR="00755F89" w:rsidRPr="00FC08E7">
        <w:rPr>
          <w:rFonts w:eastAsia="Arial"/>
          <w:lang w:val="lt-LT"/>
        </w:rPr>
        <w:t>,</w:t>
      </w:r>
      <w:r w:rsidRPr="00FC08E7">
        <w:rPr>
          <w:rFonts w:eastAsia="Arial"/>
          <w:lang w:val="lt-LT"/>
        </w:rPr>
        <w:t xml:space="preserve"> CVP IS </w:t>
      </w:r>
      <w:r w:rsidRPr="005058D9">
        <w:rPr>
          <w:rFonts w:eastAsia="Arial"/>
          <w:lang w:val="lt-LT"/>
        </w:rPr>
        <w:t xml:space="preserve">priemonėmis tiekėjus </w:t>
      </w:r>
      <w:r w:rsidRPr="00FC08E7">
        <w:rPr>
          <w:rFonts w:eastAsia="Arial"/>
          <w:lang w:val="lt-LT"/>
        </w:rPr>
        <w:t xml:space="preserve">informuoja apie </w:t>
      </w:r>
      <w:r w:rsidR="009B1BFA" w:rsidRPr="00FC08E7">
        <w:rPr>
          <w:rFonts w:eastAsia="Arial"/>
          <w:lang w:val="lt-LT"/>
        </w:rPr>
        <w:t>p</w:t>
      </w:r>
      <w:r w:rsidRPr="00FC08E7">
        <w:rPr>
          <w:rFonts w:eastAsia="Arial"/>
          <w:lang w:val="lt-LT"/>
        </w:rPr>
        <w:t>irkimo procedūros rezultatus, vadovaujantis VPĮ 58 straipsnio nuostatomis.</w:t>
      </w:r>
      <w:r w:rsidR="006D5D44">
        <w:rPr>
          <w:rFonts w:eastAsia="Arial"/>
          <w:lang w:val="lt-LT"/>
        </w:rPr>
        <w:t xml:space="preserve"> Perkančioji organizacija taip pat turi informuoti tiekėjus apie priežastis, dėl kurių buvo priimtas sprendimas nesudaryti </w:t>
      </w:r>
      <w:r w:rsidR="0076371B">
        <w:rPr>
          <w:rFonts w:eastAsia="Arial"/>
          <w:lang w:val="lt-LT"/>
        </w:rPr>
        <w:t xml:space="preserve">sutarties. </w:t>
      </w:r>
    </w:p>
    <w:p w14:paraId="659E072A" w14:textId="440E92EA" w:rsidR="0076371B" w:rsidRPr="00E01192" w:rsidRDefault="00E01192" w:rsidP="008D659C">
      <w:pPr>
        <w:spacing w:after="0" w:line="20" w:lineRule="atLeast"/>
        <w:ind w:firstLine="709"/>
        <w:jc w:val="both"/>
        <w:rPr>
          <w:rFonts w:cstheme="minorHAnsi"/>
          <w:lang w:val="lt-LT"/>
        </w:rPr>
      </w:pPr>
      <w:r>
        <w:rPr>
          <w:rFonts w:eastAsia="Arial"/>
          <w:lang w:val="lt-LT"/>
        </w:rPr>
        <w:t xml:space="preserve">20.2. </w:t>
      </w:r>
      <w:r w:rsidR="00F076AB" w:rsidRPr="00E01192">
        <w:rPr>
          <w:rFonts w:eastAsia="Arial"/>
          <w:lang w:val="lt-LT"/>
        </w:rPr>
        <w:t xml:space="preserve">Suinteresuoti dalyviai nuo perkančiosios organizacijos pranešimo </w:t>
      </w:r>
      <w:r w:rsidRPr="00E01192">
        <w:rPr>
          <w:rStyle w:val="cf01"/>
          <w:rFonts w:asciiTheme="minorHAnsi" w:hAnsiTheme="minorHAnsi" w:cstheme="minorHAnsi"/>
          <w:sz w:val="21"/>
          <w:szCs w:val="21"/>
          <w:lang w:val="lt-LT"/>
        </w:rPr>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24" w:name="_Ref39425999"/>
      <w:bookmarkStart w:id="125" w:name="_Ref39426005"/>
      <w:bookmarkStart w:id="126" w:name="_Toc48053182"/>
      <w:bookmarkStart w:id="127" w:name="_Toc124323623"/>
      <w:r w:rsidRPr="00FC08E7">
        <w:rPr>
          <w:rFonts w:asciiTheme="minorHAnsi" w:hAnsiTheme="minorHAnsi" w:cstheme="minorHAnsi"/>
          <w:color w:val="auto"/>
          <w:lang w:val="lt-LT"/>
        </w:rPr>
        <w:lastRenderedPageBreak/>
        <w:t>Sutarties sudarymas</w:t>
      </w:r>
      <w:bookmarkEnd w:id="124"/>
      <w:bookmarkEnd w:id="125"/>
      <w:bookmarkEnd w:id="126"/>
      <w:bookmarkEnd w:id="127"/>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3B30A668"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P</w:t>
      </w:r>
      <w:r w:rsidR="000F0ACB" w:rsidRPr="00FC08E7">
        <w:rPr>
          <w:lang w:val="lt-LT"/>
        </w:rPr>
        <w:t>erkančioji organizacija negali sudaryti sutarties anksčiau kaip po 10 dienų (supaprastintų pirkimų atveju – anksčiau negu po 5 darbo dienų)</w:t>
      </w:r>
      <w:r w:rsidR="0099206B" w:rsidRPr="00FC08E7">
        <w:rPr>
          <w:lang w:val="lt-LT"/>
        </w:rPr>
        <w:t xml:space="preserve"> </w:t>
      </w:r>
      <w:r w:rsidR="000F0ACB" w:rsidRPr="00FC08E7">
        <w:rPr>
          <w:lang w:val="lt-LT"/>
        </w:rPr>
        <w:t xml:space="preserve">nuo rašytinio pranešimo apie jos priimtą sprendimą išsiuntimo pretenziją pateikusiam </w:t>
      </w:r>
      <w:r w:rsidR="003E6FCA" w:rsidRPr="00FC08E7">
        <w:rPr>
          <w:lang w:val="lt-LT"/>
        </w:rPr>
        <w:t>d</w:t>
      </w:r>
      <w:r w:rsidR="000F0ACB" w:rsidRPr="00FC08E7">
        <w:rPr>
          <w:lang w:val="lt-LT"/>
        </w:rPr>
        <w:t xml:space="preserve">alyviui, suinteresuotiems </w:t>
      </w:r>
      <w:r w:rsidR="003E6FCA" w:rsidRPr="00FC08E7">
        <w:rPr>
          <w:lang w:val="lt-LT"/>
        </w:rPr>
        <w:t>k</w:t>
      </w:r>
      <w:r w:rsidR="000F0ACB" w:rsidRPr="00FC08E7">
        <w:rPr>
          <w:lang w:val="lt-LT"/>
        </w:rPr>
        <w:t xml:space="preserve">andidatams ir suinteresuotiems dalyviams dienos, o jeigu šis pranešimas nebuvo siunčiamas elektroninėmis priemonėmis, – ne anksčiau kaip po 15 dienų.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63FB779"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p>
    <w:p w14:paraId="37E4254C" w14:textId="7FF01700"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w:t>
      </w:r>
      <w:r w:rsidR="00157694">
        <w:rPr>
          <w:color w:val="000000"/>
          <w:lang w:val="lt-LT"/>
        </w:rPr>
        <w:t xml:space="preserve"> </w:t>
      </w:r>
      <w:r w:rsidR="00157694" w:rsidRPr="00793649">
        <w:rPr>
          <w:i/>
          <w:iCs/>
          <w:color w:val="000000"/>
          <w:lang w:val="lt-LT"/>
        </w:rPr>
        <w:t xml:space="preserve">(supaprastintų </w:t>
      </w:r>
      <w:r w:rsidR="00655F3D" w:rsidRPr="00793649">
        <w:rPr>
          <w:i/>
          <w:iCs/>
          <w:color w:val="000000"/>
          <w:lang w:val="lt-LT"/>
        </w:rPr>
        <w:t>pirkimų atveju)</w:t>
      </w:r>
      <w:r w:rsidR="00E94B94" w:rsidRPr="00FC08E7">
        <w:rPr>
          <w:color w:val="000000"/>
          <w:lang w:val="lt-LT"/>
        </w:rPr>
        <w:t xml:space="preserve">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8" w:name="_Hlk91498650"/>
      <w:r w:rsidRPr="00FC08E7">
        <w:rPr>
          <w:rFonts w:asciiTheme="minorHAnsi" w:hAnsiTheme="minorHAnsi" w:cstheme="minorHAnsi"/>
          <w:color w:val="auto"/>
          <w:lang w:val="lt-LT"/>
        </w:rPr>
        <w:t xml:space="preserve"> </w:t>
      </w:r>
      <w:bookmarkStart w:id="129"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9"/>
      <w:r w:rsidR="005F09F0" w:rsidRPr="00FC08E7">
        <w:rPr>
          <w:rFonts w:asciiTheme="minorHAnsi" w:hAnsiTheme="minorHAnsi" w:cstheme="minorHAnsi"/>
          <w:color w:val="auto"/>
          <w:lang w:val="lt-LT"/>
        </w:rPr>
        <w:tab/>
      </w:r>
      <w:bookmarkEnd w:id="128"/>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lastRenderedPageBreak/>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AE1267">
      <w:headerReference w:type="first" r:id="rId16"/>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4CA28" w14:textId="77777777" w:rsidR="00CF50B5" w:rsidRDefault="00CF50B5" w:rsidP="00184B8C">
      <w:pPr>
        <w:spacing w:after="0" w:line="240" w:lineRule="auto"/>
      </w:pPr>
      <w:r>
        <w:separator/>
      </w:r>
    </w:p>
  </w:endnote>
  <w:endnote w:type="continuationSeparator" w:id="0">
    <w:p w14:paraId="267C5416" w14:textId="77777777" w:rsidR="00CF50B5" w:rsidRDefault="00CF50B5" w:rsidP="00184B8C">
      <w:pPr>
        <w:spacing w:after="0" w:line="240" w:lineRule="auto"/>
      </w:pPr>
      <w:r>
        <w:continuationSeparator/>
      </w:r>
    </w:p>
  </w:endnote>
  <w:endnote w:type="continuationNotice" w:id="1">
    <w:p w14:paraId="7F786C98" w14:textId="77777777" w:rsidR="00CF50B5" w:rsidRDefault="00CF5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4729D" w14:textId="77777777" w:rsidR="00CF50B5" w:rsidRDefault="00CF50B5" w:rsidP="00184B8C">
      <w:pPr>
        <w:spacing w:after="0" w:line="240" w:lineRule="auto"/>
      </w:pPr>
      <w:r>
        <w:separator/>
      </w:r>
    </w:p>
  </w:footnote>
  <w:footnote w:type="continuationSeparator" w:id="0">
    <w:p w14:paraId="59820429" w14:textId="77777777" w:rsidR="00CF50B5" w:rsidRDefault="00CF50B5" w:rsidP="00184B8C">
      <w:pPr>
        <w:spacing w:after="0" w:line="240" w:lineRule="auto"/>
      </w:pPr>
      <w:r>
        <w:continuationSeparator/>
      </w:r>
    </w:p>
  </w:footnote>
  <w:footnote w:type="continuationNotice" w:id="1">
    <w:p w14:paraId="02DAC753" w14:textId="77777777" w:rsidR="00CF50B5" w:rsidRDefault="00CF50B5">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77777777"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0352" w14:textId="6E87FD2D" w:rsidR="00B8491D" w:rsidRPr="00B8491D" w:rsidRDefault="00B8491D" w:rsidP="00B8491D">
    <w:pPr>
      <w:keepNext/>
      <w:keepLines/>
      <w:spacing w:before="120"/>
      <w:ind w:left="5103"/>
      <w:jc w:val="right"/>
      <w:outlineLvl w:val="1"/>
      <w:rPr>
        <w:rFonts w:eastAsia="Calibri"/>
        <w:b/>
        <w:bCs/>
        <w:color w:val="FF0000"/>
        <w:sz w:val="22"/>
        <w:szCs w:val="22"/>
      </w:rPr>
    </w:pPr>
    <w:proofErr w:type="spellStart"/>
    <w:r w:rsidRPr="00B8491D">
      <w:rPr>
        <w:rFonts w:eastAsia="Calibri"/>
        <w:b/>
        <w:bCs/>
        <w:color w:val="FF0000"/>
        <w:sz w:val="22"/>
        <w:szCs w:val="22"/>
      </w:rPr>
      <w:t>Pakoreguota</w:t>
    </w:r>
    <w:proofErr w:type="spellEnd"/>
    <w:r w:rsidRPr="00B8491D">
      <w:rPr>
        <w:rFonts w:eastAsia="Calibri"/>
        <w:b/>
        <w:bCs/>
        <w:color w:val="FF0000"/>
        <w:sz w:val="22"/>
        <w:szCs w:val="22"/>
      </w:rPr>
      <w:t xml:space="preserve"> 2024.</w:t>
    </w:r>
    <w:r>
      <w:rPr>
        <w:rFonts w:eastAsia="Calibri"/>
        <w:b/>
        <w:bCs/>
        <w:color w:val="FF0000"/>
        <w:sz w:val="22"/>
        <w:szCs w:val="22"/>
      </w:rPr>
      <w:t>11.28</w:t>
    </w:r>
  </w:p>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16338604">
    <w:abstractNumId w:val="63"/>
  </w:num>
  <w:num w:numId="2" w16cid:durableId="2094472572">
    <w:abstractNumId w:val="28"/>
  </w:num>
  <w:num w:numId="3" w16cid:durableId="1750082281">
    <w:abstractNumId w:val="20"/>
  </w:num>
  <w:num w:numId="4" w16cid:durableId="665399968">
    <w:abstractNumId w:val="40"/>
  </w:num>
  <w:num w:numId="5" w16cid:durableId="1697540510">
    <w:abstractNumId w:val="14"/>
  </w:num>
  <w:num w:numId="6" w16cid:durableId="885064077">
    <w:abstractNumId w:val="4"/>
  </w:num>
  <w:num w:numId="7" w16cid:durableId="186257459">
    <w:abstractNumId w:val="44"/>
  </w:num>
  <w:num w:numId="8" w16cid:durableId="144904013">
    <w:abstractNumId w:val="35"/>
  </w:num>
  <w:num w:numId="9" w16cid:durableId="1585190336">
    <w:abstractNumId w:val="33"/>
  </w:num>
  <w:num w:numId="10" w16cid:durableId="1855412297">
    <w:abstractNumId w:val="38"/>
  </w:num>
  <w:num w:numId="11" w16cid:durableId="1798403653">
    <w:abstractNumId w:val="15"/>
  </w:num>
  <w:num w:numId="12" w16cid:durableId="779109307">
    <w:abstractNumId w:val="55"/>
  </w:num>
  <w:num w:numId="13" w16cid:durableId="1079062938">
    <w:abstractNumId w:val="29"/>
  </w:num>
  <w:num w:numId="14" w16cid:durableId="922303229">
    <w:abstractNumId w:val="1"/>
  </w:num>
  <w:num w:numId="15" w16cid:durableId="1035157304">
    <w:abstractNumId w:val="7"/>
  </w:num>
  <w:num w:numId="16" w16cid:durableId="1834025766">
    <w:abstractNumId w:val="46"/>
  </w:num>
  <w:num w:numId="17" w16cid:durableId="477042473">
    <w:abstractNumId w:val="60"/>
  </w:num>
  <w:num w:numId="18" w16cid:durableId="1857884577">
    <w:abstractNumId w:val="53"/>
  </w:num>
  <w:num w:numId="19" w16cid:durableId="544147568">
    <w:abstractNumId w:val="6"/>
  </w:num>
  <w:num w:numId="20" w16cid:durableId="1222790698">
    <w:abstractNumId w:val="49"/>
  </w:num>
  <w:num w:numId="21" w16cid:durableId="1714190001">
    <w:abstractNumId w:val="43"/>
  </w:num>
  <w:num w:numId="22" w16cid:durableId="1537423542">
    <w:abstractNumId w:val="22"/>
  </w:num>
  <w:num w:numId="23" w16cid:durableId="1914656695">
    <w:abstractNumId w:val="19"/>
  </w:num>
  <w:num w:numId="24" w16cid:durableId="1425416547">
    <w:abstractNumId w:val="45"/>
  </w:num>
  <w:num w:numId="25" w16cid:durableId="2021007335">
    <w:abstractNumId w:val="48"/>
  </w:num>
  <w:num w:numId="26" w16cid:durableId="736587689">
    <w:abstractNumId w:val="67"/>
  </w:num>
  <w:num w:numId="27" w16cid:durableId="757092226">
    <w:abstractNumId w:val="50"/>
  </w:num>
  <w:num w:numId="28" w16cid:durableId="929267268">
    <w:abstractNumId w:val="57"/>
  </w:num>
  <w:num w:numId="29" w16cid:durableId="1756172427">
    <w:abstractNumId w:val="13"/>
  </w:num>
  <w:num w:numId="30" w16cid:durableId="1764180669">
    <w:abstractNumId w:val="69"/>
  </w:num>
  <w:num w:numId="31" w16cid:durableId="2107380029">
    <w:abstractNumId w:val="21"/>
  </w:num>
  <w:num w:numId="32" w16cid:durableId="231476840">
    <w:abstractNumId w:val="59"/>
  </w:num>
  <w:num w:numId="33" w16cid:durableId="1386490183">
    <w:abstractNumId w:val="37"/>
  </w:num>
  <w:num w:numId="34" w16cid:durableId="989097000">
    <w:abstractNumId w:val="65"/>
  </w:num>
  <w:num w:numId="35" w16cid:durableId="1924097727">
    <w:abstractNumId w:val="17"/>
  </w:num>
  <w:num w:numId="36" w16cid:durableId="168911115">
    <w:abstractNumId w:val="25"/>
  </w:num>
  <w:num w:numId="37" w16cid:durableId="933585589">
    <w:abstractNumId w:val="26"/>
  </w:num>
  <w:num w:numId="38" w16cid:durableId="849686218">
    <w:abstractNumId w:val="2"/>
  </w:num>
  <w:num w:numId="39" w16cid:durableId="647250211">
    <w:abstractNumId w:val="5"/>
  </w:num>
  <w:num w:numId="40" w16cid:durableId="396514114">
    <w:abstractNumId w:val="8"/>
  </w:num>
  <w:num w:numId="41" w16cid:durableId="1586455790">
    <w:abstractNumId w:val="54"/>
  </w:num>
  <w:num w:numId="42" w16cid:durableId="1846045254">
    <w:abstractNumId w:val="34"/>
  </w:num>
  <w:num w:numId="43" w16cid:durableId="1386487947">
    <w:abstractNumId w:val="9"/>
  </w:num>
  <w:num w:numId="44" w16cid:durableId="710422424">
    <w:abstractNumId w:val="51"/>
  </w:num>
  <w:num w:numId="45" w16cid:durableId="1927499000">
    <w:abstractNumId w:val="0"/>
  </w:num>
  <w:num w:numId="46" w16cid:durableId="755634988">
    <w:abstractNumId w:val="30"/>
  </w:num>
  <w:num w:numId="47" w16cid:durableId="1726487657">
    <w:abstractNumId w:val="62"/>
  </w:num>
  <w:num w:numId="48" w16cid:durableId="2057047803">
    <w:abstractNumId w:val="16"/>
  </w:num>
  <w:num w:numId="49" w16cid:durableId="787158910">
    <w:abstractNumId w:val="10"/>
  </w:num>
  <w:num w:numId="50" w16cid:durableId="1609969003">
    <w:abstractNumId w:val="64"/>
  </w:num>
  <w:num w:numId="51" w16cid:durableId="592053281">
    <w:abstractNumId w:val="39"/>
  </w:num>
  <w:num w:numId="52" w16cid:durableId="431055710">
    <w:abstractNumId w:val="68"/>
  </w:num>
  <w:num w:numId="53" w16cid:durableId="893589742">
    <w:abstractNumId w:val="3"/>
  </w:num>
  <w:num w:numId="54" w16cid:durableId="1654331305">
    <w:abstractNumId w:val="61"/>
  </w:num>
  <w:num w:numId="55" w16cid:durableId="573007632">
    <w:abstractNumId w:val="23"/>
  </w:num>
  <w:num w:numId="56" w16cid:durableId="1160926370">
    <w:abstractNumId w:val="56"/>
  </w:num>
  <w:num w:numId="57" w16cid:durableId="602106757">
    <w:abstractNumId w:val="71"/>
  </w:num>
  <w:num w:numId="58" w16cid:durableId="103622339">
    <w:abstractNumId w:val="52"/>
  </w:num>
  <w:num w:numId="59" w16cid:durableId="1497840706">
    <w:abstractNumId w:val="58"/>
  </w:num>
  <w:num w:numId="60" w16cid:durableId="1200047525">
    <w:abstractNumId w:val="11"/>
  </w:num>
  <w:num w:numId="61" w16cid:durableId="248656660">
    <w:abstractNumId w:val="42"/>
  </w:num>
  <w:num w:numId="62" w16cid:durableId="557253795">
    <w:abstractNumId w:val="70"/>
  </w:num>
  <w:num w:numId="63" w16cid:durableId="1453282623">
    <w:abstractNumId w:val="41"/>
  </w:num>
  <w:num w:numId="64" w16cid:durableId="1902054660">
    <w:abstractNumId w:val="12"/>
  </w:num>
  <w:num w:numId="65" w16cid:durableId="566842594">
    <w:abstractNumId w:val="32"/>
  </w:num>
  <w:num w:numId="66" w16cid:durableId="1420713314">
    <w:abstractNumId w:val="36"/>
  </w:num>
  <w:num w:numId="67" w16cid:durableId="1913927498">
    <w:abstractNumId w:val="24"/>
  </w:num>
  <w:num w:numId="68" w16cid:durableId="472136868">
    <w:abstractNumId w:val="47"/>
  </w:num>
  <w:num w:numId="69" w16cid:durableId="670330677">
    <w:abstractNumId w:val="27"/>
  </w:num>
  <w:num w:numId="70" w16cid:durableId="988940080">
    <w:abstractNumId w:val="18"/>
  </w:num>
  <w:num w:numId="71" w16cid:durableId="2556842">
    <w:abstractNumId w:val="31"/>
  </w:num>
  <w:num w:numId="72" w16cid:durableId="726992206">
    <w:abstractNumId w:val="66"/>
  </w:num>
  <w:num w:numId="73" w16cid:durableId="608704446">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15AF"/>
    <w:rsid w:val="0001253C"/>
    <w:rsid w:val="000142E7"/>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D2E"/>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100093"/>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47F83"/>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297E"/>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7793"/>
    <w:rsid w:val="003201A8"/>
    <w:rsid w:val="00320843"/>
    <w:rsid w:val="00322F49"/>
    <w:rsid w:val="00323F1A"/>
    <w:rsid w:val="00325D65"/>
    <w:rsid w:val="00326253"/>
    <w:rsid w:val="003301BC"/>
    <w:rsid w:val="00331A80"/>
    <w:rsid w:val="00333288"/>
    <w:rsid w:val="00333DA7"/>
    <w:rsid w:val="00334CC6"/>
    <w:rsid w:val="0033609F"/>
    <w:rsid w:val="0033793C"/>
    <w:rsid w:val="00342665"/>
    <w:rsid w:val="0034415C"/>
    <w:rsid w:val="003443A5"/>
    <w:rsid w:val="003449CF"/>
    <w:rsid w:val="00344B67"/>
    <w:rsid w:val="00344CBA"/>
    <w:rsid w:val="00344EB8"/>
    <w:rsid w:val="003452A8"/>
    <w:rsid w:val="003465F6"/>
    <w:rsid w:val="00346B24"/>
    <w:rsid w:val="00346E6A"/>
    <w:rsid w:val="00347E51"/>
    <w:rsid w:val="003513DE"/>
    <w:rsid w:val="0035166C"/>
    <w:rsid w:val="00351AAB"/>
    <w:rsid w:val="003521A8"/>
    <w:rsid w:val="00352D37"/>
    <w:rsid w:val="00352DB6"/>
    <w:rsid w:val="00352F44"/>
    <w:rsid w:val="00356893"/>
    <w:rsid w:val="00357D40"/>
    <w:rsid w:val="0036054C"/>
    <w:rsid w:val="00360F8D"/>
    <w:rsid w:val="00361025"/>
    <w:rsid w:val="00364200"/>
    <w:rsid w:val="00364D6D"/>
    <w:rsid w:val="00365F07"/>
    <w:rsid w:val="00367671"/>
    <w:rsid w:val="003676DC"/>
    <w:rsid w:val="00370D99"/>
    <w:rsid w:val="0037113E"/>
    <w:rsid w:val="00371215"/>
    <w:rsid w:val="00374030"/>
    <w:rsid w:val="0038274D"/>
    <w:rsid w:val="003839B2"/>
    <w:rsid w:val="003839EB"/>
    <w:rsid w:val="003844CE"/>
    <w:rsid w:val="003868BC"/>
    <w:rsid w:val="003905C5"/>
    <w:rsid w:val="003915E2"/>
    <w:rsid w:val="00391F1F"/>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32C2"/>
    <w:rsid w:val="003D46CB"/>
    <w:rsid w:val="003D57D4"/>
    <w:rsid w:val="003D5954"/>
    <w:rsid w:val="003D65E3"/>
    <w:rsid w:val="003D68A3"/>
    <w:rsid w:val="003D6DF9"/>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133"/>
    <w:rsid w:val="00427C59"/>
    <w:rsid w:val="004312EA"/>
    <w:rsid w:val="004316AF"/>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7209"/>
    <w:rsid w:val="00460123"/>
    <w:rsid w:val="00461DF2"/>
    <w:rsid w:val="00463532"/>
    <w:rsid w:val="0046498E"/>
    <w:rsid w:val="00464E43"/>
    <w:rsid w:val="00470474"/>
    <w:rsid w:val="00471E3D"/>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FF6"/>
    <w:rsid w:val="004E11A9"/>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8D9"/>
    <w:rsid w:val="00505A89"/>
    <w:rsid w:val="00512540"/>
    <w:rsid w:val="00512D8D"/>
    <w:rsid w:val="0051437B"/>
    <w:rsid w:val="00514C95"/>
    <w:rsid w:val="00515153"/>
    <w:rsid w:val="00515411"/>
    <w:rsid w:val="005157AB"/>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3DFA"/>
    <w:rsid w:val="00546124"/>
    <w:rsid w:val="00546446"/>
    <w:rsid w:val="00546674"/>
    <w:rsid w:val="00546B00"/>
    <w:rsid w:val="00546C35"/>
    <w:rsid w:val="00546DF5"/>
    <w:rsid w:val="0054715D"/>
    <w:rsid w:val="00556425"/>
    <w:rsid w:val="00556A37"/>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252F"/>
    <w:rsid w:val="005E3990"/>
    <w:rsid w:val="005E6024"/>
    <w:rsid w:val="005F09F0"/>
    <w:rsid w:val="005F1F10"/>
    <w:rsid w:val="005F1F5A"/>
    <w:rsid w:val="005F3A2D"/>
    <w:rsid w:val="005F6D8B"/>
    <w:rsid w:val="005F7FD6"/>
    <w:rsid w:val="00600814"/>
    <w:rsid w:val="006010BF"/>
    <w:rsid w:val="0060174B"/>
    <w:rsid w:val="00601932"/>
    <w:rsid w:val="00602695"/>
    <w:rsid w:val="006030AB"/>
    <w:rsid w:val="006031CB"/>
    <w:rsid w:val="0060417F"/>
    <w:rsid w:val="00605323"/>
    <w:rsid w:val="006060D4"/>
    <w:rsid w:val="00606AC7"/>
    <w:rsid w:val="00606E5F"/>
    <w:rsid w:val="00607064"/>
    <w:rsid w:val="0061014B"/>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3356"/>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9785C"/>
    <w:rsid w:val="006A087C"/>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5D44"/>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5951"/>
    <w:rsid w:val="00705C6F"/>
    <w:rsid w:val="00706747"/>
    <w:rsid w:val="0070677A"/>
    <w:rsid w:val="00707844"/>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A76"/>
    <w:rsid w:val="0074240B"/>
    <w:rsid w:val="00743792"/>
    <w:rsid w:val="00744501"/>
    <w:rsid w:val="0074495F"/>
    <w:rsid w:val="0074655B"/>
    <w:rsid w:val="00750B40"/>
    <w:rsid w:val="0075310D"/>
    <w:rsid w:val="00755E44"/>
    <w:rsid w:val="00755F89"/>
    <w:rsid w:val="00757569"/>
    <w:rsid w:val="00757CC8"/>
    <w:rsid w:val="0076184F"/>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F042B"/>
    <w:rsid w:val="007F1290"/>
    <w:rsid w:val="007F38A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D4C"/>
    <w:rsid w:val="0083101C"/>
    <w:rsid w:val="008310D3"/>
    <w:rsid w:val="008316DE"/>
    <w:rsid w:val="00831F17"/>
    <w:rsid w:val="00832FEA"/>
    <w:rsid w:val="00840EBC"/>
    <w:rsid w:val="00841D18"/>
    <w:rsid w:val="00842C76"/>
    <w:rsid w:val="00843380"/>
    <w:rsid w:val="00846085"/>
    <w:rsid w:val="0084736A"/>
    <w:rsid w:val="00847DE3"/>
    <w:rsid w:val="00852169"/>
    <w:rsid w:val="00852B48"/>
    <w:rsid w:val="008534C6"/>
    <w:rsid w:val="008537DC"/>
    <w:rsid w:val="0085395A"/>
    <w:rsid w:val="0085456D"/>
    <w:rsid w:val="00855935"/>
    <w:rsid w:val="00856D1E"/>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4742"/>
    <w:rsid w:val="008C510C"/>
    <w:rsid w:val="008C5611"/>
    <w:rsid w:val="008C5789"/>
    <w:rsid w:val="008C6859"/>
    <w:rsid w:val="008C74DD"/>
    <w:rsid w:val="008D07A2"/>
    <w:rsid w:val="008D0E70"/>
    <w:rsid w:val="008D1E83"/>
    <w:rsid w:val="008D23D3"/>
    <w:rsid w:val="008D2620"/>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64C8"/>
    <w:rsid w:val="008F7425"/>
    <w:rsid w:val="00901104"/>
    <w:rsid w:val="00901E7F"/>
    <w:rsid w:val="00904A65"/>
    <w:rsid w:val="00904BFB"/>
    <w:rsid w:val="00912CFF"/>
    <w:rsid w:val="00913572"/>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75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2F2F"/>
    <w:rsid w:val="009952E8"/>
    <w:rsid w:val="009953FD"/>
    <w:rsid w:val="009964D6"/>
    <w:rsid w:val="009A075C"/>
    <w:rsid w:val="009A1F2F"/>
    <w:rsid w:val="009A30D3"/>
    <w:rsid w:val="009B147B"/>
    <w:rsid w:val="009B1639"/>
    <w:rsid w:val="009B181C"/>
    <w:rsid w:val="009B1BFA"/>
    <w:rsid w:val="009B3E1A"/>
    <w:rsid w:val="009B66E1"/>
    <w:rsid w:val="009B70F6"/>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3198"/>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D70E4"/>
    <w:rsid w:val="00AE00E1"/>
    <w:rsid w:val="00AE00F0"/>
    <w:rsid w:val="00AE1267"/>
    <w:rsid w:val="00AF012A"/>
    <w:rsid w:val="00AF20C8"/>
    <w:rsid w:val="00AF2A10"/>
    <w:rsid w:val="00AF499F"/>
    <w:rsid w:val="00AF6336"/>
    <w:rsid w:val="00AF6E87"/>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1C1"/>
    <w:rsid w:val="00B52FAC"/>
    <w:rsid w:val="00B54FDF"/>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91D"/>
    <w:rsid w:val="00B84B2D"/>
    <w:rsid w:val="00B84C5F"/>
    <w:rsid w:val="00B8579C"/>
    <w:rsid w:val="00B87417"/>
    <w:rsid w:val="00B90F42"/>
    <w:rsid w:val="00B9171E"/>
    <w:rsid w:val="00B91DAC"/>
    <w:rsid w:val="00B94E3C"/>
    <w:rsid w:val="00B96861"/>
    <w:rsid w:val="00B96888"/>
    <w:rsid w:val="00B97DF3"/>
    <w:rsid w:val="00BA364A"/>
    <w:rsid w:val="00BA3CFD"/>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EFB"/>
    <w:rsid w:val="00BC57E1"/>
    <w:rsid w:val="00BC5F61"/>
    <w:rsid w:val="00BC65F1"/>
    <w:rsid w:val="00BC6C69"/>
    <w:rsid w:val="00BC7DF0"/>
    <w:rsid w:val="00BC7ED0"/>
    <w:rsid w:val="00BD0214"/>
    <w:rsid w:val="00BD18A4"/>
    <w:rsid w:val="00BD2AA8"/>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0B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3F2F"/>
    <w:rsid w:val="00D85AE8"/>
    <w:rsid w:val="00D86381"/>
    <w:rsid w:val="00D93875"/>
    <w:rsid w:val="00D93DD0"/>
    <w:rsid w:val="00D95360"/>
    <w:rsid w:val="00D95D76"/>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5C10"/>
    <w:rsid w:val="00DF72D8"/>
    <w:rsid w:val="00DF7AC4"/>
    <w:rsid w:val="00DF7AD3"/>
    <w:rsid w:val="00E01192"/>
    <w:rsid w:val="00E04347"/>
    <w:rsid w:val="00E0530A"/>
    <w:rsid w:val="00E056CD"/>
    <w:rsid w:val="00E06172"/>
    <w:rsid w:val="00E10586"/>
    <w:rsid w:val="00E1412E"/>
    <w:rsid w:val="00E14170"/>
    <w:rsid w:val="00E14FCB"/>
    <w:rsid w:val="00E160B2"/>
    <w:rsid w:val="00E171E3"/>
    <w:rsid w:val="00E21BBF"/>
    <w:rsid w:val="00E22555"/>
    <w:rsid w:val="00E23497"/>
    <w:rsid w:val="00E2488F"/>
    <w:rsid w:val="00E248A7"/>
    <w:rsid w:val="00E250C6"/>
    <w:rsid w:val="00E33F0B"/>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21D0E"/>
    <w:rsid w:val="00F21EF0"/>
    <w:rsid w:val="00F22929"/>
    <w:rsid w:val="00F23EF4"/>
    <w:rsid w:val="00F2782D"/>
    <w:rsid w:val="00F30B47"/>
    <w:rsid w:val="00F31804"/>
    <w:rsid w:val="00F3554E"/>
    <w:rsid w:val="00F40680"/>
    <w:rsid w:val="00F42204"/>
    <w:rsid w:val="00F45944"/>
    <w:rsid w:val="00F45EEE"/>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4A9C0FB-AED4-4D25-8693-F97A8FB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ebvpd.eviesiejipirkimai.lt/espd-web/" TargetMode="External"/><Relationship Id="rId10" Type="http://schemas.openxmlformats.org/officeDocument/2006/relationships/hyperlink" Target="https://cvpp.eviesiejipirkimai.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17</Pages>
  <Words>9530</Words>
  <Characters>54324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63727</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137</cp:revision>
  <dcterms:created xsi:type="dcterms:W3CDTF">2023-03-06T14:14:00Z</dcterms:created>
  <dcterms:modified xsi:type="dcterms:W3CDTF">2024-11-28T15:20:00Z</dcterms:modified>
</cp:coreProperties>
</file>