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8B4ACA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B4ACA">
        <w:rPr>
          <w:rFonts w:ascii="Arial" w:eastAsia="Times New Roman" w:hAnsi="Arial" w:cs="Arial"/>
          <w:b/>
          <w:bCs/>
          <w:sz w:val="24"/>
          <w:szCs w:val="24"/>
        </w:rPr>
        <w:t xml:space="preserve">VIEŠOJI ĮSTAIGA </w:t>
      </w:r>
      <w:r w:rsidR="00733E0D" w:rsidRPr="008B4ACA">
        <w:rPr>
          <w:rFonts w:ascii="Arial" w:eastAsia="Times New Roman" w:hAnsi="Arial" w:cs="Arial"/>
          <w:b/>
          <w:bCs/>
          <w:sz w:val="24"/>
          <w:szCs w:val="24"/>
        </w:rPr>
        <w:t>KLAIPĖDOS RAJONO SAVIVALDYBĖS</w:t>
      </w:r>
    </w:p>
    <w:p w14:paraId="4A8A822E" w14:textId="70A36B98" w:rsidR="00733E0D" w:rsidRPr="008B4ACA" w:rsidRDefault="00CA01CC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B4ACA">
        <w:rPr>
          <w:rFonts w:ascii="Arial" w:eastAsia="Times New Roman" w:hAnsi="Arial" w:cs="Arial"/>
          <w:b/>
          <w:bCs/>
          <w:sz w:val="24"/>
          <w:szCs w:val="24"/>
        </w:rPr>
        <w:t>SVEIKATOS CENTRAS</w:t>
      </w:r>
    </w:p>
    <w:p w14:paraId="3EB0F0D5" w14:textId="77777777" w:rsidR="00733E0D" w:rsidRPr="008B4ACA" w:rsidRDefault="00733E0D" w:rsidP="00733E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6AB02C" w14:textId="5B88EF03" w:rsidR="00733E0D" w:rsidRPr="008B4ACA" w:rsidRDefault="00733E0D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463955" w14:textId="3412334B" w:rsidR="006C2DAB" w:rsidRPr="008B4ACA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468DAD" w14:textId="77777777" w:rsidR="006C2DAB" w:rsidRPr="008B4ACA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8B4ACA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8B4ACA" w:rsidRDefault="0064297C" w:rsidP="006C2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>Tiekėjams</w:t>
            </w:r>
            <w:r w:rsidR="006C2DAB" w:rsidRPr="008B4ACA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05635792" w:rsidR="006C2DAB" w:rsidRPr="008B4ACA" w:rsidRDefault="00080C6F" w:rsidP="00733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4AC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8B4AC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2025-02-</w:t>
            </w:r>
            <w:r w:rsidR="009376A7" w:rsidRPr="008B4AC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</w:t>
            </w:r>
          </w:p>
        </w:tc>
      </w:tr>
    </w:tbl>
    <w:p w14:paraId="3DDBE8DA" w14:textId="267FC89E" w:rsidR="00E071E6" w:rsidRPr="008B4ACA" w:rsidRDefault="00E071E6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00F2C" w14:textId="77777777" w:rsidR="001F2D09" w:rsidRPr="008B4ACA" w:rsidRDefault="001F2D09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2CFB" w14:textId="0F7B5242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 xml:space="preserve">Gerb. </w:t>
      </w:r>
      <w:r w:rsidR="00E04B97" w:rsidRPr="008B4ACA">
        <w:rPr>
          <w:rFonts w:ascii="Arial" w:hAnsi="Arial" w:cs="Arial"/>
          <w:sz w:val="24"/>
          <w:szCs w:val="24"/>
        </w:rPr>
        <w:t>Tiekėjai,</w:t>
      </w:r>
    </w:p>
    <w:p w14:paraId="19F443FB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B259E6" w14:textId="4E8462C0" w:rsidR="003E5CE1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>Dėkojame už Jūsų pateiktas pastabas ir pasiūlymus dėl</w:t>
      </w:r>
      <w:r w:rsidR="00816955" w:rsidRPr="008B4ACA">
        <w:rPr>
          <w:rFonts w:ascii="Arial" w:hAnsi="Arial" w:cs="Arial"/>
          <w:i/>
          <w:iCs/>
          <w:sz w:val="24"/>
          <w:szCs w:val="24"/>
        </w:rPr>
        <w:t xml:space="preserve"> aukšto intensyvumo lazerio su </w:t>
      </w:r>
      <w:proofErr w:type="spellStart"/>
      <w:r w:rsidR="00816955" w:rsidRPr="008B4ACA">
        <w:rPr>
          <w:rFonts w:ascii="Arial" w:hAnsi="Arial" w:cs="Arial"/>
          <w:i/>
          <w:iCs/>
          <w:sz w:val="24"/>
          <w:szCs w:val="24"/>
        </w:rPr>
        <w:t>robotine</w:t>
      </w:r>
      <w:proofErr w:type="spellEnd"/>
      <w:r w:rsidR="00816955" w:rsidRPr="008B4ACA">
        <w:rPr>
          <w:rFonts w:ascii="Arial" w:hAnsi="Arial" w:cs="Arial"/>
          <w:i/>
          <w:iCs/>
          <w:sz w:val="24"/>
          <w:szCs w:val="24"/>
        </w:rPr>
        <w:t xml:space="preserve"> skenavimo sistema</w:t>
      </w:r>
      <w:r w:rsidRPr="008B4ACA">
        <w:rPr>
          <w:rFonts w:ascii="Arial" w:hAnsi="Arial" w:cs="Arial"/>
          <w:sz w:val="24"/>
          <w:szCs w:val="24"/>
        </w:rPr>
        <w:t xml:space="preserve"> techninės specifikacijos. Vertiname tiekėjų įsitraukimą į rinkos analizės procesą, kuris padeda mums užtikrinti, kad pirkimo sąlygos būtų aiškios, pagrįstos ir suderintos su rinkoje prieinamais sprendimais.</w:t>
      </w:r>
    </w:p>
    <w:p w14:paraId="3D301B4C" w14:textId="77777777" w:rsidR="008B4ACA" w:rsidRPr="008B4ACA" w:rsidRDefault="008B4ACA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F9AE7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>Žemiau pateikiame mūsų atsakymus į Jūsų pateiktas pastabas:</w:t>
      </w:r>
    </w:p>
    <w:p w14:paraId="7B9826F2" w14:textId="77777777" w:rsidR="00733E0D" w:rsidRPr="008B4ACA" w:rsidRDefault="00733E0D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8B4ACA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8B4ACA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8B4ACA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8B4ACA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:rsidRPr="008B4ACA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5625075D" w:rsidR="003E5CE1" w:rsidRPr="008B4ACA" w:rsidRDefault="000C3B8A" w:rsidP="000C3B8A">
            <w:pPr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697" w:type="dxa"/>
          </w:tcPr>
          <w:p w14:paraId="4283C4F6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Papildomai siūlome įtraukti: </w:t>
            </w:r>
          </w:p>
          <w:p w14:paraId="1B65C2A9" w14:textId="4B914853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1. Bangų skaičius ir jų ilgis. Ne mažiau kaip 4 vnt. </w:t>
            </w:r>
          </w:p>
          <w:p w14:paraId="29E97BA1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Bangų ilgiai: 660 </w:t>
            </w:r>
            <w:proofErr w:type="spellStart"/>
            <w:r w:rsidRPr="008B4ACA">
              <w:t>nm</w:t>
            </w:r>
            <w:proofErr w:type="spellEnd"/>
            <w:r w:rsidRPr="008B4ACA">
              <w:t xml:space="preserve"> +/-10nm </w:t>
            </w:r>
          </w:p>
          <w:p w14:paraId="7D3885BC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800 </w:t>
            </w:r>
            <w:proofErr w:type="spellStart"/>
            <w:r w:rsidRPr="008B4ACA">
              <w:t>nm</w:t>
            </w:r>
            <w:proofErr w:type="spellEnd"/>
            <w:r w:rsidRPr="008B4ACA">
              <w:t xml:space="preserve"> +/-15nm </w:t>
            </w:r>
          </w:p>
          <w:p w14:paraId="7C6F6A9D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905nm +/-15nm </w:t>
            </w:r>
          </w:p>
          <w:p w14:paraId="595A09D6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970nm +/-15nm </w:t>
            </w:r>
          </w:p>
          <w:p w14:paraId="6E3839DF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2. Mobilumas. Lazerio aparato svoris iki 2kg. </w:t>
            </w:r>
          </w:p>
          <w:p w14:paraId="7E1105C3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3. Procedūrų trukmė ne ilgiau kaip 3-8min. </w:t>
            </w:r>
          </w:p>
          <w:p w14:paraId="6E16FD74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4. </w:t>
            </w:r>
            <w:proofErr w:type="spellStart"/>
            <w:r w:rsidRPr="008B4ACA">
              <w:t>Aplikatorius</w:t>
            </w:r>
            <w:proofErr w:type="spellEnd"/>
            <w:r w:rsidRPr="008B4ACA">
              <w:t xml:space="preserve"> su laikikliu/stovu sukasi ne tik 360 laipsnių kampu aplink savo ašį, bet ir į apačią ar viršų. </w:t>
            </w:r>
          </w:p>
          <w:p w14:paraId="03062F79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5. Einamasis lazerio techninis aptarnavimas atliekamas autorizuoto serviso ne dažniau kaip 1kartą kas 2 metus Lietuvoje. </w:t>
            </w:r>
          </w:p>
          <w:p w14:paraId="1F57F0D4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6. Nemokamas prisijungimas prie gamintojo akademijos, ligų gydymo protokolai </w:t>
            </w:r>
            <w:proofErr w:type="spellStart"/>
            <w:r w:rsidRPr="008B4ACA">
              <w:t>pdf</w:t>
            </w:r>
            <w:proofErr w:type="spellEnd"/>
            <w:r w:rsidRPr="008B4ACA">
              <w:t xml:space="preserve"> formatu suteikiami Pirkėjui po įsigijimo. </w:t>
            </w:r>
          </w:p>
          <w:p w14:paraId="0BBEAD84" w14:textId="77777777" w:rsidR="00B65368" w:rsidRPr="008B4ACA" w:rsidRDefault="00B65368" w:rsidP="00B65368">
            <w:pPr>
              <w:pStyle w:val="Default"/>
              <w:jc w:val="both"/>
            </w:pPr>
            <w:r w:rsidRPr="008B4ACA">
              <w:t xml:space="preserve">7. </w:t>
            </w:r>
            <w:r w:rsidRPr="008B4ACA">
              <w:rPr>
                <w:color w:val="202020"/>
              </w:rPr>
              <w:t xml:space="preserve">Lazerio aparatu gali dirbti ne tik gydytojas, bet ir slaugytoja, kineziterapeutas. </w:t>
            </w:r>
          </w:p>
          <w:p w14:paraId="6DF71BE3" w14:textId="23EBD9A7" w:rsidR="003E5CE1" w:rsidRPr="008B4ACA" w:rsidRDefault="003E5CE1" w:rsidP="00816955">
            <w:pPr>
              <w:tabs>
                <w:tab w:val="left" w:pos="426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14:paraId="3BF5BCBD" w14:textId="04098F2A" w:rsidR="003E5CE1" w:rsidRPr="008B4ACA" w:rsidRDefault="00B65368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 xml:space="preserve">Dauguma jūsų pateiktų reikalavimų yra pertekliniai ir nereikalingi įstaigai. Šio pirkimo tikslas yra įsigyti aukščiausios skvarbos lazerio aparatą. Mobilumas nėra prioritetas, prietaiso naudojimo vieta numatyta viename skyriuje, </w:t>
            </w:r>
            <w:r w:rsidR="00F95344" w:rsidRPr="008B4ACA">
              <w:rPr>
                <w:rFonts w:ascii="Arial" w:hAnsi="Arial" w:cs="Arial"/>
                <w:sz w:val="24"/>
                <w:szCs w:val="24"/>
              </w:rPr>
              <w:t xml:space="preserve">todėl svoris neturi didelės įtakos. </w:t>
            </w:r>
            <w:proofErr w:type="spellStart"/>
            <w:r w:rsidR="00F95344" w:rsidRPr="008B4ACA">
              <w:rPr>
                <w:rFonts w:ascii="Arial" w:hAnsi="Arial" w:cs="Arial"/>
                <w:sz w:val="24"/>
                <w:szCs w:val="24"/>
              </w:rPr>
              <w:t>Aplikatoriaus</w:t>
            </w:r>
            <w:proofErr w:type="spellEnd"/>
            <w:r w:rsidR="00F95344" w:rsidRPr="008B4ACA">
              <w:rPr>
                <w:rFonts w:ascii="Arial" w:hAnsi="Arial" w:cs="Arial"/>
                <w:sz w:val="24"/>
                <w:szCs w:val="24"/>
              </w:rPr>
              <w:t xml:space="preserve"> laikiklio ypatumas judėti visomis kryptimis yra privalumas, tačiau dauguma gamintojų siūlo panašias opcijas. Į pateiktus siūlymus nebus atsižvelgta, reikalavimai galimai riboja konkurenciją, kadangi prašoma yra pridėti papildomų punktų. </w:t>
            </w:r>
          </w:p>
        </w:tc>
      </w:tr>
    </w:tbl>
    <w:p w14:paraId="016AFA73" w14:textId="77777777" w:rsidR="003E5CE1" w:rsidRPr="008B4ACA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72380" w14:textId="77777777" w:rsidR="00E04B97" w:rsidRPr="008B4ACA" w:rsidRDefault="00E04B97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1D38F" w14:textId="77777777" w:rsidR="00E04B97" w:rsidRPr="008B4ACA" w:rsidRDefault="00E04B97" w:rsidP="00E04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E04B97" w:rsidRPr="008B4ACA" w14:paraId="67D8E961" w14:textId="77777777" w:rsidTr="00E71F2F">
        <w:trPr>
          <w:jc w:val="center"/>
        </w:trPr>
        <w:tc>
          <w:tcPr>
            <w:tcW w:w="556" w:type="dxa"/>
            <w:vAlign w:val="center"/>
          </w:tcPr>
          <w:p w14:paraId="3FBDD29E" w14:textId="77777777" w:rsidR="00E04B97" w:rsidRPr="008B4ACA" w:rsidRDefault="00E04B97" w:rsidP="00E7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7045BDAE" w14:textId="77777777" w:rsidR="00E04B97" w:rsidRPr="008B4ACA" w:rsidRDefault="00E04B97" w:rsidP="00E7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3E8AA496" w14:textId="77777777" w:rsidR="00E04B97" w:rsidRPr="008B4ACA" w:rsidRDefault="00E04B97" w:rsidP="00E7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ACA">
              <w:rPr>
                <w:rFonts w:ascii="Arial" w:hAnsi="Arial" w:cs="Arial"/>
                <w:b/>
                <w:bCs/>
                <w:sz w:val="24"/>
                <w:szCs w:val="24"/>
              </w:rPr>
              <w:t>Atsakymas</w:t>
            </w:r>
          </w:p>
        </w:tc>
      </w:tr>
      <w:tr w:rsidR="00E04B97" w:rsidRPr="008B4ACA" w14:paraId="7B279019" w14:textId="77777777" w:rsidTr="00E71F2F">
        <w:trPr>
          <w:jc w:val="center"/>
        </w:trPr>
        <w:tc>
          <w:tcPr>
            <w:tcW w:w="556" w:type="dxa"/>
            <w:vAlign w:val="center"/>
          </w:tcPr>
          <w:p w14:paraId="077E14BE" w14:textId="77777777" w:rsidR="00E04B97" w:rsidRPr="008B4ACA" w:rsidRDefault="00E04B97" w:rsidP="00E71F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6" w:type="dxa"/>
            <w:gridSpan w:val="2"/>
            <w:vAlign w:val="center"/>
          </w:tcPr>
          <w:p w14:paraId="0AEE8316" w14:textId="77777777" w:rsidR="00E04B97" w:rsidRPr="008B4ACA" w:rsidRDefault="00E04B97" w:rsidP="00E71F2F">
            <w:pPr>
              <w:tabs>
                <w:tab w:val="left" w:pos="426"/>
              </w:tabs>
              <w:contextualSpacing/>
              <w:jc w:val="both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8B4A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Pirkimo objektas </w:t>
            </w:r>
            <w:r w:rsidRPr="008B4AC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aukšto intensyvumo lazerio su </w:t>
            </w:r>
            <w:proofErr w:type="spellStart"/>
            <w:r w:rsidRPr="008B4AC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robotine</w:t>
            </w:r>
            <w:proofErr w:type="spellEnd"/>
            <w:r w:rsidRPr="008B4AC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skenavimo sistema</w:t>
            </w:r>
            <w:r w:rsidRPr="008B4ACA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:</w:t>
            </w:r>
          </w:p>
        </w:tc>
      </w:tr>
      <w:tr w:rsidR="00E04B97" w:rsidRPr="008B4ACA" w14:paraId="1F0F5632" w14:textId="77777777" w:rsidTr="00E71F2F">
        <w:trPr>
          <w:jc w:val="center"/>
        </w:trPr>
        <w:tc>
          <w:tcPr>
            <w:tcW w:w="556" w:type="dxa"/>
          </w:tcPr>
          <w:p w14:paraId="37CFF642" w14:textId="77777777" w:rsidR="00E04B97" w:rsidRPr="008B4ACA" w:rsidRDefault="00E04B97" w:rsidP="00E71F2F">
            <w:pPr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697" w:type="dxa"/>
          </w:tcPr>
          <w:p w14:paraId="40272076" w14:textId="77777777" w:rsidR="00E04B97" w:rsidRPr="008B4ACA" w:rsidRDefault="00E04B97" w:rsidP="00E71F2F">
            <w:pPr>
              <w:tabs>
                <w:tab w:val="left" w:pos="426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4ACA">
              <w:rPr>
                <w:rFonts w:ascii="Arial" w:eastAsia="Calibri" w:hAnsi="Arial" w:cs="Arial"/>
                <w:b/>
                <w:sz w:val="24"/>
                <w:szCs w:val="24"/>
              </w:rPr>
              <w:t>Techninėje specifikacijoje nėra nurodyta lazerio galia</w:t>
            </w:r>
            <w:r w:rsidRPr="008B4ACA">
              <w:rPr>
                <w:rFonts w:ascii="Arial" w:eastAsia="Calibri" w:hAnsi="Arial" w:cs="Arial"/>
                <w:sz w:val="24"/>
                <w:szCs w:val="24"/>
              </w:rPr>
              <w:t>. Tikslingi ir naudinga nurodyti lazerio galią, kadangi perkančioji organizacija siekia įsigyti aukšto intensyvumo, tuomet apibrėžtis turi būti &gt;20 W galia. Rinkoje yra 20, 30, 60 W galios lazeriai, kurie gali būti pasiūlyti pagal šią specifikaciją, tačiau svarbu paminėti, kad didėjant lazerio galiai – didėja prietaiso pasiūlymo vertė. Siekiant abipusio supratimo tarp tiekėjo ir perkančiosios organizacijos – privaloma apibrėžti minimaliausią lazerio galią, kuri tenkintų perkančiosios organizacijos lūkesčius.</w:t>
            </w:r>
          </w:p>
        </w:tc>
        <w:tc>
          <w:tcPr>
            <w:tcW w:w="4709" w:type="dxa"/>
          </w:tcPr>
          <w:p w14:paraId="38152A95" w14:textId="77777777" w:rsidR="00E04B97" w:rsidRPr="008B4ACA" w:rsidRDefault="00E04B97" w:rsidP="00E7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>Atsižvelgus į pastabą, techninė specifikacija bus papildyta reikalavimu, kuriame nurodyta lazerio galia.</w:t>
            </w:r>
          </w:p>
        </w:tc>
      </w:tr>
      <w:tr w:rsidR="00E04B97" w:rsidRPr="008B4ACA" w14:paraId="04DA193C" w14:textId="77777777" w:rsidTr="00E71F2F">
        <w:trPr>
          <w:jc w:val="center"/>
        </w:trPr>
        <w:tc>
          <w:tcPr>
            <w:tcW w:w="556" w:type="dxa"/>
          </w:tcPr>
          <w:p w14:paraId="2A6A7B41" w14:textId="77777777" w:rsidR="00E04B97" w:rsidRPr="008B4ACA" w:rsidRDefault="00E04B97" w:rsidP="00E7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697" w:type="dxa"/>
          </w:tcPr>
          <w:p w14:paraId="52074434" w14:textId="77777777" w:rsidR="00E04B97" w:rsidRPr="008B4ACA" w:rsidRDefault="00E04B97" w:rsidP="00E71F2F">
            <w:pPr>
              <w:tabs>
                <w:tab w:val="left" w:pos="426"/>
              </w:tabs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4ACA">
              <w:rPr>
                <w:rFonts w:ascii="Arial" w:eastAsia="Calibri" w:hAnsi="Arial" w:cs="Arial"/>
                <w:b/>
                <w:sz w:val="24"/>
                <w:szCs w:val="24"/>
              </w:rPr>
              <w:t>Techninėje specifikacijoje nėra nurodyta lazerio valdymo sistema</w:t>
            </w:r>
            <w:r w:rsidRPr="008B4ACA">
              <w:rPr>
                <w:rFonts w:ascii="Arial" w:eastAsia="Calibri" w:hAnsi="Arial" w:cs="Arial"/>
                <w:sz w:val="24"/>
                <w:szCs w:val="24"/>
              </w:rPr>
              <w:t xml:space="preserve">. Ar lazeris bus valdomas naudojant </w:t>
            </w:r>
            <w:proofErr w:type="spellStart"/>
            <w:r w:rsidRPr="008B4ACA">
              <w:rPr>
                <w:rFonts w:ascii="Arial" w:eastAsia="Calibri" w:hAnsi="Arial" w:cs="Arial"/>
                <w:sz w:val="24"/>
                <w:szCs w:val="24"/>
              </w:rPr>
              <w:t>jutiklinį</w:t>
            </w:r>
            <w:proofErr w:type="spellEnd"/>
            <w:r w:rsidRPr="008B4ACA">
              <w:rPr>
                <w:rFonts w:ascii="Arial" w:eastAsia="Calibri" w:hAnsi="Arial" w:cs="Arial"/>
                <w:sz w:val="24"/>
                <w:szCs w:val="24"/>
              </w:rPr>
              <w:t xml:space="preserve"> ekraną, ar fizinius mygtukus ? Šis reikalavimas apibrėžia lazerio funkcionalumą ir patogų bei lengvą naudojimą operatoriui. </w:t>
            </w:r>
          </w:p>
        </w:tc>
        <w:tc>
          <w:tcPr>
            <w:tcW w:w="4709" w:type="dxa"/>
          </w:tcPr>
          <w:p w14:paraId="7BD065B0" w14:textId="77777777" w:rsidR="00E04B97" w:rsidRPr="008B4ACA" w:rsidRDefault="00E04B97" w:rsidP="00E71F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4ACA">
              <w:rPr>
                <w:rFonts w:ascii="Arial" w:hAnsi="Arial" w:cs="Arial"/>
                <w:sz w:val="24"/>
                <w:szCs w:val="24"/>
              </w:rPr>
              <w:t xml:space="preserve">Atsižvelgus į siūlymą techninę specifikaciją papildyti reikalavimu, nurodančiu prietaiso valdymo būdą, nutarta priimti siūlymą. Reikalavimuose bus nurodyta, kad prietaisas turėtų </w:t>
            </w:r>
            <w:proofErr w:type="spellStart"/>
            <w:r w:rsidRPr="008B4ACA">
              <w:rPr>
                <w:rFonts w:ascii="Arial" w:hAnsi="Arial" w:cs="Arial"/>
                <w:sz w:val="24"/>
                <w:szCs w:val="24"/>
              </w:rPr>
              <w:t>jutiklinį</w:t>
            </w:r>
            <w:proofErr w:type="spellEnd"/>
            <w:r w:rsidRPr="008B4ACA">
              <w:rPr>
                <w:rFonts w:ascii="Arial" w:hAnsi="Arial" w:cs="Arial"/>
                <w:sz w:val="24"/>
                <w:szCs w:val="24"/>
              </w:rPr>
              <w:t xml:space="preserve"> ekraną.</w:t>
            </w:r>
          </w:p>
        </w:tc>
      </w:tr>
    </w:tbl>
    <w:p w14:paraId="07224892" w14:textId="77777777" w:rsidR="00E04B97" w:rsidRPr="008B4ACA" w:rsidRDefault="00E04B97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2D0AA" w14:textId="73D51A1A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BFB33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>Dėkojame už bendradarbiavimą.</w:t>
      </w:r>
    </w:p>
    <w:p w14:paraId="5DC1452B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0AA9" w14:textId="77777777" w:rsidR="003E5CE1" w:rsidRPr="008B4ACA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t>Pagarbiai,</w:t>
      </w:r>
    </w:p>
    <w:p w14:paraId="20356A94" w14:textId="47CD48E0" w:rsidR="003E5CE1" w:rsidRPr="008B4ACA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ACA">
        <w:rPr>
          <w:rFonts w:ascii="Arial" w:hAnsi="Arial" w:cs="Arial"/>
          <w:sz w:val="24"/>
          <w:szCs w:val="24"/>
        </w:rPr>
        <w:br/>
      </w:r>
      <w:r w:rsidR="00CD6B2B" w:rsidRPr="008B4ACA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="00CD6B2B" w:rsidRPr="008B4ACA">
        <w:rPr>
          <w:rFonts w:ascii="Arial" w:hAnsi="Arial" w:cs="Arial"/>
          <w:b/>
          <w:bCs/>
          <w:sz w:val="24"/>
          <w:szCs w:val="24"/>
        </w:rPr>
        <w:tab/>
      </w:r>
      <w:r w:rsidR="00CD6B2B" w:rsidRPr="008B4ACA">
        <w:rPr>
          <w:rFonts w:ascii="Arial" w:hAnsi="Arial" w:cs="Arial"/>
          <w:b/>
          <w:bCs/>
          <w:sz w:val="24"/>
          <w:szCs w:val="24"/>
        </w:rPr>
        <w:tab/>
      </w:r>
      <w:r w:rsidR="00CD6B2B" w:rsidRPr="008B4ACA">
        <w:rPr>
          <w:rFonts w:ascii="Arial" w:hAnsi="Arial" w:cs="Arial"/>
          <w:b/>
          <w:bCs/>
          <w:sz w:val="24"/>
          <w:szCs w:val="24"/>
        </w:rPr>
        <w:tab/>
      </w:r>
      <w:r w:rsidR="00CD6B2B" w:rsidRPr="008B4ACA">
        <w:rPr>
          <w:rFonts w:ascii="Arial" w:hAnsi="Arial" w:cs="Arial"/>
          <w:b/>
          <w:bCs/>
          <w:sz w:val="24"/>
          <w:szCs w:val="24"/>
        </w:rPr>
        <w:tab/>
      </w:r>
      <w:r w:rsidR="00CD6B2B" w:rsidRPr="008B4ACA">
        <w:rPr>
          <w:rFonts w:ascii="Arial" w:hAnsi="Arial" w:cs="Arial"/>
          <w:b/>
          <w:bCs/>
          <w:sz w:val="24"/>
          <w:szCs w:val="24"/>
        </w:rPr>
        <w:tab/>
        <w:t>Edmundė Maželienė</w:t>
      </w:r>
    </w:p>
    <w:sectPr w:rsidR="003E5CE1" w:rsidRPr="008B4ACA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9BB2" w14:textId="77777777" w:rsidR="004809CA" w:rsidRDefault="004809CA" w:rsidP="00937797">
      <w:pPr>
        <w:spacing w:after="0" w:line="240" w:lineRule="auto"/>
      </w:pPr>
      <w:r>
        <w:separator/>
      </w:r>
    </w:p>
  </w:endnote>
  <w:endnote w:type="continuationSeparator" w:id="0">
    <w:p w14:paraId="64FD7E39" w14:textId="77777777" w:rsidR="004809CA" w:rsidRDefault="004809CA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9D98" w14:textId="77777777" w:rsidR="004809CA" w:rsidRDefault="004809CA" w:rsidP="00937797">
      <w:pPr>
        <w:spacing w:after="0" w:line="240" w:lineRule="auto"/>
      </w:pPr>
      <w:r>
        <w:separator/>
      </w:r>
    </w:p>
  </w:footnote>
  <w:footnote w:type="continuationSeparator" w:id="0">
    <w:p w14:paraId="431D0919" w14:textId="77777777" w:rsidR="004809CA" w:rsidRDefault="004809CA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6AA"/>
    <w:multiLevelType w:val="hybridMultilevel"/>
    <w:tmpl w:val="0360D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2"/>
  </w:num>
  <w:num w:numId="2" w16cid:durableId="499010013">
    <w:abstractNumId w:val="1"/>
  </w:num>
  <w:num w:numId="3" w16cid:durableId="150582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80C6F"/>
    <w:rsid w:val="000C3B8A"/>
    <w:rsid w:val="000E716D"/>
    <w:rsid w:val="00106DA7"/>
    <w:rsid w:val="00192C69"/>
    <w:rsid w:val="001B0476"/>
    <w:rsid w:val="001C4245"/>
    <w:rsid w:val="001F2D09"/>
    <w:rsid w:val="001F563D"/>
    <w:rsid w:val="002123E7"/>
    <w:rsid w:val="0025077E"/>
    <w:rsid w:val="002B058E"/>
    <w:rsid w:val="00307837"/>
    <w:rsid w:val="003408A3"/>
    <w:rsid w:val="003603DD"/>
    <w:rsid w:val="00360C4F"/>
    <w:rsid w:val="003E294E"/>
    <w:rsid w:val="003E5CE1"/>
    <w:rsid w:val="00403312"/>
    <w:rsid w:val="00405464"/>
    <w:rsid w:val="00442293"/>
    <w:rsid w:val="00447461"/>
    <w:rsid w:val="004809CA"/>
    <w:rsid w:val="004932B5"/>
    <w:rsid w:val="005029A7"/>
    <w:rsid w:val="00525E51"/>
    <w:rsid w:val="00527DBB"/>
    <w:rsid w:val="00532428"/>
    <w:rsid w:val="005865B1"/>
    <w:rsid w:val="00586B74"/>
    <w:rsid w:val="00592BF2"/>
    <w:rsid w:val="005C3DC4"/>
    <w:rsid w:val="005F7919"/>
    <w:rsid w:val="00631251"/>
    <w:rsid w:val="0064297C"/>
    <w:rsid w:val="006C2DAB"/>
    <w:rsid w:val="006E0156"/>
    <w:rsid w:val="00711F1C"/>
    <w:rsid w:val="00714B8E"/>
    <w:rsid w:val="00724612"/>
    <w:rsid w:val="00733E0D"/>
    <w:rsid w:val="007A0E04"/>
    <w:rsid w:val="00816955"/>
    <w:rsid w:val="00834017"/>
    <w:rsid w:val="00844535"/>
    <w:rsid w:val="008B4ACA"/>
    <w:rsid w:val="008D0F79"/>
    <w:rsid w:val="008F4D14"/>
    <w:rsid w:val="009376A7"/>
    <w:rsid w:val="00937797"/>
    <w:rsid w:val="00953B10"/>
    <w:rsid w:val="0098222D"/>
    <w:rsid w:val="009A6725"/>
    <w:rsid w:val="009B44F3"/>
    <w:rsid w:val="009C1DB3"/>
    <w:rsid w:val="009C28B8"/>
    <w:rsid w:val="009F5AC9"/>
    <w:rsid w:val="00A17D0A"/>
    <w:rsid w:val="00A43D24"/>
    <w:rsid w:val="00AA1742"/>
    <w:rsid w:val="00B44E3C"/>
    <w:rsid w:val="00B65368"/>
    <w:rsid w:val="00B65655"/>
    <w:rsid w:val="00B81AE4"/>
    <w:rsid w:val="00BD33B4"/>
    <w:rsid w:val="00BE6484"/>
    <w:rsid w:val="00C17E50"/>
    <w:rsid w:val="00C2347B"/>
    <w:rsid w:val="00C32FD3"/>
    <w:rsid w:val="00CA01CC"/>
    <w:rsid w:val="00CD6B2B"/>
    <w:rsid w:val="00DA1528"/>
    <w:rsid w:val="00DB2065"/>
    <w:rsid w:val="00DE6A8D"/>
    <w:rsid w:val="00E04B97"/>
    <w:rsid w:val="00E071E6"/>
    <w:rsid w:val="00E43EEB"/>
    <w:rsid w:val="00E45B35"/>
    <w:rsid w:val="00E923FC"/>
    <w:rsid w:val="00EA332D"/>
    <w:rsid w:val="00EA3987"/>
    <w:rsid w:val="00EC65EE"/>
    <w:rsid w:val="00ED16DE"/>
    <w:rsid w:val="00F33F0F"/>
    <w:rsid w:val="00F77708"/>
    <w:rsid w:val="00F95344"/>
    <w:rsid w:val="00FB56A9"/>
    <w:rsid w:val="00FB62A3"/>
    <w:rsid w:val="00FD441A"/>
    <w:rsid w:val="00FD6EC6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Maželienė</cp:lastModifiedBy>
  <cp:revision>4</cp:revision>
  <cp:lastPrinted>2023-08-04T07:31:00Z</cp:lastPrinted>
  <dcterms:created xsi:type="dcterms:W3CDTF">2023-08-04T07:30:00Z</dcterms:created>
  <dcterms:modified xsi:type="dcterms:W3CDTF">2025-02-27T11:43:00Z</dcterms:modified>
</cp:coreProperties>
</file>