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DA71E4" w:rsidRDefault="00DA71E4" w:rsidP="007A2978">
      <w:pPr>
        <w:jc w:val="center"/>
        <w:rPr>
          <w:b/>
          <w:bCs/>
          <w:caps/>
        </w:rPr>
      </w:pPr>
      <w:r w:rsidRPr="00DA71E4">
        <w:rPr>
          <w:b/>
          <w:caps/>
        </w:rPr>
        <w:t>garso ir vaizdo įrangos nuomos ir aptarnavimo paslaug</w:t>
      </w:r>
      <w:r>
        <w:rPr>
          <w:b/>
          <w:caps/>
        </w:rPr>
        <w:t xml:space="preserve">ų </w:t>
      </w:r>
      <w:r w:rsidRPr="00DA71E4">
        <w:rPr>
          <w:b/>
          <w:bCs/>
          <w:caps/>
        </w:rPr>
        <w:t xml:space="preserve"> </w:t>
      </w:r>
    </w:p>
    <w:p w:rsidR="007A2978" w:rsidRPr="007A2978" w:rsidRDefault="007A2978" w:rsidP="007A2978">
      <w:pPr>
        <w:jc w:val="center"/>
        <w:rPr>
          <w:b/>
          <w:caps/>
        </w:rPr>
      </w:pPr>
      <w:r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126AE7" w:rsidRDefault="00DA3F02" w:rsidP="00DA3F02">
      <w:pPr>
        <w:pStyle w:val="BodyTextIndent"/>
        <w:numPr>
          <w:ilvl w:val="0"/>
          <w:numId w:val="35"/>
        </w:numPr>
        <w:spacing w:after="0"/>
        <w:jc w:val="both"/>
      </w:pPr>
      <w:r w:rsidRPr="00780600">
        <w:t>BENDROSIOS NUOSTATOS</w:t>
      </w:r>
    </w:p>
    <w:p w:rsidR="00DA3F02" w:rsidRPr="00780600" w:rsidRDefault="00351213" w:rsidP="00126AE7">
      <w:pPr>
        <w:pStyle w:val="BodyTextIndent"/>
        <w:spacing w:after="0"/>
        <w:ind w:left="840"/>
        <w:jc w:val="both"/>
      </w:pPr>
      <w:r w:rsidRPr="00780600">
        <w:t xml:space="preserve"> </w:t>
      </w:r>
    </w:p>
    <w:p w:rsidR="00DA3F02" w:rsidRPr="00126AE7" w:rsidRDefault="00DA3F02" w:rsidP="00DA3F02">
      <w:pPr>
        <w:pStyle w:val="BodyTextIndent"/>
        <w:numPr>
          <w:ilvl w:val="0"/>
          <w:numId w:val="35"/>
        </w:numPr>
        <w:spacing w:after="0"/>
        <w:jc w:val="both"/>
      </w:pPr>
      <w:r w:rsidRPr="00780600">
        <w:rPr>
          <w:bCs/>
        </w:rPr>
        <w:t>PIRKIMO OBJEKTAS</w:t>
      </w:r>
    </w:p>
    <w:p w:rsidR="00126AE7" w:rsidRPr="00780600" w:rsidRDefault="00126AE7" w:rsidP="00126AE7">
      <w:pPr>
        <w:pStyle w:val="BodyTextIndent"/>
        <w:spacing w:after="0"/>
        <w:ind w:left="0"/>
        <w:jc w:val="both"/>
      </w:pPr>
    </w:p>
    <w:p w:rsidR="00126AE7" w:rsidRDefault="00126AE7" w:rsidP="00512F68">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126AE7" w:rsidRDefault="00126AE7" w:rsidP="00126AE7">
      <w:pPr>
        <w:rPr>
          <w:rFonts w:eastAsia="Calibri"/>
          <w:lang w:eastAsia="en-US"/>
        </w:rPr>
      </w:pPr>
    </w:p>
    <w:p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126AE7" w:rsidP="00126AE7">
      <w:pPr>
        <w:pStyle w:val="BodyTextIndent"/>
        <w:spacing w:after="0"/>
        <w:ind w:left="0"/>
        <w:jc w:val="both"/>
      </w:pPr>
    </w:p>
    <w:p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pPr>
      <w:r w:rsidRPr="00780600">
        <w:t>PASIŪLYMŲ GALIOJIMAS</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PATEIKIMO TERMINAI IR TVARKA</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ŠIFRAVIMAS</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rsidR="00126AE7" w:rsidRPr="00780600" w:rsidRDefault="00126AE7" w:rsidP="00126AE7">
      <w:pPr>
        <w:pStyle w:val="BodyTextIndent"/>
        <w:spacing w:after="0"/>
        <w:ind w:left="0"/>
        <w:jc w:val="both"/>
      </w:pPr>
    </w:p>
    <w:p w:rsidR="00126AE7" w:rsidRDefault="00126AE7" w:rsidP="00126AE7">
      <w:pPr>
        <w:pStyle w:val="BodyTextIndent"/>
        <w:numPr>
          <w:ilvl w:val="0"/>
          <w:numId w:val="35"/>
        </w:numPr>
        <w:spacing w:after="0"/>
        <w:jc w:val="both"/>
      </w:pPr>
      <w:r w:rsidRPr="00126AE7">
        <w:t>SUSIPAŽINIMO SU GAUTAIS PASIŪLYMAIS IR JŲ NAGRINĖJIMO PROCEDŪROS</w:t>
      </w:r>
    </w:p>
    <w:p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126AE7" w:rsidRPr="00126AE7" w:rsidRDefault="00126AE7" w:rsidP="00126AE7">
      <w:pPr>
        <w:pStyle w:val="BodyTextIndent"/>
        <w:spacing w:after="0"/>
        <w:ind w:left="0"/>
        <w:jc w:val="both"/>
        <w:rPr>
          <w:rStyle w:val="Hyperlink"/>
          <w:color w:val="000000"/>
        </w:rPr>
      </w:pPr>
    </w:p>
    <w:p w:rsidR="00DA3F02" w:rsidRDefault="00DA3F02" w:rsidP="00DA3F02">
      <w:pPr>
        <w:pStyle w:val="BodyTextIndent"/>
        <w:numPr>
          <w:ilvl w:val="0"/>
          <w:numId w:val="35"/>
        </w:numPr>
        <w:spacing w:after="0"/>
        <w:jc w:val="both"/>
      </w:pPr>
      <w:r w:rsidRPr="00780600">
        <w:t>PIRKIMO SUTARTIES SUDARYMAS IR JOS SĄLYGOS</w:t>
      </w:r>
    </w:p>
    <w:p w:rsidR="00512F68" w:rsidRPr="00780600" w:rsidRDefault="00512F68" w:rsidP="00512F68">
      <w:pPr>
        <w:pStyle w:val="BodyTextIndent"/>
        <w:spacing w:after="0"/>
        <w:ind w:left="0"/>
        <w:jc w:val="both"/>
      </w:pPr>
    </w:p>
    <w:p w:rsidR="00DA3F02" w:rsidRDefault="00DA3F02" w:rsidP="00DA3F02">
      <w:pPr>
        <w:pStyle w:val="BodyTextIndent"/>
        <w:numPr>
          <w:ilvl w:val="0"/>
          <w:numId w:val="35"/>
        </w:numPr>
        <w:spacing w:after="0"/>
        <w:jc w:val="both"/>
      </w:pPr>
      <w:r w:rsidRPr="00780600">
        <w:t>PRETENZIJŲ IR SKUNDŲ NAGRINĖJIMO TVARKA</w:t>
      </w:r>
    </w:p>
    <w:p w:rsidR="00512F68" w:rsidRPr="00780600" w:rsidRDefault="00512F68" w:rsidP="00512F68">
      <w:pPr>
        <w:pStyle w:val="BodyTextIndent"/>
        <w:spacing w:after="0"/>
        <w:ind w:left="840"/>
        <w:jc w:val="both"/>
      </w:pP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1 priedas. „Pasiūlymo forma</w:t>
      </w:r>
      <w:r w:rsidR="00E804D7">
        <w:rPr>
          <w:rFonts w:eastAsia="Arial Unicode MS"/>
        </w:rPr>
        <w:t xml:space="preserve"> su technine specifikacija</w:t>
      </w:r>
      <w:r w:rsidRPr="009D2C4F">
        <w:rPr>
          <w:rFonts w:eastAsia="Arial Unicode MS"/>
        </w:rPr>
        <w:t xml:space="preserve">“ (toliau – Pasiūlymo forma),; </w:t>
      </w:r>
    </w:p>
    <w:p w:rsidR="009D2C4F" w:rsidRPr="009D2C4F" w:rsidRDefault="009D2C4F" w:rsidP="00E804D7">
      <w:pPr>
        <w:pStyle w:val="BodyTextIndent"/>
        <w:numPr>
          <w:ilvl w:val="0"/>
          <w:numId w:val="50"/>
        </w:numPr>
        <w:spacing w:after="0"/>
        <w:rPr>
          <w:rFonts w:eastAsia="Arial Unicode MS"/>
        </w:rPr>
      </w:pPr>
      <w:r w:rsidRPr="009D2C4F">
        <w:rPr>
          <w:rFonts w:eastAsia="Arial Unicode MS"/>
        </w:rPr>
        <w:t xml:space="preserve">Konkurso </w:t>
      </w:r>
      <w:r w:rsidR="00E804D7">
        <w:rPr>
          <w:rFonts w:eastAsia="Arial Unicode MS"/>
        </w:rPr>
        <w:t xml:space="preserve">sąlygų 2 priedas. </w:t>
      </w:r>
      <w:r w:rsidR="00E804D7" w:rsidRPr="00E804D7">
        <w:rPr>
          <w:rFonts w:eastAsia="Arial Unicode MS"/>
        </w:rPr>
        <w:t>Nacionalinio saugumo reikalavimų atitikties deklaracijos tipinė forma</w:t>
      </w:r>
      <w:r w:rsidRPr="009D2C4F">
        <w:rPr>
          <w:rFonts w:eastAsia="Arial Unicode MS"/>
        </w:rPr>
        <w:t>;</w:t>
      </w:r>
    </w:p>
    <w:p w:rsidR="009D2C4F" w:rsidRPr="009D2C4F" w:rsidRDefault="00DA71E4" w:rsidP="009D2C4F">
      <w:pPr>
        <w:pStyle w:val="BodyTextIndent"/>
        <w:numPr>
          <w:ilvl w:val="0"/>
          <w:numId w:val="50"/>
        </w:numPr>
        <w:spacing w:after="0"/>
        <w:rPr>
          <w:rFonts w:eastAsia="Arial Unicode MS"/>
        </w:rPr>
      </w:pPr>
      <w:r>
        <w:rPr>
          <w:rFonts w:eastAsia="Arial Unicode MS"/>
        </w:rPr>
        <w:t>Konkurso sąlygų 3 priedas. Paslaugų</w:t>
      </w:r>
      <w:r w:rsidR="009D2C4F" w:rsidRPr="009D2C4F">
        <w:rPr>
          <w:rFonts w:eastAsia="Arial Unicode MS"/>
        </w:rPr>
        <w:t xml:space="preserve"> viešojo pirkimo–pardavimo sutartis (projektas) (toliau – Sutartis).</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DA71E4" w:rsidRPr="00DA71E4">
        <w:rPr>
          <w:rFonts w:eastAsia="Arial Unicode MS"/>
          <w:b/>
        </w:rPr>
        <w:t xml:space="preserve">garso ir vaizdo įrangos nuomos ir aptarnavimo paslaugas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w:t>
      </w:r>
      <w:r w:rsidR="00B36963">
        <w:t>ne</w:t>
      </w:r>
      <w:r w:rsidR="0097488A" w:rsidRPr="00F1763A">
        <w:t>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E804D7" w:rsidRDefault="00E804D7" w:rsidP="00E804D7">
      <w:pPr>
        <w:pStyle w:val="NormalWeb"/>
        <w:ind w:firstLine="480"/>
        <w:jc w:val="both"/>
      </w:pPr>
      <w:r>
        <w:t>1.</w:t>
      </w:r>
      <w:r>
        <w:tab/>
        <w:t xml:space="preserve">Konkurso sąlygų 1 priedas. „Pasiūlymo forma su technine specifikacija“ (toliau – Pasiūlymo forma),; </w:t>
      </w:r>
    </w:p>
    <w:p w:rsidR="00E804D7" w:rsidRDefault="00E804D7" w:rsidP="00E804D7">
      <w:pPr>
        <w:pStyle w:val="NormalWeb"/>
        <w:ind w:firstLine="480"/>
        <w:jc w:val="both"/>
      </w:pPr>
      <w:r>
        <w:t>2.</w:t>
      </w:r>
      <w:r>
        <w:tab/>
        <w:t>Konkurso sąlygų 2 priedas. Nacionalinio saugumo reikalavimų atitikties deklaracijos tipinė forma;</w:t>
      </w:r>
    </w:p>
    <w:p w:rsidR="003B0E72" w:rsidRDefault="00E804D7" w:rsidP="00E804D7">
      <w:pPr>
        <w:pStyle w:val="NormalWeb"/>
        <w:ind w:firstLine="480"/>
        <w:jc w:val="both"/>
      </w:pPr>
      <w:r>
        <w:t>3.</w:t>
      </w:r>
      <w:r>
        <w:tab/>
        <w:t>Konkurso sąlygų 3 priedas. Paslaugų viešojo pirkimo–pardavimo sutartis (projektas) (toliau – Sutartis).</w:t>
      </w: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w:t>
      </w:r>
      <w:bookmarkStart w:id="0" w:name="_GoBack"/>
      <w:bookmarkEnd w:id="0"/>
      <w:r>
        <w:t>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w:t>
      </w:r>
      <w:r w:rsidR="00AC0B7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Skelbimo I dalies 1 punkte,</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C372D5" w:rsidRDefault="00257FE9" w:rsidP="00DA71E4">
      <w:pPr>
        <w:numPr>
          <w:ilvl w:val="0"/>
          <w:numId w:val="18"/>
        </w:numPr>
        <w:autoSpaceDE w:val="0"/>
        <w:autoSpaceDN w:val="0"/>
        <w:adjustRightInd w:val="0"/>
        <w:ind w:right="-2"/>
        <w:jc w:val="both"/>
      </w:pPr>
      <w:r w:rsidRPr="00780600">
        <w:t xml:space="preserve">Pirkimo objektas – </w:t>
      </w:r>
      <w:r w:rsidR="00DA71E4">
        <w:rPr>
          <w:b/>
        </w:rPr>
        <w:t>G</w:t>
      </w:r>
      <w:r w:rsidR="00DA71E4" w:rsidRPr="00DA71E4">
        <w:rPr>
          <w:b/>
        </w:rPr>
        <w:t>arso ir vaizdo įrangos nuomos ir aptarnavimo paslaug</w:t>
      </w:r>
      <w:r w:rsidR="00DA71E4">
        <w:rPr>
          <w:b/>
        </w:rPr>
        <w:t>os</w:t>
      </w:r>
      <w:r w:rsidR="00DA71E4" w:rsidRPr="00DA71E4">
        <w:rPr>
          <w:b/>
        </w:rPr>
        <w:t xml:space="preserve"> </w:t>
      </w:r>
      <w:r w:rsidRPr="00C372D5">
        <w:rPr>
          <w:bCs/>
          <w:lang w:eastAsia="zh-CN"/>
        </w:rPr>
        <w:t xml:space="preserve">(toliau – </w:t>
      </w:r>
      <w:r w:rsidR="009571C0" w:rsidRPr="00C372D5">
        <w:rPr>
          <w:bCs/>
          <w:lang w:eastAsia="zh-CN"/>
        </w:rPr>
        <w:t>p</w:t>
      </w:r>
      <w:r w:rsidR="001D1CA6" w:rsidRPr="00C372D5">
        <w:rPr>
          <w:bCs/>
          <w:lang w:eastAsia="zh-CN"/>
        </w:rPr>
        <w:t>rekė</w:t>
      </w:r>
      <w:r w:rsidR="00F87A09" w:rsidRPr="00C372D5">
        <w:rPr>
          <w:bCs/>
          <w:lang w:eastAsia="zh-CN"/>
        </w:rPr>
        <w:t>s</w:t>
      </w:r>
      <w:r w:rsidRPr="00C372D5">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DA71E4" w:rsidRPr="00DA71E4">
        <w:rPr>
          <w:b/>
        </w:rPr>
        <w:t>51313000-9</w:t>
      </w:r>
      <w:r w:rsidR="00DA71E4">
        <w:rPr>
          <w:b/>
        </w:rPr>
        <w:t>.</w:t>
      </w:r>
    </w:p>
    <w:p w:rsidR="00C372D5" w:rsidRDefault="00C372D5" w:rsidP="00C372D5">
      <w:pPr>
        <w:autoSpaceDE w:val="0"/>
        <w:autoSpaceDN w:val="0"/>
        <w:adjustRightInd w:val="0"/>
        <w:ind w:left="567" w:right="-2"/>
        <w:jc w:val="both"/>
      </w:pPr>
    </w:p>
    <w:p w:rsidR="00BB18BF" w:rsidRDefault="002445DF" w:rsidP="00AA470C">
      <w:pPr>
        <w:autoSpaceDE w:val="0"/>
        <w:autoSpaceDN w:val="0"/>
        <w:adjustRightInd w:val="0"/>
        <w:ind w:firstLine="709"/>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AA470C">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AA470C">
        <w:t xml:space="preserve"> „Pasiūlymas“ </w:t>
      </w:r>
      <w:r w:rsidR="00AA470C" w:rsidRPr="00AA470C">
        <w:t>ir</w:t>
      </w:r>
      <w:r w:rsidRPr="00AA470C">
        <w:t xml:space="preserve"> </w:t>
      </w:r>
      <w:r w:rsidR="00651863" w:rsidRPr="00AA470C">
        <w:rPr>
          <w:b/>
        </w:rPr>
        <w:t>2</w:t>
      </w:r>
      <w:r w:rsidRPr="00AA470C">
        <w:rPr>
          <w:b/>
        </w:rPr>
        <w:t xml:space="preserve"> priede</w:t>
      </w:r>
      <w:r w:rsidR="00F678D9">
        <w:t xml:space="preserve"> „Techninė specifikacija“</w:t>
      </w:r>
      <w:r>
        <w:t xml:space="preserve">. 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DA71E4">
        <w:t>2</w:t>
      </w:r>
      <w:r w:rsidR="00C372D5">
        <w:t>0</w:t>
      </w:r>
      <w:r w:rsidR="002D31B7" w:rsidRPr="00AA470C">
        <w:t xml:space="preserve"> </w:t>
      </w:r>
      <w:r w:rsidR="009D2C4F" w:rsidRPr="00AA470C">
        <w:t>00</w:t>
      </w:r>
      <w:r w:rsidR="00DE13F3" w:rsidRPr="00AA470C">
        <w:t xml:space="preserve">0,00 </w:t>
      </w:r>
      <w:r w:rsidR="00F678D9" w:rsidRPr="00AA470C">
        <w:rPr>
          <w:color w:val="000000"/>
          <w:lang w:val="pt-BR"/>
        </w:rPr>
        <w:t>Eur su PVM.</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DA71E4">
        <w:t>Paslaugoms</w:t>
      </w:r>
      <w:r w:rsidR="00AA470C" w:rsidRPr="00AA470C">
        <w:t xml:space="preserve"> yra taikomas fiksuoto</w:t>
      </w:r>
      <w:r w:rsidR="00AA470C">
        <w:t xml:space="preserve"> </w:t>
      </w:r>
      <w:r w:rsidR="00DA71E4">
        <w:t>įkainio</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DA71E4">
        <w:t>atliktas paslaugas</w:t>
      </w:r>
      <w:r w:rsidR="00063D09">
        <w:t>.</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8D09BD">
            <w:pPr>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w:t>
            </w:r>
            <w:r w:rsidRPr="00CD3B8F">
              <w:lastRenderedPageBreak/>
              <w:t>tinkamai patvirtinta kopija) ar priesaikos deklaracija, liudijanti tiekėjo teisę verstis atitinkama veikla.</w:t>
            </w:r>
          </w:p>
        </w:tc>
        <w:tc>
          <w:tcPr>
            <w:tcW w:w="4956" w:type="dxa"/>
          </w:tcPr>
          <w:p w:rsidR="00DE1A1A" w:rsidRPr="00CD3B8F" w:rsidRDefault="009B5C75" w:rsidP="009B5C75">
            <w:pPr>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r w:rsidRPr="00CD3B8F">
              <w:rPr>
                <w:i/>
              </w:rPr>
              <w:t>(Pateikiamos skaitmeninės kopijos)</w:t>
            </w:r>
            <w:r>
              <w:rPr>
                <w:i/>
              </w:rPr>
              <w:t>.</w:t>
            </w:r>
          </w:p>
        </w:tc>
      </w:tr>
      <w:tr w:rsidR="00DA71E4" w:rsidRPr="00596FC7" w:rsidTr="009B5C75">
        <w:trPr>
          <w:trHeight w:val="558"/>
          <w:jc w:val="center"/>
        </w:trPr>
        <w:tc>
          <w:tcPr>
            <w:tcW w:w="918" w:type="dxa"/>
            <w:shd w:val="clear" w:color="auto" w:fill="auto"/>
          </w:tcPr>
          <w:p w:rsidR="00DA71E4" w:rsidRDefault="00DA71E4" w:rsidP="008D09BD">
            <w:pPr>
              <w:ind w:left="-779" w:firstLine="851"/>
              <w:jc w:val="both"/>
              <w:rPr>
                <w:rFonts w:eastAsia="Calibri"/>
              </w:rPr>
            </w:pPr>
            <w:r>
              <w:rPr>
                <w:rFonts w:eastAsia="Calibri"/>
              </w:rPr>
              <w:t>3.2.2.</w:t>
            </w:r>
          </w:p>
        </w:tc>
        <w:tc>
          <w:tcPr>
            <w:tcW w:w="4469" w:type="dxa"/>
          </w:tcPr>
          <w:p w:rsidR="00DA71E4" w:rsidRPr="00CD3B8F" w:rsidRDefault="00DA71E4" w:rsidP="008D09BD">
            <w:pPr>
              <w:jc w:val="both"/>
            </w:pPr>
            <w:r w:rsidRPr="00DA71E4">
              <w:t>Pateikti dokumentus (1–3 sudarytas sutartis kurių  vertė sudaro ne mažiau kaip 12 tūkst. Eur), įrodančius ne mažesnę kaip 2 metų paslaugos teikėjo patirtį rengiant protokolinio lygio priėmimus (aukšto lygio valstybinių ir diplomatinių renginių aptarnavimas).</w:t>
            </w:r>
          </w:p>
        </w:tc>
        <w:tc>
          <w:tcPr>
            <w:tcW w:w="4956" w:type="dxa"/>
          </w:tcPr>
          <w:p w:rsidR="00DA71E4" w:rsidRPr="00CD3B8F" w:rsidRDefault="00AC0B7F" w:rsidP="009B5C75">
            <w:pPr>
              <w:jc w:val="both"/>
            </w:pPr>
            <w:r>
              <w:t>Pateikti sutarčių sąrašą</w:t>
            </w:r>
          </w:p>
        </w:tc>
      </w:tr>
      <w:tr w:rsidR="00DA71E4" w:rsidRPr="00596FC7" w:rsidTr="009B5C75">
        <w:trPr>
          <w:trHeight w:val="558"/>
          <w:jc w:val="center"/>
        </w:trPr>
        <w:tc>
          <w:tcPr>
            <w:tcW w:w="918" w:type="dxa"/>
            <w:shd w:val="clear" w:color="auto" w:fill="auto"/>
          </w:tcPr>
          <w:p w:rsidR="00DA71E4" w:rsidRDefault="00DA71E4" w:rsidP="008D09BD">
            <w:pPr>
              <w:ind w:left="-779" w:firstLine="851"/>
              <w:jc w:val="both"/>
              <w:rPr>
                <w:rFonts w:eastAsia="Calibri"/>
              </w:rPr>
            </w:pPr>
            <w:r>
              <w:rPr>
                <w:rFonts w:eastAsia="Calibri"/>
              </w:rPr>
              <w:t>3.2.3.</w:t>
            </w:r>
          </w:p>
        </w:tc>
        <w:tc>
          <w:tcPr>
            <w:tcW w:w="4469" w:type="dxa"/>
          </w:tcPr>
          <w:p w:rsidR="00DA71E4" w:rsidRPr="00DA71E4" w:rsidRDefault="00DA71E4" w:rsidP="00DA71E4">
            <w:pPr>
              <w:spacing w:after="160" w:line="259" w:lineRule="auto"/>
              <w:jc w:val="both"/>
              <w:rPr>
                <w:rFonts w:eastAsiaTheme="minorEastAsia"/>
                <w:bCs/>
                <w:lang w:eastAsia="en-US"/>
              </w:rPr>
            </w:pPr>
            <w:r w:rsidRPr="00DA71E4">
              <w:rPr>
                <w:rFonts w:eastAsiaTheme="minorEastAsia"/>
                <w:bCs/>
                <w:lang w:eastAsia="en-US"/>
              </w:rPr>
              <w:t>Įrangos aptarnaujančių specialistų kvalifikacijos reikalavimai:</w:t>
            </w:r>
          </w:p>
          <w:p w:rsidR="00DA71E4" w:rsidRPr="00DA71E4" w:rsidRDefault="00DA71E4" w:rsidP="00DA71E4">
            <w:pPr>
              <w:spacing w:after="160" w:line="259" w:lineRule="auto"/>
              <w:jc w:val="both"/>
              <w:rPr>
                <w:rFonts w:eastAsiaTheme="minorEastAsia"/>
                <w:lang w:eastAsia="en-US"/>
              </w:rPr>
            </w:pPr>
            <w:r w:rsidRPr="00DA71E4">
              <w:rPr>
                <w:rFonts w:eastAsiaTheme="minorEastAsia"/>
                <w:lang w:eastAsia="en-US"/>
              </w:rPr>
              <w:t xml:space="preserve">Tiekėjas turi turėti ne mažiau kaip 6 technikus kvalifikuotus atlikti įdiegtos sistemos techninio aptarnavimo renginių metu paslaugas. </w:t>
            </w:r>
          </w:p>
          <w:p w:rsidR="00DA71E4" w:rsidRPr="00DA71E4" w:rsidRDefault="00DA71E4" w:rsidP="00DA71E4">
            <w:pPr>
              <w:jc w:val="both"/>
            </w:pPr>
            <w:r w:rsidRPr="00DA71E4">
              <w:rPr>
                <w:rFonts w:eastAsiaTheme="minorEastAsia"/>
                <w:lang w:eastAsia="en-US"/>
              </w:rPr>
              <w:t>Technikai per pastaruosius 2 (dvejus) metus iki pasiūlymo pateikimo termino pabaigos arba per laiką nuo tiekėjo įregistravimo dienos (jei tiekėjas vykdė veiklą trumpiau nei 2 (dvejus) metus) turi būti aptarnavę renginius kurių metu buvo naudojama kamerų valdymo sistema, vaizdo ir garso perdavimo internetu technologija, vykdoma komunikacija su nutolusiais pranešėjais bei renginio dalyviais anglų bei lietuvių kalbomis. Pateikiama tiekėjo deklaracija pagrindžianti technikų kvalifikaciją pateikiant kiekvieno techniko per paskutinius 2 metus aptarnautų renginių sąrašą, kuriame nurodomi paslaugų gavėjai, suteiktos techninio aptarnavimo paslaugos, techniko atliktos funkcijos, kartu su užsakovų kuriems suteiktos aptarnavimo paslaugos kontaktais.</w:t>
            </w:r>
          </w:p>
        </w:tc>
        <w:tc>
          <w:tcPr>
            <w:tcW w:w="4956" w:type="dxa"/>
          </w:tcPr>
          <w:p w:rsidR="00DA71E4" w:rsidRPr="00CD3B8F" w:rsidRDefault="00AC0B7F" w:rsidP="009B5C75">
            <w:pPr>
              <w:jc w:val="both"/>
            </w:pPr>
            <w:r>
              <w:t>Pateikti įrodančius dokumentus</w:t>
            </w:r>
          </w:p>
        </w:tc>
      </w:tr>
      <w:tr w:rsidR="00AC0B7F" w:rsidRPr="00596FC7" w:rsidTr="009B5C75">
        <w:trPr>
          <w:trHeight w:val="558"/>
          <w:jc w:val="center"/>
        </w:trPr>
        <w:tc>
          <w:tcPr>
            <w:tcW w:w="918" w:type="dxa"/>
            <w:shd w:val="clear" w:color="auto" w:fill="auto"/>
          </w:tcPr>
          <w:p w:rsidR="00AC0B7F" w:rsidRDefault="00AC0B7F" w:rsidP="008D09BD">
            <w:pPr>
              <w:ind w:left="-779" w:firstLine="851"/>
              <w:jc w:val="both"/>
              <w:rPr>
                <w:rFonts w:eastAsia="Calibri"/>
              </w:rPr>
            </w:pPr>
            <w:r>
              <w:rPr>
                <w:rFonts w:eastAsia="Calibri"/>
              </w:rPr>
              <w:t>3.2.4.</w:t>
            </w:r>
          </w:p>
        </w:tc>
        <w:tc>
          <w:tcPr>
            <w:tcW w:w="4469" w:type="dxa"/>
          </w:tcPr>
          <w:p w:rsidR="00AC0B7F" w:rsidRPr="00DA71E4" w:rsidRDefault="00AC0B7F" w:rsidP="00DA71E4">
            <w:pPr>
              <w:spacing w:after="160" w:line="259" w:lineRule="auto"/>
              <w:jc w:val="both"/>
              <w:rPr>
                <w:rFonts w:eastAsiaTheme="minorEastAsia"/>
                <w:bCs/>
                <w:lang w:eastAsia="en-US"/>
              </w:rPr>
            </w:pPr>
            <w:r w:rsidRPr="00AC0B7F">
              <w:rPr>
                <w:rFonts w:eastAsiaTheme="minorEastAsia"/>
                <w:bCs/>
                <w:lang w:eastAsia="en-US"/>
              </w:rPr>
              <w:t>Teikiamoms paslaugoms taikomi aplinkos apsaugos vadybos sistemos reikalavimai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4956" w:type="dxa"/>
          </w:tcPr>
          <w:p w:rsidR="00AC0B7F" w:rsidRPr="00CD3B8F" w:rsidRDefault="00AC0B7F" w:rsidP="009B5C75">
            <w:pPr>
              <w:jc w:val="both"/>
            </w:pPr>
            <w:r>
              <w:t>Pateikti įrodančius dokumentus</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3.3. Perkančioji organizacija prašo tiekėjų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lastRenderedPageBreak/>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Default="00DA3F02" w:rsidP="006433A8">
      <w:pPr>
        <w:tabs>
          <w:tab w:val="left" w:pos="993"/>
        </w:tabs>
        <w:autoSpaceDE w:val="0"/>
        <w:autoSpaceDN w:val="0"/>
        <w:adjustRightInd w:val="0"/>
        <w:ind w:right="282" w:firstLine="709"/>
        <w:jc w:val="both"/>
      </w:pPr>
    </w:p>
    <w:p w:rsidR="00AC0B7F" w:rsidRDefault="00AC0B7F" w:rsidP="006433A8">
      <w:pPr>
        <w:tabs>
          <w:tab w:val="left" w:pos="993"/>
        </w:tabs>
        <w:autoSpaceDE w:val="0"/>
        <w:autoSpaceDN w:val="0"/>
        <w:adjustRightInd w:val="0"/>
        <w:ind w:right="282" w:firstLine="709"/>
        <w:jc w:val="both"/>
      </w:pPr>
    </w:p>
    <w:p w:rsidR="00AC0B7F" w:rsidRPr="00780600" w:rsidRDefault="00AC0B7F"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A44A7A" w:rsidRPr="00AC0B7F" w:rsidRDefault="004A5F72" w:rsidP="004D179D">
      <w:pPr>
        <w:pStyle w:val="BodyTextIndent3"/>
        <w:numPr>
          <w:ilvl w:val="0"/>
          <w:numId w:val="22"/>
        </w:numPr>
        <w:tabs>
          <w:tab w:val="clear" w:pos="1443"/>
          <w:tab w:val="num" w:pos="1026"/>
        </w:tabs>
        <w:spacing w:after="0"/>
        <w:ind w:left="0" w:firstLine="709"/>
        <w:jc w:val="both"/>
        <w:rPr>
          <w:sz w:val="24"/>
          <w:szCs w:val="24"/>
        </w:rPr>
      </w:pPr>
      <w:r w:rsidRPr="00AC0B7F">
        <w:rPr>
          <w:spacing w:val="-4"/>
          <w:sz w:val="24"/>
          <w:szCs w:val="24"/>
        </w:rPr>
        <w:t xml:space="preserve"> </w:t>
      </w:r>
      <w:r w:rsidR="00DA3F02" w:rsidRPr="00AC0B7F">
        <w:rPr>
          <w:spacing w:val="-4"/>
          <w:sz w:val="24"/>
          <w:szCs w:val="24"/>
        </w:rPr>
        <w:t xml:space="preserve">Pasiūlymas </w:t>
      </w:r>
      <w:r w:rsidR="00DA3F02" w:rsidRPr="00AC0B7F">
        <w:rPr>
          <w:b/>
          <w:spacing w:val="-4"/>
          <w:sz w:val="24"/>
          <w:szCs w:val="24"/>
        </w:rPr>
        <w:t>turi būti</w:t>
      </w:r>
      <w:r w:rsidR="00DA3F02" w:rsidRPr="00AC0B7F">
        <w:rPr>
          <w:spacing w:val="-4"/>
          <w:sz w:val="24"/>
          <w:szCs w:val="24"/>
        </w:rPr>
        <w:t xml:space="preserve"> pateikiamas elektroninėmis priemonėmis naudojant </w:t>
      </w:r>
      <w:r w:rsidR="00DA3F02" w:rsidRPr="00AC0B7F">
        <w:rPr>
          <w:b/>
          <w:spacing w:val="-4"/>
          <w:sz w:val="24"/>
          <w:szCs w:val="24"/>
        </w:rPr>
        <w:t>CVP IS</w:t>
      </w:r>
      <w:r w:rsidR="00DA3F02" w:rsidRPr="00AC0B7F">
        <w:rPr>
          <w:spacing w:val="-4"/>
          <w:sz w:val="24"/>
          <w:szCs w:val="24"/>
        </w:rPr>
        <w:t xml:space="preserve">. Elektroninis pasiūlymas turi būti pateiktas pasirašytas tiekėjo arba jo įgalioto asmens </w:t>
      </w:r>
      <w:r w:rsidR="00DA3F02" w:rsidRPr="00AC0B7F">
        <w:rPr>
          <w:b/>
          <w:spacing w:val="-4"/>
          <w:sz w:val="24"/>
          <w:szCs w:val="24"/>
        </w:rPr>
        <w:t>parašu</w:t>
      </w:r>
      <w:r w:rsidR="00DA3F02" w:rsidRPr="00AC0B7F">
        <w:rPr>
          <w:spacing w:val="-4"/>
          <w:sz w:val="24"/>
          <w:szCs w:val="24"/>
        </w:rPr>
        <w:t xml:space="preserve">, atitinkančiu teisės aktų reikalavimus. </w:t>
      </w:r>
      <w:r w:rsidR="00DA3F02" w:rsidRPr="00AC0B7F">
        <w:rPr>
          <w:rFonts w:eastAsia="Arial Unicode MS"/>
          <w:spacing w:val="-4"/>
          <w:sz w:val="24"/>
          <w:szCs w:val="24"/>
        </w:rPr>
        <w:t>Pasiūlymai, pateikti vokuose popierine forma, nebus priimami ir nebus vertinami.</w:t>
      </w:r>
      <w:r w:rsidR="00DA3F02" w:rsidRPr="00AC0B7F">
        <w:rPr>
          <w:rFonts w:eastAsia="Arial Unicode MS"/>
          <w:spacing w:val="-4"/>
          <w:sz w:val="22"/>
        </w:rPr>
        <w:t xml:space="preserve"> </w:t>
      </w:r>
      <w:r w:rsidR="00DA3F02" w:rsidRPr="00AC0B7F">
        <w:rPr>
          <w:rFonts w:eastAsia="Arial Unicode MS"/>
          <w:spacing w:val="-4"/>
          <w:sz w:val="24"/>
          <w:szCs w:val="24"/>
        </w:rPr>
        <w:t>Elektroninėmis priemonėmis pasiūlymus gali teikti tik tiekėjai, kurie yra užsiregistravę CVP IS</w:t>
      </w:r>
      <w:r w:rsidR="00AC0B7F">
        <w:rPr>
          <w:rFonts w:eastAsia="Arial Unicode MS"/>
          <w:spacing w:val="-4"/>
          <w:sz w:val="24"/>
          <w:szCs w:val="24"/>
        </w:rPr>
        <w:t>.</w:t>
      </w: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lastRenderedPageBreak/>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5.12. Iki pasiūlymų pateikimo termino pabaigos, tiekėjas gali pakeisti arba atšaukti savo pasiūlymą.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w:t>
      </w:r>
      <w:r w:rsidR="00C372D5">
        <w:rPr>
          <w:color w:val="000000"/>
          <w:sz w:val="24"/>
          <w:szCs w:val="24"/>
        </w:rPr>
        <w:t xml:space="preserve">darbo </w:t>
      </w:r>
      <w:r w:rsidR="00DA3F02" w:rsidRPr="00B1142F">
        <w:rPr>
          <w:color w:val="000000"/>
          <w:sz w:val="24"/>
          <w:szCs w:val="24"/>
        </w:rPr>
        <w:t>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lastRenderedPageBreak/>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 (užšifruojamas visas pasiūlymas arba pasiūlymo dokumentas, kuriame nurodyta pasiūlymo kaina). Instrukcija, kaip tiekėjui užšifruoti pasiūlymą</w:t>
      </w:r>
      <w:r w:rsidR="00AC0B7F">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B66CCF" w:rsidRDefault="00B66CCF" w:rsidP="00C372D5">
      <w:pPr>
        <w:pStyle w:val="Default"/>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 xml:space="preserve">.4. Jei pateikti paaiškinimai ar patikslinimai iš esmės keičia pirkimo dokumentuose nustatytus reikalavimus pirkimo objektui, Reikalavimus tiekėjui ar pasiūlymų rengimui, pasiūlymų </w:t>
      </w:r>
      <w:r w:rsidRPr="00596FC7">
        <w:lastRenderedPageBreak/>
        <w:t>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lastRenderedPageBreak/>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C372D5" w:rsidRPr="00C372D5" w:rsidRDefault="00C372D5" w:rsidP="00C372D5">
      <w:pPr>
        <w:tabs>
          <w:tab w:val="left" w:pos="-142"/>
          <w:tab w:val="left" w:pos="1134"/>
        </w:tabs>
        <w:jc w:val="both"/>
        <w:rPr>
          <w:color w:val="000000"/>
        </w:rPr>
      </w:pP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 xml:space="preserve">Perkančioji organizacija turi teisę savo iniciatyva nutraukti pradėtas pirkimo procedūras. Tai gali būti atliekama bet kuriuo metu iki pirkimo (preliminariosios) sutarties sudarymo, jeigu </w:t>
      </w:r>
      <w:r w:rsidRPr="004713EE">
        <w:rPr>
          <w:color w:val="000000"/>
          <w:lang w:eastAsia="ar-SA"/>
        </w:rPr>
        <w:lastRenderedPageBreak/>
        <w:t>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1"/>
      <w:headerReference w:type="default" r:id="rId1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6C7" w:rsidRDefault="004A06C7">
      <w:r>
        <w:separator/>
      </w:r>
    </w:p>
  </w:endnote>
  <w:endnote w:type="continuationSeparator" w:id="0">
    <w:p w:rsidR="004A06C7" w:rsidRDefault="004A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BA"/>
    <w:family w:val="roman"/>
    <w:pitch w:val="variable"/>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6C7" w:rsidRDefault="004A06C7">
      <w:r>
        <w:separator/>
      </w:r>
    </w:p>
  </w:footnote>
  <w:footnote w:type="continuationSeparator" w:id="0">
    <w:p w:rsidR="004A06C7" w:rsidRDefault="004A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04D7">
      <w:rPr>
        <w:rStyle w:val="PageNumber"/>
        <w:noProof/>
      </w:rPr>
      <w:t>10</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06C7"/>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3EBF"/>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1AA4"/>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0B7F"/>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2D5"/>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A71E4"/>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4D7"/>
    <w:rsid w:val="00E80FE0"/>
    <w:rsid w:val="00E83410"/>
    <w:rsid w:val="00E83694"/>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CA4F7"/>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1A804-2E86-4A56-A231-33AC142C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19829</Words>
  <Characters>11304</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31071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18</cp:revision>
  <cp:lastPrinted>2023-07-13T06:43:00Z</cp:lastPrinted>
  <dcterms:created xsi:type="dcterms:W3CDTF">2024-03-26T06:50:00Z</dcterms:created>
  <dcterms:modified xsi:type="dcterms:W3CDTF">2025-02-28T08:28:00Z</dcterms:modified>
</cp:coreProperties>
</file>