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media/image1.wmf" ContentType="image/x-wmf"/>
  <Override PartName="/word/media/image2.wmf" ContentType="image/x-wmf"/>
  <Override PartName="/word/media/image3.wmf" ContentType="image/x-wmf"/>
  <Override PartName="/word/media/image4.png" ContentType="image/png"/>
  <Override PartName="/word/media/image10.wmf" ContentType="image/x-wmf"/>
  <Override PartName="/word/media/image5.wmf" ContentType="image/x-wmf"/>
  <Override PartName="/word/media/image11.wmf" ContentType="image/x-wmf"/>
  <Override PartName="/word/media/image6.wmf" ContentType="image/x-wmf"/>
  <Override PartName="/word/media/image7.wmf" ContentType="image/x-wmf"/>
  <Override PartName="/word/media/image12.wmf" ContentType="image/x-wmf"/>
  <Override PartName="/word/media/image8.wmf" ContentType="image/x-wmf"/>
  <Override PartName="/word/media/image9.png" ContentType="image/png"/>
  <Override PartName="/word/media/image13.png" ContentType="image/png"/>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footer5.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3.xml" ContentType="application/vnd.openxmlformats-officedocument.customXmlProperties+xml"/>
  <Override PartName="/customXml/itemProps1.xml" ContentType="application/vnd.openxmlformats-officedocument.customXmlProperties+xml"/>
  <Override PartName="/customXml/item2.xml" ContentType="application/xml"/>
  <Override PartName="/customXml/itemProps4.xml" ContentType="application/vnd.openxmlformats-officedocument.customXmlProperties+xml"/>
  <Override PartName="/customXml/itemProps2.xml" ContentType="application/vnd.openxmlformats-officedocument.customXmlProperties+xml"/>
  <Override PartName="/customXml/item3.xml" ContentType="application/xml"/>
  <Override PartName="/customXml/item4.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sdt>
      <w:sdtPr>
        <w:docPartObj>
          <w:docPartGallery w:val="Cover Pages"/>
          <w:docPartUnique w:val="true"/>
        </w:docPartObj>
        <w:id w:val="-1724750495"/>
      </w:sdtPr>
      <w:sdtContent>
        <w:p>
          <w:pPr>
            <w:pStyle w:val="Normal"/>
            <w:spacing w:lineRule="auto" w:line="240" w:before="40" w:after="0"/>
            <w:jc w:val="center"/>
            <w:rPr>
              <w:rFonts w:eastAsia="Times New Roman" w:cs="Times New Roman"/>
              <w:szCs w:val="24"/>
              <w:lang w:val="lt-LT"/>
            </w:rPr>
          </w:pPr>
          <w:r>
            <w:rPr>
              <w:rFonts w:eastAsia="Times New Roman" w:cs="Times New Roman"/>
              <w:szCs w:val="24"/>
              <w:lang w:val="lt-LT"/>
            </w:rPr>
            <w:t>Higienos institutas</w:t>
          </w:r>
        </w:p>
        <w:p>
          <w:pPr>
            <w:pStyle w:val="Normal"/>
            <w:spacing w:lineRule="auto" w:line="240" w:before="40" w:after="0"/>
            <w:jc w:val="center"/>
            <w:rPr/>
          </w:pPr>
          <w:r>
            <w:rPr/>
          </w:r>
        </w:p>
        <w:p>
          <w:pPr>
            <w:pStyle w:val="Normal"/>
            <w:spacing w:lineRule="auto" w:line="240" w:before="40" w:after="0"/>
            <w:jc w:val="center"/>
            <w:rPr/>
          </w:pPr>
          <w:r>
            <w:rPr/>
          </w:r>
        </w:p>
        <w:p>
          <w:pPr>
            <w:pStyle w:val="Normal"/>
            <w:spacing w:before="40" w:after="0"/>
            <w:jc w:val="right"/>
            <w:rPr>
              <w:rFonts w:eastAsia="Times New Roman" w:cs="Times New Roman"/>
              <w:szCs w:val="24"/>
              <w:lang w:val="lt-LT"/>
            </w:rPr>
          </w:pPr>
          <w:r>
            <w:rPr>
              <w:rFonts w:eastAsia="Times New Roman" w:cs="Times New Roman"/>
              <w:szCs w:val="24"/>
              <w:lang w:val="lt-LT"/>
            </w:rPr>
            <w:t>TVIRTINU</w:t>
          </w:r>
        </w:p>
        <w:p>
          <w:pPr>
            <w:pStyle w:val="Normal"/>
            <w:spacing w:before="40" w:after="0"/>
            <w:jc w:val="right"/>
            <w:rPr>
              <w:rFonts w:eastAsia="Times New Roman" w:cs="Times New Roman"/>
              <w:szCs w:val="24"/>
              <w:lang w:val="lt-LT"/>
            </w:rPr>
          </w:pPr>
          <w:r>
            <w:rPr>
              <w:rFonts w:eastAsia="Times New Roman" w:cs="Times New Roman"/>
              <w:szCs w:val="24"/>
              <w:lang w:val="lt-LT"/>
            </w:rPr>
            <w:t>Higienos instituto direktorius</w:t>
          </w:r>
        </w:p>
        <w:p>
          <w:pPr>
            <w:pStyle w:val="Normal"/>
            <w:spacing w:before="40" w:after="0"/>
            <w:jc w:val="right"/>
            <w:rPr>
              <w:rFonts w:eastAsia="Times New Roman" w:cs="Times New Roman"/>
              <w:szCs w:val="24"/>
              <w:lang w:val="lt-LT"/>
            </w:rPr>
          </w:pPr>
          <w:r>
            <w:rPr>
              <w:rFonts w:eastAsia="Times New Roman" w:cs="Times New Roman"/>
              <w:szCs w:val="24"/>
              <w:lang w:val="lt-LT"/>
            </w:rPr>
            <w:t>Šarūnas Alasauskas</w:t>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jc w:val="center"/>
            <w:rPr/>
          </w:pPr>
          <w:r>
            <w:rPr/>
          </w:r>
        </w:p>
        <w:p>
          <w:pPr>
            <w:pStyle w:val="Normal"/>
            <w:spacing w:lineRule="auto" w:line="240" w:before="40" w:after="0"/>
            <w:rPr>
              <w:b/>
            </w:rPr>
          </w:pPr>
          <w:r>
            <w:rPr>
              <w:b/>
            </w:rPr>
          </w:r>
        </w:p>
        <w:p>
          <w:pPr>
            <w:pStyle w:val="Normal"/>
            <w:spacing w:lineRule="auto" w:line="240" w:before="40" w:after="0"/>
            <w:jc w:val="center"/>
            <w:rPr>
              <w:rFonts w:eastAsia="Times New Roman"/>
              <w:b/>
              <w:bCs/>
              <w:caps/>
            </w:rPr>
          </w:pPr>
          <w:r>
            <w:rPr>
              <w:rFonts w:eastAsia="Times New Roman"/>
              <w:b/>
              <w:bCs/>
              <w:caps/>
            </w:rPr>
            <w:t xml:space="preserve">Visuomenės sveikatos stiprinimo paslaugų valdymo tobulinimo poreikiams gerinti </w:t>
          </w:r>
          <w:r>
            <w:rPr>
              <w:rFonts w:eastAsia="Times New Roman" w:cs="Times New Roman"/>
              <w:b/>
              <w:bCs/>
              <w:szCs w:val="24"/>
              <w:lang w:val="lt-LT"/>
            </w:rPr>
            <w:t xml:space="preserve">INFORMACINIŲ TECHNOLOGIJŲ SPRENDIMO </w:t>
          </w:r>
        </w:p>
        <w:p>
          <w:pPr>
            <w:pStyle w:val="Normal"/>
            <w:spacing w:lineRule="auto" w:line="240" w:before="40" w:after="0"/>
            <w:jc w:val="center"/>
            <w:rPr>
              <w:rFonts w:eastAsia="Times New Roman"/>
              <w:b/>
              <w:bCs/>
              <w:caps/>
            </w:rPr>
          </w:pPr>
          <w:r>
            <w:rPr>
              <w:rFonts w:eastAsia="Times New Roman"/>
              <w:b/>
              <w:bCs/>
              <w:caps/>
            </w:rPr>
          </w:r>
        </w:p>
        <w:p>
          <w:pPr>
            <w:pStyle w:val="Normal"/>
            <w:spacing w:lineRule="auto" w:line="240" w:before="40" w:after="0"/>
            <w:jc w:val="center"/>
            <w:rPr>
              <w:b/>
              <w:bCs/>
            </w:rPr>
          </w:pPr>
          <w:r>
            <w:rPr>
              <w:b/>
              <w:bCs/>
            </w:rPr>
            <w:t>TECHNINIS APRAŠYMAS (SPECIFIKACIJA)</w:t>
          </w:r>
        </w:p>
        <w:p>
          <w:pPr>
            <w:pStyle w:val="Normal"/>
            <w:spacing w:lineRule="auto" w:line="240" w:before="40" w:after="0"/>
            <w:jc w:val="center"/>
            <w:rPr>
              <w:b/>
              <w:bCs/>
            </w:rPr>
          </w:pPr>
          <w:r>
            <w:rPr>
              <w:b/>
              <w:bCs/>
            </w:rPr>
          </w:r>
        </w:p>
        <w:p>
          <w:pPr>
            <w:pStyle w:val="Normal"/>
            <w:spacing w:lineRule="auto" w:line="240" w:before="40" w:after="0"/>
            <w:jc w:val="center"/>
            <w:rPr>
              <w:rFonts w:eastAsia="Times New Roman" w:cs="Times New Roman"/>
              <w:szCs w:val="24"/>
              <w:u w:val="single"/>
              <w:lang w:val="lt-LT"/>
            </w:rPr>
          </w:pPr>
          <w:r>
            <w:rPr>
              <w:rFonts w:eastAsia="Times New Roman" w:cs="Times New Roman"/>
              <w:szCs w:val="24"/>
              <w:u w:val="single"/>
              <w:lang w:val="lt-LT"/>
            </w:rPr>
            <w:t>V1.0</w:t>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t>Data, versijos numeris</w:t>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p>
          <w:pPr>
            <w:pStyle w:val="Normal"/>
            <w:spacing w:lineRule="auto" w:line="240" w:before="40" w:after="0"/>
            <w:jc w:val="center"/>
            <w:rPr>
              <w:rFonts w:eastAsia="Times New Roman" w:cs="Times New Roman"/>
              <w:sz w:val="20"/>
              <w:lang w:val="lt-LT"/>
            </w:rPr>
          </w:pPr>
          <w:r>
            <w:rPr>
              <w:rFonts w:eastAsia="Times New Roman" w:cs="Times New Roman"/>
              <w:sz w:val="20"/>
              <w:lang w:val="lt-LT"/>
            </w:rPr>
          </w:r>
        </w:p>
      </w:sdtContent>
    </w:sdt>
    <w:tbl>
      <w:tblPr>
        <w:tblW w:w="9120"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9120"/>
      </w:tblGrid>
      <w:tr>
        <w:trPr>
          <w:trHeight w:val="300" w:hRule="atLeast"/>
        </w:trPr>
        <w:tc>
          <w:tcPr>
            <w:tcW w:w="9120" w:type="dxa"/>
            <w:tcBorders/>
          </w:tcPr>
          <w:p>
            <w:pPr>
              <w:pStyle w:val="Normal"/>
              <w:spacing w:lineRule="auto" w:line="256" w:before="40" w:after="0"/>
              <w:rPr>
                <w:rFonts w:eastAsia="Times New Roman" w:cs="Times New Roman"/>
                <w:szCs w:val="24"/>
                <w:lang w:val="lt-LT"/>
              </w:rPr>
            </w:pPr>
            <w:r>
              <w:rPr>
                <w:rFonts w:eastAsia="Times New Roman" w:cs="Times New Roman"/>
                <w:szCs w:val="24"/>
                <w:lang w:val="lt-LT"/>
              </w:rPr>
              <w:t>SUDERINTA</w:t>
            </w:r>
          </w:p>
        </w:tc>
      </w:tr>
      <w:tr>
        <w:trPr>
          <w:trHeight w:val="300" w:hRule="atLeast"/>
        </w:trPr>
        <w:tc>
          <w:tcPr>
            <w:tcW w:w="9120" w:type="dxa"/>
            <w:tcBorders/>
          </w:tcPr>
          <w:p>
            <w:pPr>
              <w:pStyle w:val="Normal"/>
              <w:spacing w:lineRule="auto" w:line="256" w:before="40" w:after="0"/>
              <w:rPr>
                <w:rFonts w:eastAsia="Times New Roman" w:cs="Times New Roman"/>
                <w:szCs w:val="24"/>
                <w:lang w:val="lt-LT"/>
              </w:rPr>
            </w:pPr>
            <w:r>
              <w:rPr>
                <w:rFonts w:eastAsia="Times New Roman" w:cs="Times New Roman"/>
                <w:szCs w:val="24"/>
                <w:lang w:val="lt-LT"/>
              </w:rPr>
              <w:t>Valstybės skaitmeninių sprendimų agentūros</w:t>
            </w:r>
          </w:p>
          <w:p>
            <w:pPr>
              <w:pStyle w:val="Normal"/>
              <w:spacing w:lineRule="auto" w:line="256" w:before="40" w:after="0"/>
              <w:rPr>
                <w:rFonts w:eastAsia="Times New Roman" w:cs="Times New Roman"/>
                <w:szCs w:val="24"/>
                <w:lang w:val="lt-LT"/>
              </w:rPr>
            </w:pPr>
            <w:r>
              <w:rPr>
                <w:rFonts w:eastAsia="Times New Roman" w:cs="Times New Roman"/>
                <w:szCs w:val="24"/>
                <w:lang w:val="lt-LT"/>
              </w:rPr>
              <w:t xml:space="preserve">2024 m.                    raštu Nr. </w:t>
            </w:r>
          </w:p>
          <w:p>
            <w:pPr>
              <w:pStyle w:val="Normal"/>
              <w:spacing w:lineRule="auto" w:line="256" w:before="40" w:after="0"/>
              <w:rPr>
                <w:rFonts w:eastAsia="Times New Roman" w:cs="Times New Roman"/>
                <w:szCs w:val="24"/>
                <w:lang w:val="lt-LT"/>
              </w:rPr>
            </w:pPr>
            <w:r>
              <w:rPr>
                <w:rFonts w:eastAsia="Times New Roman" w:cs="Times New Roman"/>
                <w:szCs w:val="24"/>
                <w:lang w:val="lt-LT"/>
              </w:rPr>
            </w:r>
          </w:p>
        </w:tc>
      </w:tr>
    </w:tbl>
    <w:p>
      <w:pPr>
        <w:pStyle w:val="Normal"/>
        <w:spacing w:lineRule="auto" w:line="240" w:before="40" w:after="0"/>
        <w:jc w:val="center"/>
        <w:rPr>
          <w:rFonts w:eastAsia="Times New Roman"/>
          <w:b/>
          <w:bCs/>
        </w:rPr>
      </w:pPr>
      <w:r>
        <w:rPr>
          <w:rFonts w:eastAsia="Times New Roman"/>
          <w:b/>
          <w:bCs/>
        </w:rPr>
      </w:r>
    </w:p>
    <w:p>
      <w:pPr>
        <w:pStyle w:val="Normal"/>
        <w:rPr/>
      </w:pPr>
      <w:r>
        <w:rPr/>
      </w:r>
    </w:p>
    <w:sdt>
      <w:sdtPr>
        <w:docPartObj>
          <w:docPartGallery w:val="Table of Contents"/>
          <w:docPartUnique w:val="true"/>
        </w:docPartObj>
      </w:sdtPr>
      <w:sdtContent>
        <w:p>
          <w:pPr>
            <w:pStyle w:val="TOCHeading"/>
            <w:rPr/>
          </w:pPr>
          <w:r>
            <w:rPr/>
            <w:t>Turinys</w:t>
          </w:r>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r>
            <w:fldChar w:fldCharType="begin"/>
          </w:r>
          <w:r>
            <w:rPr>
              <w:webHidden/>
              <w:rStyle w:val="IndexLink"/>
              <w:b/>
              <w:bCs/>
            </w:rPr>
            <w:instrText xml:space="preserve"> TOC \z \o "1-3" \u \h</w:instrText>
          </w:r>
          <w:r>
            <w:rPr>
              <w:webHidden/>
              <w:rStyle w:val="IndexLink"/>
              <w:b/>
              <w:bCs/>
            </w:rPr>
            <w:fldChar w:fldCharType="separate"/>
          </w:r>
          <w:hyperlink w:anchor="_Toc191546186">
            <w:r>
              <w:rPr>
                <w:webHidden/>
                <w:rStyle w:val="IndexLink"/>
                <w:b/>
                <w:bCs/>
              </w:rPr>
              <w:t>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Sąvokos ir sutrumpinimai</w:t>
            </w:r>
            <w:r>
              <w:rPr>
                <w:webHidden/>
              </w:rPr>
              <w:fldChar w:fldCharType="begin"/>
            </w:r>
            <w:r>
              <w:rPr>
                <w:webHidden/>
              </w:rPr>
              <w:instrText xml:space="preserve">PAGEREF _Toc191546186 \h</w:instrText>
            </w:r>
            <w:r>
              <w:rPr>
                <w:webHidden/>
              </w:rPr>
              <w:fldChar w:fldCharType="separate"/>
            </w:r>
            <w:r>
              <w:rPr>
                <w:rStyle w:val="IndexLink"/>
                <w:vanish w:val="false"/>
              </w:rPr>
              <w:tab/>
              <w:t>4</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187">
            <w:r>
              <w:rPr>
                <w:webHidden/>
                <w:rStyle w:val="IndexLink"/>
                <w:b/>
                <w:bCs/>
              </w:rPr>
              <w:t>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Įvadas</w:t>
            </w:r>
            <w:r>
              <w:rPr>
                <w:webHidden/>
              </w:rPr>
              <w:fldChar w:fldCharType="begin"/>
            </w:r>
            <w:r>
              <w:rPr>
                <w:webHidden/>
              </w:rPr>
              <w:instrText xml:space="preserve">PAGEREF _Toc191546187 \h</w:instrText>
            </w:r>
            <w:r>
              <w:rPr>
                <w:webHidden/>
              </w:rPr>
              <w:fldChar w:fldCharType="separate"/>
            </w:r>
            <w:r>
              <w:rPr>
                <w:rStyle w:val="IndexLink"/>
                <w:vanish w:val="false"/>
              </w:rPr>
              <w:tab/>
              <w:t>6</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188">
            <w:r>
              <w:rPr>
                <w:webHidden/>
                <w:rStyle w:val="IndexLink"/>
                <w:b/>
                <w:bCs/>
              </w:rPr>
              <w:t>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IT sprendimo kūrimo tikslas</w:t>
            </w:r>
            <w:r>
              <w:rPr>
                <w:webHidden/>
              </w:rPr>
              <w:fldChar w:fldCharType="begin"/>
            </w:r>
            <w:r>
              <w:rPr>
                <w:webHidden/>
              </w:rPr>
              <w:instrText xml:space="preserve">PAGEREF _Toc191546188 \h</w:instrText>
            </w:r>
            <w:r>
              <w:rPr>
                <w:webHidden/>
              </w:rPr>
              <w:fldChar w:fldCharType="separate"/>
            </w:r>
            <w:r>
              <w:rPr>
                <w:rStyle w:val="IndexLink"/>
                <w:vanish w:val="false"/>
              </w:rPr>
              <w:tab/>
              <w:t>7</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189">
            <w:r>
              <w:rPr>
                <w:webHidden/>
                <w:rStyle w:val="IndexLink"/>
                <w:b/>
                <w:bCs/>
              </w:rPr>
              <w:t>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Esamas kompiuterizavimo lygis ir kompiuterizuojami veiklos procesai</w:t>
            </w:r>
            <w:r>
              <w:rPr>
                <w:webHidden/>
              </w:rPr>
              <w:fldChar w:fldCharType="begin"/>
            </w:r>
            <w:r>
              <w:rPr>
                <w:webHidden/>
              </w:rPr>
              <w:instrText xml:space="preserve">PAGEREF _Toc191546189 \h</w:instrText>
            </w:r>
            <w:r>
              <w:rPr>
                <w:webHidden/>
              </w:rPr>
              <w:fldChar w:fldCharType="separate"/>
            </w:r>
            <w:r>
              <w:rPr>
                <w:rStyle w:val="IndexLink"/>
                <w:vanish w:val="false"/>
              </w:rPr>
              <w:tab/>
              <w:t>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190">
            <w:r>
              <w:rPr>
                <w:webHidden/>
                <w:rStyle w:val="IndexLink"/>
                <w:b/>
              </w:rPr>
              <w:t>4.1.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Esamas kompiuterizavimo lygis</w:t>
            </w:r>
            <w:r>
              <w:rPr>
                <w:webHidden/>
              </w:rPr>
              <w:fldChar w:fldCharType="begin"/>
            </w:r>
            <w:r>
              <w:rPr>
                <w:webHidden/>
              </w:rPr>
              <w:instrText xml:space="preserve">PAGEREF _Toc191546190 \h</w:instrText>
            </w:r>
            <w:r>
              <w:rPr>
                <w:webHidden/>
              </w:rPr>
              <w:fldChar w:fldCharType="separate"/>
            </w:r>
            <w:r>
              <w:rPr>
                <w:rStyle w:val="IndexLink"/>
                <w:vanish w:val="false"/>
              </w:rPr>
              <w:tab/>
              <w:t>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191">
            <w:r>
              <w:rPr>
                <w:webHidden/>
                <w:rStyle w:val="IndexLink"/>
                <w:b/>
              </w:rPr>
              <w:t>4.2.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Siekiamos situacijos veiklos procesai</w:t>
            </w:r>
            <w:r>
              <w:rPr>
                <w:webHidden/>
              </w:rPr>
              <w:fldChar w:fldCharType="begin"/>
            </w:r>
            <w:r>
              <w:rPr>
                <w:webHidden/>
              </w:rPr>
              <w:instrText xml:space="preserve">PAGEREF _Toc191546191 \h</w:instrText>
            </w:r>
            <w:r>
              <w:rPr>
                <w:webHidden/>
              </w:rPr>
              <w:fldChar w:fldCharType="separate"/>
            </w:r>
            <w:r>
              <w:rPr>
                <w:rStyle w:val="IndexLink"/>
                <w:vanish w:val="false"/>
              </w:rPr>
              <w:tab/>
              <w:t>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2">
            <w:r>
              <w:rPr>
                <w:webHidden/>
                <w:rStyle w:val="IndexLink"/>
              </w:rPr>
              <w:t>4.2.1.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Bendras procesas</w:t>
            </w:r>
            <w:r>
              <w:rPr>
                <w:webHidden/>
              </w:rPr>
              <w:fldChar w:fldCharType="begin"/>
            </w:r>
            <w:r>
              <w:rPr>
                <w:webHidden/>
              </w:rPr>
              <w:instrText xml:space="preserve">PAGEREF _Toc191546192 \h</w:instrText>
            </w:r>
            <w:r>
              <w:rPr>
                <w:webHidden/>
              </w:rPr>
              <w:fldChar w:fldCharType="separate"/>
            </w:r>
            <w:r>
              <w:rPr>
                <w:rStyle w:val="IndexLink"/>
                <w:vanish w:val="false"/>
              </w:rPr>
              <w:tab/>
              <w:t>10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3">
            <w:r>
              <w:rPr>
                <w:webHidden/>
                <w:rStyle w:val="IndexLink"/>
              </w:rPr>
              <w:t>4.2.2.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Bazinių paslaugų įvedimas</w:t>
            </w:r>
            <w:r>
              <w:rPr>
                <w:webHidden/>
              </w:rPr>
              <w:fldChar w:fldCharType="begin"/>
            </w:r>
            <w:r>
              <w:rPr>
                <w:webHidden/>
              </w:rPr>
              <w:instrText xml:space="preserve">PAGEREF _Toc191546193 \h</w:instrText>
            </w:r>
            <w:r>
              <w:rPr>
                <w:webHidden/>
              </w:rPr>
              <w:fldChar w:fldCharType="separate"/>
            </w:r>
            <w:r>
              <w:rPr>
                <w:rStyle w:val="IndexLink"/>
                <w:vanish w:val="false"/>
              </w:rPr>
              <w:tab/>
              <w:t>11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4">
            <w:r>
              <w:rPr>
                <w:webHidden/>
                <w:rStyle w:val="IndexLink"/>
              </w:rPr>
              <w:t>4.2.3.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Paslaugos suderinimas ir vykdymas</w:t>
            </w:r>
            <w:r>
              <w:rPr>
                <w:webHidden/>
              </w:rPr>
              <w:fldChar w:fldCharType="begin"/>
            </w:r>
            <w:r>
              <w:rPr>
                <w:webHidden/>
              </w:rPr>
              <w:instrText xml:space="preserve">PAGEREF _Toc191546194 \h</w:instrText>
            </w:r>
            <w:r>
              <w:rPr>
                <w:webHidden/>
              </w:rPr>
              <w:fldChar w:fldCharType="separate"/>
            </w:r>
            <w:r>
              <w:rPr>
                <w:rStyle w:val="IndexLink"/>
                <w:vanish w:val="false"/>
              </w:rPr>
              <w:tab/>
              <w:t>13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5">
            <w:r>
              <w:rPr>
                <w:webHidden/>
                <w:rStyle w:val="IndexLink"/>
              </w:rPr>
              <w:t>4.2.4.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Paslaugos vykdymas</w:t>
            </w:r>
            <w:r>
              <w:rPr>
                <w:webHidden/>
              </w:rPr>
              <w:fldChar w:fldCharType="begin"/>
            </w:r>
            <w:r>
              <w:rPr>
                <w:webHidden/>
              </w:rPr>
              <w:instrText xml:space="preserve">PAGEREF _Toc191546195 \h</w:instrText>
            </w:r>
            <w:r>
              <w:rPr>
                <w:webHidden/>
              </w:rPr>
              <w:fldChar w:fldCharType="separate"/>
            </w:r>
            <w:r>
              <w:rPr>
                <w:rStyle w:val="IndexLink"/>
                <w:vanish w:val="false"/>
              </w:rPr>
              <w:tab/>
              <w:t>16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6">
            <w:r>
              <w:rPr>
                <w:webHidden/>
                <w:rStyle w:val="IndexLink"/>
              </w:rPr>
              <w:t>4.2.5.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Paslaugų įvykdymo ataskaitų pateikimas</w:t>
            </w:r>
            <w:r>
              <w:rPr>
                <w:webHidden/>
              </w:rPr>
              <w:fldChar w:fldCharType="begin"/>
            </w:r>
            <w:r>
              <w:rPr>
                <w:webHidden/>
              </w:rPr>
              <w:instrText xml:space="preserve">PAGEREF _Toc191546196 \h</w:instrText>
            </w:r>
            <w:r>
              <w:rPr>
                <w:webHidden/>
              </w:rPr>
              <w:fldChar w:fldCharType="separate"/>
            </w:r>
            <w:r>
              <w:rPr>
                <w:rStyle w:val="IndexLink"/>
                <w:vanish w:val="false"/>
              </w:rPr>
              <w:tab/>
              <w:t>18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7">
            <w:r>
              <w:rPr>
                <w:webHidden/>
                <w:rStyle w:val="IndexLink"/>
              </w:rPr>
              <w:t>4.2.6.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Papildomų paslaugų įvedimas</w:t>
            </w:r>
            <w:r>
              <w:rPr>
                <w:webHidden/>
              </w:rPr>
              <w:fldChar w:fldCharType="begin"/>
            </w:r>
            <w:r>
              <w:rPr>
                <w:webHidden/>
              </w:rPr>
              <w:instrText xml:space="preserve">PAGEREF _Toc191546197 \h</w:instrText>
            </w:r>
            <w:r>
              <w:rPr>
                <w:webHidden/>
              </w:rPr>
              <w:fldChar w:fldCharType="separate"/>
            </w:r>
            <w:r>
              <w:rPr>
                <w:rStyle w:val="IndexLink"/>
                <w:vanish w:val="false"/>
              </w:rPr>
              <w:tab/>
              <w:t>19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198">
            <w:r>
              <w:rPr>
                <w:webHidden/>
                <w:rStyle w:val="IndexLink"/>
              </w:rPr>
              <w:t>4.2.7.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Dotacijų paskirstymas</w:t>
            </w:r>
            <w:r>
              <w:rPr>
                <w:webHidden/>
              </w:rPr>
              <w:fldChar w:fldCharType="begin"/>
            </w:r>
            <w:r>
              <w:rPr>
                <w:webHidden/>
              </w:rPr>
              <w:instrText xml:space="preserve">PAGEREF _Toc191546198 \h</w:instrText>
            </w:r>
            <w:r>
              <w:rPr>
                <w:webHidden/>
              </w:rPr>
              <w:fldChar w:fldCharType="separate"/>
            </w:r>
            <w:r>
              <w:rPr>
                <w:rStyle w:val="IndexLink"/>
                <w:vanish w:val="false"/>
              </w:rPr>
              <w:tab/>
              <w:t>21</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199">
            <w:r>
              <w:rPr>
                <w:webHidden/>
                <w:rStyle w:val="IndexLink"/>
                <w:b/>
              </w:rPr>
              <w:t>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Veiklos reikalavimai</w:t>
            </w:r>
            <w:r>
              <w:rPr>
                <w:webHidden/>
              </w:rPr>
              <w:fldChar w:fldCharType="begin"/>
            </w:r>
            <w:r>
              <w:rPr>
                <w:webHidden/>
              </w:rPr>
              <w:instrText xml:space="preserve">PAGEREF _Toc191546199 \h</w:instrText>
            </w:r>
            <w:r>
              <w:rPr>
                <w:webHidden/>
              </w:rPr>
              <w:fldChar w:fldCharType="separate"/>
            </w:r>
            <w:r>
              <w:rPr>
                <w:rStyle w:val="IndexLink"/>
                <w:vanish w:val="false"/>
              </w:rPr>
              <w:tab/>
              <w:t>23</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00">
            <w:r>
              <w:rPr>
                <w:webHidden/>
                <w:rStyle w:val="IndexLink"/>
                <w:b/>
              </w:rPr>
              <w:t>5.1.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Funkcinė schema</w:t>
            </w:r>
            <w:r>
              <w:rPr>
                <w:webHidden/>
              </w:rPr>
              <w:fldChar w:fldCharType="begin"/>
            </w:r>
            <w:r>
              <w:rPr>
                <w:webHidden/>
              </w:rPr>
              <w:instrText xml:space="preserve">PAGEREF _Toc191546200 \h</w:instrText>
            </w:r>
            <w:r>
              <w:rPr>
                <w:webHidden/>
              </w:rPr>
              <w:fldChar w:fldCharType="separate"/>
            </w:r>
            <w:r>
              <w:rPr>
                <w:rStyle w:val="IndexLink"/>
                <w:vanish w:val="false"/>
              </w:rPr>
              <w:tab/>
              <w:t>23</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01">
            <w:r>
              <w:rPr>
                <w:webHidden/>
                <w:rStyle w:val="IndexLink"/>
                <w:b/>
              </w:rPr>
              <w:t>5.2.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Vidiniai ir išoriniai duomenų srautai</w:t>
            </w:r>
            <w:r>
              <w:rPr>
                <w:webHidden/>
              </w:rPr>
              <w:fldChar w:fldCharType="begin"/>
            </w:r>
            <w:r>
              <w:rPr>
                <w:webHidden/>
              </w:rPr>
              <w:instrText xml:space="preserve">PAGEREF _Toc191546201 \h</w:instrText>
            </w:r>
            <w:r>
              <w:rPr>
                <w:webHidden/>
              </w:rPr>
              <w:fldChar w:fldCharType="separate"/>
            </w:r>
            <w:r>
              <w:rPr>
                <w:rStyle w:val="IndexLink"/>
                <w:vanish w:val="false"/>
              </w:rPr>
              <w:tab/>
              <w:t>24</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02">
            <w:r>
              <w:rPr>
                <w:webHidden/>
                <w:rStyle w:val="IndexLink"/>
                <w:b/>
                <w:bCs/>
              </w:rPr>
              <w:t>5.3.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Koncepcinis duomenų modelis</w:t>
            </w:r>
            <w:r>
              <w:rPr>
                <w:webHidden/>
              </w:rPr>
              <w:fldChar w:fldCharType="begin"/>
            </w:r>
            <w:r>
              <w:rPr>
                <w:webHidden/>
              </w:rPr>
              <w:instrText xml:space="preserve">PAGEREF _Toc191546202 \h</w:instrText>
            </w:r>
            <w:r>
              <w:rPr>
                <w:webHidden/>
              </w:rPr>
              <w:fldChar w:fldCharType="separate"/>
            </w:r>
            <w:r>
              <w:rPr>
                <w:rStyle w:val="IndexLink"/>
                <w:vanish w:val="false"/>
              </w:rPr>
              <w:tab/>
              <w:t>25</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03">
            <w:r>
              <w:rPr>
                <w:webHidden/>
                <w:rStyle w:val="IndexLink"/>
                <w:b/>
              </w:rPr>
              <w:t>5.4.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Duomenų teikimas ir naudojimas</w:t>
            </w:r>
            <w:r>
              <w:rPr>
                <w:webHidden/>
              </w:rPr>
              <w:fldChar w:fldCharType="begin"/>
            </w:r>
            <w:r>
              <w:rPr>
                <w:webHidden/>
              </w:rPr>
              <w:instrText xml:space="preserve">PAGEREF _Toc191546203 \h</w:instrText>
            </w:r>
            <w:r>
              <w:rPr>
                <w:webHidden/>
              </w:rPr>
              <w:fldChar w:fldCharType="separate"/>
            </w:r>
            <w:r>
              <w:rPr>
                <w:rStyle w:val="IndexLink"/>
                <w:vanish w:val="false"/>
              </w:rPr>
              <w:tab/>
              <w:t>28</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04">
            <w:r>
              <w:rPr>
                <w:webHidden/>
                <w:rStyle w:val="IndexLink"/>
                <w:b/>
              </w:rPr>
              <w:t>5.5.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Funkciniai reikalavimai</w:t>
            </w:r>
            <w:r>
              <w:rPr>
                <w:webHidden/>
              </w:rPr>
              <w:fldChar w:fldCharType="begin"/>
            </w:r>
            <w:r>
              <w:rPr>
                <w:webHidden/>
              </w:rPr>
              <w:instrText xml:space="preserve">PAGEREF _Toc191546204 \h</w:instrText>
            </w:r>
            <w:r>
              <w:rPr>
                <w:webHidden/>
              </w:rPr>
              <w:fldChar w:fldCharType="separate"/>
            </w:r>
            <w:r>
              <w:rPr>
                <w:rStyle w:val="IndexLink"/>
                <w:vanish w:val="false"/>
              </w:rPr>
              <w:tab/>
              <w:t>30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05">
            <w:r>
              <w:rPr>
                <w:webHidden/>
                <w:rStyle w:val="IndexLink"/>
              </w:rPr>
              <w:t>5.5.1.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Bendrieji reikalavimai</w:t>
            </w:r>
            <w:r>
              <w:rPr>
                <w:webHidden/>
              </w:rPr>
              <w:fldChar w:fldCharType="begin"/>
            </w:r>
            <w:r>
              <w:rPr>
                <w:webHidden/>
              </w:rPr>
              <w:instrText xml:space="preserve">PAGEREF _Toc191546205 \h</w:instrText>
            </w:r>
            <w:r>
              <w:rPr>
                <w:webHidden/>
              </w:rPr>
              <w:fldChar w:fldCharType="separate"/>
            </w:r>
            <w:r>
              <w:rPr>
                <w:rStyle w:val="IndexLink"/>
                <w:vanish w:val="false"/>
              </w:rPr>
              <w:tab/>
              <w:t>30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06">
            <w:r>
              <w:rPr>
                <w:webHidden/>
                <w:rStyle w:val="IndexLink"/>
              </w:rPr>
              <w:t>5.5.2.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paslaugų vykdymo funkcionalumui</w:t>
            </w:r>
            <w:r>
              <w:rPr>
                <w:webHidden/>
              </w:rPr>
              <w:fldChar w:fldCharType="begin"/>
            </w:r>
            <w:r>
              <w:rPr>
                <w:webHidden/>
              </w:rPr>
              <w:instrText xml:space="preserve">PAGEREF _Toc191546206 \h</w:instrText>
            </w:r>
            <w:r>
              <w:rPr>
                <w:webHidden/>
              </w:rPr>
              <w:fldChar w:fldCharType="separate"/>
            </w:r>
            <w:r>
              <w:rPr>
                <w:rStyle w:val="IndexLink"/>
                <w:vanish w:val="false"/>
              </w:rPr>
              <w:tab/>
              <w:t>31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07">
            <w:r>
              <w:rPr>
                <w:webHidden/>
                <w:rStyle w:val="IndexLink"/>
              </w:rPr>
              <w:t>5.5.2.1.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bazinių paslaugų registravimui ir vykdymui</w:t>
            </w:r>
            <w:r>
              <w:rPr>
                <w:webHidden/>
              </w:rPr>
              <w:fldChar w:fldCharType="begin"/>
            </w:r>
            <w:r>
              <w:rPr>
                <w:webHidden/>
              </w:rPr>
              <w:instrText xml:space="preserve">PAGEREF _Toc191546207 \h</w:instrText>
            </w:r>
            <w:r>
              <w:rPr>
                <w:webHidden/>
              </w:rPr>
              <w:fldChar w:fldCharType="separate"/>
            </w:r>
            <w:r>
              <w:rPr>
                <w:rStyle w:val="IndexLink"/>
                <w:vanish w:val="false"/>
              </w:rPr>
              <w:tab/>
              <w:t>31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08">
            <w:r>
              <w:rPr>
                <w:webHidden/>
                <w:rStyle w:val="IndexLink"/>
              </w:rPr>
              <w:t>5.5.2.2.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visuomenės sveikatos biurų teikiamų paslaugų registravimui ir vykdymui</w:t>
            </w:r>
            <w:r>
              <w:rPr>
                <w:webHidden/>
              </w:rPr>
              <w:fldChar w:fldCharType="begin"/>
            </w:r>
            <w:r>
              <w:rPr>
                <w:webHidden/>
              </w:rPr>
              <w:instrText xml:space="preserve">PAGEREF _Toc191546208 \h</w:instrText>
            </w:r>
            <w:r>
              <w:rPr>
                <w:webHidden/>
              </w:rPr>
              <w:fldChar w:fldCharType="separate"/>
            </w:r>
            <w:r>
              <w:rPr>
                <w:rStyle w:val="IndexLink"/>
                <w:vanish w:val="false"/>
              </w:rPr>
              <w:tab/>
              <w:t>33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09">
            <w:r>
              <w:rPr>
                <w:webHidden/>
                <w:rStyle w:val="IndexLink"/>
              </w:rPr>
              <w:t>5.5.2.3.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paslaugų vertinimo kriterijų pildymui ir valdymui</w:t>
            </w:r>
            <w:r>
              <w:rPr>
                <w:webHidden/>
              </w:rPr>
              <w:fldChar w:fldCharType="begin"/>
            </w:r>
            <w:r>
              <w:rPr>
                <w:webHidden/>
              </w:rPr>
              <w:instrText xml:space="preserve">PAGEREF _Toc191546209 \h</w:instrText>
            </w:r>
            <w:r>
              <w:rPr>
                <w:webHidden/>
              </w:rPr>
              <w:fldChar w:fldCharType="separate"/>
            </w:r>
            <w:r>
              <w:rPr>
                <w:rStyle w:val="IndexLink"/>
                <w:vanish w:val="false"/>
              </w:rPr>
              <w:tab/>
              <w:t>34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0">
            <w:r>
              <w:rPr>
                <w:webHidden/>
                <w:rStyle w:val="IndexLink"/>
              </w:rPr>
              <w:t>5.5.2.4.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 xml:space="preserve">Reikalavimai </w:t>
            </w:r>
            <w:r>
              <w:rPr>
                <w:rStyle w:val="IndexLink"/>
                <w:rFonts w:cs="Times New Roman"/>
              </w:rPr>
              <w:t xml:space="preserve">SRDI </w:t>
            </w:r>
            <w:r>
              <w:rPr>
                <w:rStyle w:val="IndexLink"/>
              </w:rPr>
              <w:t>registravimui</w:t>
            </w:r>
            <w:r>
              <w:rPr>
                <w:webHidden/>
              </w:rPr>
              <w:fldChar w:fldCharType="begin"/>
            </w:r>
            <w:r>
              <w:rPr>
                <w:webHidden/>
              </w:rPr>
              <w:instrText xml:space="preserve">PAGEREF _Toc191546210 \h</w:instrText>
            </w:r>
            <w:r>
              <w:rPr>
                <w:webHidden/>
              </w:rPr>
              <w:fldChar w:fldCharType="separate"/>
            </w:r>
            <w:r>
              <w:rPr>
                <w:rStyle w:val="IndexLink"/>
                <w:vanish w:val="false"/>
              </w:rPr>
              <w:tab/>
              <w:t>36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1">
            <w:r>
              <w:rPr>
                <w:webHidden/>
                <w:rStyle w:val="IndexLink"/>
              </w:rPr>
              <w:t>5.5.2.5.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paslaugos gavėjų analitinių požymių pildymui</w:t>
            </w:r>
            <w:r>
              <w:rPr>
                <w:webHidden/>
              </w:rPr>
              <w:fldChar w:fldCharType="begin"/>
            </w:r>
            <w:r>
              <w:rPr>
                <w:webHidden/>
              </w:rPr>
              <w:instrText xml:space="preserve">PAGEREF _Toc191546211 \h</w:instrText>
            </w:r>
            <w:r>
              <w:rPr>
                <w:webHidden/>
              </w:rPr>
              <w:fldChar w:fldCharType="separate"/>
            </w:r>
            <w:r>
              <w:rPr>
                <w:rStyle w:val="IndexLink"/>
                <w:vanish w:val="false"/>
              </w:rPr>
              <w:tab/>
              <w:t>38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2">
            <w:r>
              <w:rPr>
                <w:webHidden/>
                <w:rStyle w:val="IndexLink"/>
              </w:rPr>
              <w:t>5.5.2.6.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papildomų ataskaitų duomenų pildymui</w:t>
            </w:r>
            <w:r>
              <w:rPr>
                <w:webHidden/>
              </w:rPr>
              <w:fldChar w:fldCharType="begin"/>
            </w:r>
            <w:r>
              <w:rPr>
                <w:webHidden/>
              </w:rPr>
              <w:instrText xml:space="preserve">PAGEREF _Toc191546212 \h</w:instrText>
            </w:r>
            <w:r>
              <w:rPr>
                <w:webHidden/>
              </w:rPr>
              <w:fldChar w:fldCharType="separate"/>
            </w:r>
            <w:r>
              <w:rPr>
                <w:rStyle w:val="IndexLink"/>
                <w:vanish w:val="false"/>
              </w:rPr>
              <w:tab/>
              <w:t>39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3">
            <w:r>
              <w:rPr>
                <w:webHidden/>
                <w:rStyle w:val="IndexLink"/>
              </w:rPr>
              <w:t>5.5.3.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specialios tikslinės dotacijos planavimui</w:t>
            </w:r>
            <w:r>
              <w:rPr>
                <w:webHidden/>
              </w:rPr>
              <w:fldChar w:fldCharType="begin"/>
            </w:r>
            <w:r>
              <w:rPr>
                <w:webHidden/>
              </w:rPr>
              <w:instrText xml:space="preserve">PAGEREF _Toc191546213 \h</w:instrText>
            </w:r>
            <w:r>
              <w:rPr>
                <w:webHidden/>
              </w:rPr>
              <w:fldChar w:fldCharType="separate"/>
            </w:r>
            <w:r>
              <w:rPr>
                <w:rStyle w:val="IndexLink"/>
                <w:vanish w:val="false"/>
              </w:rPr>
              <w:tab/>
              <w:t>40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4">
            <w:r>
              <w:rPr>
                <w:webHidden/>
                <w:rStyle w:val="IndexLink"/>
              </w:rPr>
              <w:t>5.5.3.1.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paskirstymo bazių pildymui</w:t>
            </w:r>
            <w:r>
              <w:rPr>
                <w:webHidden/>
              </w:rPr>
              <w:fldChar w:fldCharType="begin"/>
            </w:r>
            <w:r>
              <w:rPr>
                <w:webHidden/>
              </w:rPr>
              <w:instrText xml:space="preserve">PAGEREF _Toc191546214 \h</w:instrText>
            </w:r>
            <w:r>
              <w:rPr>
                <w:webHidden/>
              </w:rPr>
              <w:fldChar w:fldCharType="separate"/>
            </w:r>
            <w:r>
              <w:rPr>
                <w:rStyle w:val="IndexLink"/>
                <w:vanish w:val="false"/>
              </w:rPr>
              <w:tab/>
              <w:t>40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5">
            <w:r>
              <w:rPr>
                <w:webHidden/>
                <w:rStyle w:val="IndexLink"/>
              </w:rPr>
              <w:t>5.5.3.2.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paskirstymo normų pildymui</w:t>
            </w:r>
            <w:r>
              <w:rPr>
                <w:webHidden/>
              </w:rPr>
              <w:fldChar w:fldCharType="begin"/>
            </w:r>
            <w:r>
              <w:rPr>
                <w:webHidden/>
              </w:rPr>
              <w:instrText xml:space="preserve">PAGEREF _Toc191546215 \h</w:instrText>
            </w:r>
            <w:r>
              <w:rPr>
                <w:webHidden/>
              </w:rPr>
              <w:fldChar w:fldCharType="separate"/>
            </w:r>
            <w:r>
              <w:rPr>
                <w:rStyle w:val="IndexLink"/>
                <w:vanish w:val="false"/>
              </w:rPr>
              <w:tab/>
              <w:t>41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6">
            <w:r>
              <w:rPr>
                <w:webHidden/>
                <w:rStyle w:val="IndexLink"/>
              </w:rPr>
              <w:t>5.5.3.3.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dotacijų paskirstymų pildymui</w:t>
            </w:r>
            <w:r>
              <w:rPr>
                <w:webHidden/>
              </w:rPr>
              <w:fldChar w:fldCharType="begin"/>
            </w:r>
            <w:r>
              <w:rPr>
                <w:webHidden/>
              </w:rPr>
              <w:instrText xml:space="preserve">PAGEREF _Toc191546216 \h</w:instrText>
            </w:r>
            <w:r>
              <w:rPr>
                <w:webHidden/>
              </w:rPr>
              <w:fldChar w:fldCharType="separate"/>
            </w:r>
            <w:r>
              <w:rPr>
                <w:rStyle w:val="IndexLink"/>
                <w:vanish w:val="false"/>
              </w:rPr>
              <w:tab/>
              <w:t>42</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7">
            <w:r>
              <w:rPr>
                <w:webHidden/>
                <w:rStyle w:val="IndexLink"/>
              </w:rPr>
              <w:t>5.5.4.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finansinių formų pildymui</w:t>
            </w:r>
            <w:r>
              <w:rPr>
                <w:webHidden/>
              </w:rPr>
              <w:fldChar w:fldCharType="begin"/>
            </w:r>
            <w:r>
              <w:rPr>
                <w:webHidden/>
              </w:rPr>
              <w:instrText xml:space="preserve">PAGEREF _Toc191546217 \h</w:instrText>
            </w:r>
            <w:r>
              <w:rPr>
                <w:webHidden/>
              </w:rPr>
              <w:fldChar w:fldCharType="separate"/>
            </w:r>
            <w:r>
              <w:rPr>
                <w:rStyle w:val="IndexLink"/>
                <w:vanish w:val="false"/>
              </w:rPr>
              <w:tab/>
              <w:t>45</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8">
            <w:r>
              <w:rPr>
                <w:webHidden/>
                <w:rStyle w:val="IndexLink"/>
              </w:rPr>
              <w:t>5.5.4.1.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programų sąmatų pildymui</w:t>
            </w:r>
            <w:r>
              <w:rPr>
                <w:webHidden/>
              </w:rPr>
              <w:fldChar w:fldCharType="begin"/>
            </w:r>
            <w:r>
              <w:rPr>
                <w:webHidden/>
              </w:rPr>
              <w:instrText xml:space="preserve">PAGEREF _Toc191546218 \h</w:instrText>
            </w:r>
            <w:r>
              <w:rPr>
                <w:webHidden/>
              </w:rPr>
              <w:fldChar w:fldCharType="separate"/>
            </w:r>
            <w:r>
              <w:rPr>
                <w:rStyle w:val="IndexLink"/>
                <w:vanish w:val="false"/>
              </w:rPr>
              <w:tab/>
              <w:t>45</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19">
            <w:r>
              <w:rPr>
                <w:webHidden/>
                <w:rStyle w:val="IndexLink"/>
              </w:rPr>
              <w:t>5.5.4.2.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darbo užmokesčio sąmatų pildymui</w:t>
            </w:r>
            <w:r>
              <w:rPr>
                <w:webHidden/>
              </w:rPr>
              <w:fldChar w:fldCharType="begin"/>
            </w:r>
            <w:r>
              <w:rPr>
                <w:webHidden/>
              </w:rPr>
              <w:instrText xml:space="preserve">PAGEREF _Toc191546219 \h</w:instrText>
            </w:r>
            <w:r>
              <w:rPr>
                <w:webHidden/>
              </w:rPr>
              <w:fldChar w:fldCharType="separate"/>
            </w:r>
            <w:r>
              <w:rPr>
                <w:rStyle w:val="IndexLink"/>
                <w:vanish w:val="false"/>
              </w:rPr>
              <w:tab/>
              <w:t>46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0">
            <w:r>
              <w:rPr>
                <w:webHidden/>
                <w:rStyle w:val="IndexLink"/>
              </w:rPr>
              <w:t>5.5.4.3.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sąmatų vykdymo ataskaitų pildymui</w:t>
            </w:r>
            <w:r>
              <w:rPr>
                <w:webHidden/>
              </w:rPr>
              <w:fldChar w:fldCharType="begin"/>
            </w:r>
            <w:r>
              <w:rPr>
                <w:webHidden/>
              </w:rPr>
              <w:instrText xml:space="preserve">PAGEREF _Toc191546220 \h</w:instrText>
            </w:r>
            <w:r>
              <w:rPr>
                <w:webHidden/>
              </w:rPr>
              <w:fldChar w:fldCharType="separate"/>
            </w:r>
            <w:r>
              <w:rPr>
                <w:rStyle w:val="IndexLink"/>
                <w:vanish w:val="false"/>
              </w:rPr>
              <w:tab/>
              <w:t>48</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1">
            <w:r>
              <w:rPr>
                <w:webHidden/>
                <w:rStyle w:val="IndexLink"/>
              </w:rPr>
              <w:t>5.5.4.4.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darbo užmokesčio sąmatų vykdymo ataskaitų pildymui</w:t>
            </w:r>
            <w:r>
              <w:rPr>
                <w:webHidden/>
              </w:rPr>
              <w:fldChar w:fldCharType="begin"/>
            </w:r>
            <w:r>
              <w:rPr>
                <w:webHidden/>
              </w:rPr>
              <w:instrText xml:space="preserve">PAGEREF _Toc191546221 \h</w:instrText>
            </w:r>
            <w:r>
              <w:rPr>
                <w:webHidden/>
              </w:rPr>
              <w:fldChar w:fldCharType="separate"/>
            </w:r>
            <w:r>
              <w:rPr>
                <w:rStyle w:val="IndexLink"/>
                <w:vanish w:val="false"/>
              </w:rPr>
              <w:tab/>
              <w:t>49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2">
            <w:r>
              <w:rPr>
                <w:webHidden/>
                <w:rStyle w:val="IndexLink"/>
              </w:rPr>
              <w:t>5.5.5.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duomenų mainams</w:t>
            </w:r>
            <w:r>
              <w:rPr>
                <w:webHidden/>
              </w:rPr>
              <w:fldChar w:fldCharType="begin"/>
            </w:r>
            <w:r>
              <w:rPr>
                <w:webHidden/>
              </w:rPr>
              <w:instrText xml:space="preserve">PAGEREF _Toc191546222 \h</w:instrText>
            </w:r>
            <w:r>
              <w:rPr>
                <w:webHidden/>
              </w:rPr>
              <w:fldChar w:fldCharType="separate"/>
            </w:r>
            <w:r>
              <w:rPr>
                <w:rStyle w:val="IndexLink"/>
                <w:vanish w:val="false"/>
              </w:rPr>
              <w:tab/>
              <w:t>50</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3">
            <w:r>
              <w:rPr>
                <w:webHidden/>
                <w:rStyle w:val="IndexLink"/>
              </w:rPr>
              <w:t>5.5.6.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ataskaitoms</w:t>
            </w:r>
            <w:r>
              <w:rPr>
                <w:webHidden/>
              </w:rPr>
              <w:fldChar w:fldCharType="begin"/>
            </w:r>
            <w:r>
              <w:rPr>
                <w:webHidden/>
              </w:rPr>
              <w:instrText xml:space="preserve">PAGEREF _Toc191546223 \h</w:instrText>
            </w:r>
            <w:r>
              <w:rPr>
                <w:webHidden/>
              </w:rPr>
              <w:fldChar w:fldCharType="separate"/>
            </w:r>
            <w:r>
              <w:rPr>
                <w:rStyle w:val="IndexLink"/>
                <w:vanish w:val="false"/>
              </w:rPr>
              <w:tab/>
              <w:t>52</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4">
            <w:r>
              <w:rPr>
                <w:webHidden/>
                <w:rStyle w:val="IndexLink"/>
              </w:rPr>
              <w:t>5.5.7.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administravimui</w:t>
            </w:r>
            <w:r>
              <w:rPr>
                <w:webHidden/>
              </w:rPr>
              <w:fldChar w:fldCharType="begin"/>
            </w:r>
            <w:r>
              <w:rPr>
                <w:webHidden/>
              </w:rPr>
              <w:instrText xml:space="preserve">PAGEREF _Toc191546224 \h</w:instrText>
            </w:r>
            <w:r>
              <w:rPr>
                <w:webHidden/>
              </w:rPr>
              <w:fldChar w:fldCharType="separate"/>
            </w:r>
            <w:r>
              <w:rPr>
                <w:rStyle w:val="IndexLink"/>
                <w:vanish w:val="false"/>
              </w:rPr>
              <w:tab/>
              <w:t>56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5">
            <w:r>
              <w:rPr>
                <w:webHidden/>
                <w:rStyle w:val="IndexLink"/>
              </w:rPr>
              <w:t>5.5.7.1.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naudotojų ir jų teisių valdymui</w:t>
            </w:r>
            <w:r>
              <w:rPr>
                <w:webHidden/>
              </w:rPr>
              <w:fldChar w:fldCharType="begin"/>
            </w:r>
            <w:r>
              <w:rPr>
                <w:webHidden/>
              </w:rPr>
              <w:instrText xml:space="preserve">PAGEREF _Toc191546225 \h</w:instrText>
            </w:r>
            <w:r>
              <w:rPr>
                <w:webHidden/>
              </w:rPr>
              <w:fldChar w:fldCharType="separate"/>
            </w:r>
            <w:r>
              <w:rPr>
                <w:rStyle w:val="IndexLink"/>
                <w:vanish w:val="false"/>
              </w:rPr>
              <w:tab/>
              <w:t>56</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6">
            <w:r>
              <w:rPr>
                <w:webHidden/>
                <w:rStyle w:val="IndexLink"/>
              </w:rPr>
              <w:t>5.5.7.2.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žinynų tvarkymui</w:t>
            </w:r>
            <w:r>
              <w:rPr>
                <w:webHidden/>
              </w:rPr>
              <w:fldChar w:fldCharType="begin"/>
            </w:r>
            <w:r>
              <w:rPr>
                <w:webHidden/>
              </w:rPr>
              <w:instrText xml:space="preserve">PAGEREF _Toc191546226 \h</w:instrText>
            </w:r>
            <w:r>
              <w:rPr>
                <w:webHidden/>
              </w:rPr>
              <w:fldChar w:fldCharType="separate"/>
            </w:r>
            <w:r>
              <w:rPr>
                <w:rStyle w:val="IndexLink"/>
                <w:vanish w:val="false"/>
              </w:rPr>
              <w:tab/>
              <w:t>60</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27">
            <w:r>
              <w:rPr>
                <w:webHidden/>
                <w:rStyle w:val="IndexLink"/>
                <w:b/>
              </w:rPr>
              <w:t>5.6.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Nefunkciniai reikalavimai</w:t>
            </w:r>
            <w:r>
              <w:rPr>
                <w:webHidden/>
              </w:rPr>
              <w:fldChar w:fldCharType="begin"/>
            </w:r>
            <w:r>
              <w:rPr>
                <w:webHidden/>
              </w:rPr>
              <w:instrText xml:space="preserve">PAGEREF _Toc191546227 \h</w:instrText>
            </w:r>
            <w:r>
              <w:rPr>
                <w:webHidden/>
              </w:rPr>
              <w:fldChar w:fldCharType="separate"/>
            </w:r>
            <w:r>
              <w:rPr>
                <w:rStyle w:val="IndexLink"/>
                <w:vanish w:val="false"/>
              </w:rPr>
              <w:tab/>
              <w:t>61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8">
            <w:r>
              <w:rPr>
                <w:webHidden/>
                <w:rStyle w:val="IndexLink"/>
              </w:rPr>
              <w:t>5.6.1.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Saugumo ir slaptumo (konfidencialumo) reikalavimai</w:t>
            </w:r>
            <w:r>
              <w:rPr>
                <w:webHidden/>
              </w:rPr>
              <w:fldChar w:fldCharType="begin"/>
            </w:r>
            <w:r>
              <w:rPr>
                <w:webHidden/>
              </w:rPr>
              <w:instrText xml:space="preserve">PAGEREF _Toc191546228 \h</w:instrText>
            </w:r>
            <w:r>
              <w:rPr>
                <w:webHidden/>
              </w:rPr>
              <w:fldChar w:fldCharType="separate"/>
            </w:r>
            <w:r>
              <w:rPr>
                <w:rStyle w:val="IndexLink"/>
                <w:vanish w:val="false"/>
              </w:rPr>
              <w:tab/>
              <w:t>61</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29">
            <w:r>
              <w:rPr>
                <w:webHidden/>
                <w:rStyle w:val="IndexLink"/>
              </w:rPr>
              <w:t>5.6.2.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Ergonominiai reikalavimai</w:t>
            </w:r>
            <w:r>
              <w:rPr>
                <w:webHidden/>
              </w:rPr>
              <w:fldChar w:fldCharType="begin"/>
            </w:r>
            <w:r>
              <w:rPr>
                <w:webHidden/>
              </w:rPr>
              <w:instrText xml:space="preserve">PAGEREF _Toc191546229 \h</w:instrText>
            </w:r>
            <w:r>
              <w:rPr>
                <w:webHidden/>
              </w:rPr>
              <w:fldChar w:fldCharType="separate"/>
            </w:r>
            <w:r>
              <w:rPr>
                <w:rStyle w:val="IndexLink"/>
                <w:vanish w:val="false"/>
              </w:rPr>
              <w:tab/>
              <w:t>63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30">
            <w:r>
              <w:rPr>
                <w:webHidden/>
                <w:rStyle w:val="IndexLink"/>
              </w:rPr>
              <w:t>5.6.3.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Atitikimo tarptautiniams ir geros praktikos standartams reikalavimai</w:t>
            </w:r>
            <w:r>
              <w:rPr>
                <w:webHidden/>
              </w:rPr>
              <w:fldChar w:fldCharType="begin"/>
            </w:r>
            <w:r>
              <w:rPr>
                <w:webHidden/>
              </w:rPr>
              <w:instrText xml:space="preserve">PAGEREF _Toc191546230 \h</w:instrText>
            </w:r>
            <w:r>
              <w:rPr>
                <w:webHidden/>
              </w:rPr>
              <w:fldChar w:fldCharType="separate"/>
            </w:r>
            <w:r>
              <w:rPr>
                <w:rStyle w:val="IndexLink"/>
                <w:vanish w:val="false"/>
              </w:rPr>
              <w:tab/>
              <w:t>65</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31">
            <w:r>
              <w:rPr>
                <w:webHidden/>
                <w:rStyle w:val="IndexLink"/>
              </w:rPr>
              <w:t>5.6.4.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techninėms priemonėms, veikimo charakteristikoms, papildomai programinei įrangai, realizavimo technologijoms</w:t>
            </w:r>
            <w:r>
              <w:rPr>
                <w:webHidden/>
              </w:rPr>
              <w:fldChar w:fldCharType="begin"/>
            </w:r>
            <w:r>
              <w:rPr>
                <w:webHidden/>
              </w:rPr>
              <w:instrText xml:space="preserve">PAGEREF _Toc191546231 \h</w:instrText>
            </w:r>
            <w:r>
              <w:rPr>
                <w:webHidden/>
              </w:rPr>
              <w:fldChar w:fldCharType="separate"/>
            </w:r>
            <w:r>
              <w:rPr>
                <w:rStyle w:val="IndexLink"/>
                <w:vanish w:val="false"/>
              </w:rPr>
              <w:tab/>
              <w:t>67</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32">
            <w:r>
              <w:rPr>
                <w:webHidden/>
                <w:rStyle w:val="IndexLink"/>
              </w:rPr>
              <w:t>5.6.5.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licencinei programinei įrangai</w:t>
            </w:r>
            <w:r>
              <w:rPr>
                <w:webHidden/>
              </w:rPr>
              <w:fldChar w:fldCharType="begin"/>
            </w:r>
            <w:r>
              <w:rPr>
                <w:webHidden/>
              </w:rPr>
              <w:instrText xml:space="preserve">PAGEREF _Toc191546232 \h</w:instrText>
            </w:r>
            <w:r>
              <w:rPr>
                <w:webHidden/>
              </w:rPr>
              <w:fldChar w:fldCharType="separate"/>
            </w:r>
            <w:r>
              <w:rPr>
                <w:rStyle w:val="IndexLink"/>
                <w:vanish w:val="false"/>
              </w:rPr>
              <w:tab/>
              <w:t>69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33">
            <w:r>
              <w:rPr>
                <w:webHidden/>
                <w:rStyle w:val="IndexLink"/>
              </w:rPr>
              <w:t>5.6.6.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techninei dokumentacijai</w:t>
            </w:r>
            <w:r>
              <w:rPr>
                <w:webHidden/>
              </w:rPr>
              <w:fldChar w:fldCharType="begin"/>
            </w:r>
            <w:r>
              <w:rPr>
                <w:webHidden/>
              </w:rPr>
              <w:instrText xml:space="preserve">PAGEREF _Toc191546233 \h</w:instrText>
            </w:r>
            <w:r>
              <w:rPr>
                <w:webHidden/>
              </w:rPr>
              <w:fldChar w:fldCharType="separate"/>
            </w:r>
            <w:r>
              <w:rPr>
                <w:rStyle w:val="IndexLink"/>
                <w:vanish w:val="false"/>
              </w:rPr>
              <w:tab/>
              <w:t>69</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34">
            <w:r>
              <w:rPr>
                <w:webHidden/>
                <w:rStyle w:val="IndexLink"/>
              </w:rPr>
              <w:t>5.6.7.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naudotojų mokymams</w:t>
            </w:r>
            <w:r>
              <w:rPr>
                <w:webHidden/>
              </w:rPr>
              <w:fldChar w:fldCharType="begin"/>
            </w:r>
            <w:r>
              <w:rPr>
                <w:webHidden/>
              </w:rPr>
              <w:instrText xml:space="preserve">PAGEREF _Toc191546234 \h</w:instrText>
            </w:r>
            <w:r>
              <w:rPr>
                <w:webHidden/>
              </w:rPr>
              <w:fldChar w:fldCharType="separate"/>
            </w:r>
            <w:r>
              <w:rPr>
                <w:rStyle w:val="IndexLink"/>
                <w:vanish w:val="false"/>
              </w:rPr>
              <w:tab/>
              <w:t>73</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235">
            <w:r>
              <w:rPr>
                <w:webHidden/>
                <w:rStyle w:val="IndexLink"/>
                <w:b/>
                <w:bCs/>
              </w:rPr>
              <w:t>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bCs/>
              </w:rPr>
              <w:t>Teisinės ir organizacinės sąlygos</w:t>
            </w:r>
            <w:r>
              <w:rPr>
                <w:webHidden/>
              </w:rPr>
              <w:fldChar w:fldCharType="begin"/>
            </w:r>
            <w:r>
              <w:rPr>
                <w:webHidden/>
              </w:rPr>
              <w:instrText xml:space="preserve">PAGEREF _Toc191546235 \h</w:instrText>
            </w:r>
            <w:r>
              <w:rPr>
                <w:webHidden/>
              </w:rPr>
              <w:fldChar w:fldCharType="separate"/>
            </w:r>
            <w:r>
              <w:rPr>
                <w:rStyle w:val="IndexLink"/>
                <w:vanish w:val="false"/>
              </w:rPr>
              <w:tab/>
              <w:t>74</w:t>
            </w:r>
            <w:r>
              <w:rPr>
                <w:webHidden/>
              </w:rPr>
              <w:fldChar w:fldCharType="end"/>
            </w:r>
          </w:hyperlink>
        </w:p>
        <w:p>
          <w:pPr>
            <w:pStyle w:val="TOC1"/>
            <w:tabs>
              <w:tab w:val="left" w:pos="660" w:leader="none"/>
              <w:tab w:val="right" w:pos="9090" w:leader="underscore"/>
            </w:tabs>
            <w:rPr>
              <w:rFonts w:ascii="Cambria" w:hAnsi="Cambria" w:eastAsia="" w:asciiTheme="minorHAnsi" w:eastAsiaTheme="minorEastAsia" w:hAnsiTheme="minorHAnsi"/>
              <w:kern w:val="2"/>
              <w:szCs w:val="24"/>
              <w:lang w:eastAsia="lt-LT"/>
              <w14:ligatures w14:val="standardContextual"/>
            </w:rPr>
          </w:pPr>
          <w:hyperlink w:anchor="_Toc191546236">
            <w:r>
              <w:rPr>
                <w:webHidden/>
                <w:rStyle w:val="IndexLink"/>
                <w:b/>
              </w:rPr>
              <w:t>7.</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IT sprendimo kūrimo (tobulinimo) valdymas</w:t>
            </w:r>
            <w:r>
              <w:rPr>
                <w:webHidden/>
              </w:rPr>
              <w:fldChar w:fldCharType="begin"/>
            </w:r>
            <w:r>
              <w:rPr>
                <w:webHidden/>
              </w:rPr>
              <w:instrText xml:space="preserve">PAGEREF _Toc191546236 \h</w:instrText>
            </w:r>
            <w:r>
              <w:rPr>
                <w:webHidden/>
              </w:rPr>
              <w:fldChar w:fldCharType="separate"/>
            </w:r>
            <w:r>
              <w:rPr>
                <w:rStyle w:val="IndexLink"/>
                <w:vanish w:val="false"/>
              </w:rPr>
              <w:tab/>
              <w:t>77</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37">
            <w:r>
              <w:rPr>
                <w:webHidden/>
                <w:rStyle w:val="IndexLink"/>
                <w:b/>
              </w:rPr>
              <w:t>7.1.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IT sprendimo kūrimo (tobulinimo) vykdymo tvarka</w:t>
            </w:r>
            <w:r>
              <w:rPr>
                <w:webHidden/>
              </w:rPr>
              <w:fldChar w:fldCharType="begin"/>
            </w:r>
            <w:r>
              <w:rPr>
                <w:webHidden/>
              </w:rPr>
              <w:instrText xml:space="preserve">PAGEREF _Toc191546237 \h</w:instrText>
            </w:r>
            <w:r>
              <w:rPr>
                <w:webHidden/>
              </w:rPr>
              <w:fldChar w:fldCharType="separate"/>
            </w:r>
            <w:r>
              <w:rPr>
                <w:rStyle w:val="IndexLink"/>
                <w:vanish w:val="false"/>
              </w:rPr>
              <w:tab/>
              <w:t>77</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38">
            <w:r>
              <w:rPr>
                <w:webHidden/>
                <w:rStyle w:val="IndexLink"/>
                <w:b/>
              </w:rPr>
              <w:t>7.2.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Pasirinktas kūrimo (tobulinimo) būdas</w:t>
            </w:r>
            <w:r>
              <w:rPr>
                <w:webHidden/>
              </w:rPr>
              <w:fldChar w:fldCharType="begin"/>
            </w:r>
            <w:r>
              <w:rPr>
                <w:webHidden/>
              </w:rPr>
              <w:instrText xml:space="preserve">PAGEREF _Toc191546238 \h</w:instrText>
            </w:r>
            <w:r>
              <w:rPr>
                <w:webHidden/>
              </w:rPr>
              <w:fldChar w:fldCharType="separate"/>
            </w:r>
            <w:r>
              <w:rPr>
                <w:rStyle w:val="IndexLink"/>
                <w:vanish w:val="false"/>
              </w:rPr>
              <w:tab/>
              <w:t>79</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39">
            <w:r>
              <w:rPr>
                <w:webHidden/>
                <w:rStyle w:val="IndexLink"/>
                <w:b/>
              </w:rPr>
              <w:t>7.3.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Finansavimo šaltiniai ir finansavimo tvarka</w:t>
            </w:r>
            <w:r>
              <w:rPr>
                <w:webHidden/>
              </w:rPr>
              <w:fldChar w:fldCharType="begin"/>
            </w:r>
            <w:r>
              <w:rPr>
                <w:webHidden/>
              </w:rPr>
              <w:instrText xml:space="preserve">PAGEREF _Toc191546239 \h</w:instrText>
            </w:r>
            <w:r>
              <w:rPr>
                <w:webHidden/>
              </w:rPr>
              <w:fldChar w:fldCharType="separate"/>
            </w:r>
            <w:r>
              <w:rPr>
                <w:rStyle w:val="IndexLink"/>
                <w:vanish w:val="false"/>
              </w:rPr>
              <w:tab/>
              <w:t>79</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40">
            <w:r>
              <w:rPr>
                <w:webHidden/>
                <w:rStyle w:val="IndexLink"/>
                <w:b/>
              </w:rPr>
              <w:t>7.4.</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Darbų grafikai</w:t>
            </w:r>
            <w:r>
              <w:rPr>
                <w:webHidden/>
              </w:rPr>
              <w:fldChar w:fldCharType="begin"/>
            </w:r>
            <w:r>
              <w:rPr>
                <w:webHidden/>
              </w:rPr>
              <w:instrText xml:space="preserve">PAGEREF _Toc191546240 \h</w:instrText>
            </w:r>
            <w:r>
              <w:rPr>
                <w:webHidden/>
              </w:rPr>
              <w:fldChar w:fldCharType="separate"/>
            </w:r>
            <w:r>
              <w:rPr>
                <w:rStyle w:val="IndexLink"/>
                <w:vanish w:val="false"/>
              </w:rPr>
              <w:tab/>
              <w:t>80</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41">
            <w:r>
              <w:rPr>
                <w:webHidden/>
                <w:rStyle w:val="IndexLink"/>
                <w:b/>
              </w:rPr>
              <w:t>7.5.</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Atitikimo veiklos ir realizavimo reikalavimams vertinimas (testavimas)</w:t>
            </w:r>
            <w:r>
              <w:rPr>
                <w:webHidden/>
              </w:rPr>
              <w:fldChar w:fldCharType="begin"/>
            </w:r>
            <w:r>
              <w:rPr>
                <w:webHidden/>
              </w:rPr>
              <w:instrText xml:space="preserve">PAGEREF _Toc191546241 \h</w:instrText>
            </w:r>
            <w:r>
              <w:rPr>
                <w:webHidden/>
              </w:rPr>
              <w:fldChar w:fldCharType="separate"/>
            </w:r>
            <w:r>
              <w:rPr>
                <w:rStyle w:val="IndexLink"/>
                <w:vanish w:val="false"/>
              </w:rPr>
              <w:tab/>
              <w:t>82</w:t>
            </w:r>
            <w:r>
              <w:rPr>
                <w:webHidden/>
              </w:rPr>
              <w:fldChar w:fldCharType="end"/>
            </w:r>
          </w:hyperlink>
        </w:p>
        <w:p>
          <w:pPr>
            <w:pStyle w:val="TOC2"/>
            <w:tabs>
              <w:tab w:val="clear" w:pos="720"/>
              <w:tab w:val="left" w:pos="880" w:leader="none"/>
              <w:tab w:val="right" w:pos="9120" w:leader="underscore"/>
            </w:tabs>
            <w:rPr>
              <w:rFonts w:ascii="Cambria" w:hAnsi="Cambria" w:eastAsia="" w:asciiTheme="minorHAnsi" w:eastAsiaTheme="minorEastAsia" w:hAnsiTheme="minorHAnsi"/>
              <w:kern w:val="2"/>
              <w:szCs w:val="24"/>
              <w:lang w:eastAsia="lt-LT"/>
              <w14:ligatures w14:val="standardContextual"/>
            </w:rPr>
          </w:pPr>
          <w:hyperlink w:anchor="_Toc191546242">
            <w:r>
              <w:rPr>
                <w:webHidden/>
                <w:rStyle w:val="IndexLink"/>
                <w:b/>
              </w:rPr>
              <w:t>7.6.</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b/>
              </w:rPr>
              <w:t>Diegimas ir tinkamumo naudoti įvertinimas</w:t>
            </w:r>
            <w:r>
              <w:rPr>
                <w:webHidden/>
              </w:rPr>
              <w:fldChar w:fldCharType="begin"/>
            </w:r>
            <w:r>
              <w:rPr>
                <w:webHidden/>
              </w:rPr>
              <w:instrText xml:space="preserve">PAGEREF _Toc191546242 \h</w:instrText>
            </w:r>
            <w:r>
              <w:rPr>
                <w:webHidden/>
              </w:rPr>
              <w:fldChar w:fldCharType="separate"/>
            </w:r>
            <w:r>
              <w:rPr>
                <w:rStyle w:val="IndexLink"/>
                <w:vanish w:val="false"/>
              </w:rPr>
              <w:tab/>
              <w:t>83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43">
            <w:r>
              <w:rPr>
                <w:webHidden/>
                <w:rStyle w:val="IndexLink"/>
              </w:rPr>
              <w:t>7.6.1.</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diegimui</w:t>
            </w:r>
            <w:r>
              <w:rPr>
                <w:webHidden/>
              </w:rPr>
              <w:fldChar w:fldCharType="begin"/>
            </w:r>
            <w:r>
              <w:rPr>
                <w:webHidden/>
              </w:rPr>
              <w:instrText xml:space="preserve">PAGEREF _Toc191546243 \h</w:instrText>
            </w:r>
            <w:r>
              <w:rPr>
                <w:webHidden/>
              </w:rPr>
              <w:fldChar w:fldCharType="separate"/>
            </w:r>
            <w:r>
              <w:rPr>
                <w:rStyle w:val="IndexLink"/>
                <w:vanish w:val="false"/>
              </w:rPr>
              <w:tab/>
              <w:t>83</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44">
            <w:r>
              <w:rPr>
                <w:webHidden/>
                <w:rStyle w:val="IndexLink"/>
              </w:rPr>
              <w:t>7.6.2.</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bandomajai eksploatacijai</w:t>
            </w:r>
            <w:r>
              <w:rPr>
                <w:webHidden/>
              </w:rPr>
              <w:fldChar w:fldCharType="begin"/>
            </w:r>
            <w:r>
              <w:rPr>
                <w:webHidden/>
              </w:rPr>
              <w:instrText xml:space="preserve">PAGEREF _Toc191546244 \h</w:instrText>
            </w:r>
            <w:r>
              <w:rPr>
                <w:webHidden/>
              </w:rPr>
              <w:fldChar w:fldCharType="separate"/>
            </w:r>
            <w:r>
              <w:rPr>
                <w:rStyle w:val="IndexLink"/>
                <w:vanish w:val="false"/>
              </w:rPr>
              <w:tab/>
              <w:t>84</w:t>
            </w:r>
            <w:r>
              <w:rPr>
                <w:webHidden/>
              </w:rPr>
              <w:fldChar w:fldCharType="end"/>
            </w:r>
          </w:hyperlink>
        </w:p>
        <w:p>
          <w:pPr>
            <w:pStyle w:val="TOC3"/>
            <w:rPr>
              <w:rFonts w:ascii="Cambria" w:hAnsi="Cambria" w:eastAsia="" w:asciiTheme="minorHAnsi" w:eastAsiaTheme="minorEastAsia" w:hAnsiTheme="minorHAnsi"/>
              <w:kern w:val="2"/>
              <w:szCs w:val="24"/>
              <w:lang w:eastAsia="lt-LT"/>
              <w14:ligatures w14:val="standardContextual"/>
            </w:rPr>
          </w:pPr>
          <w:hyperlink w:anchor="_Toc191546245">
            <w:r>
              <w:rPr>
                <w:webHidden/>
                <w:rStyle w:val="IndexLink"/>
              </w:rPr>
              <w:t>7.6.3.</w:t>
            </w:r>
            <w:r>
              <w:rPr>
                <w:rStyle w:val="IndexLink"/>
                <w:rFonts w:eastAsia="" w:ascii="Cambria" w:hAnsi="Cambria" w:asciiTheme="minorHAnsi" w:eastAsiaTheme="minorEastAsia" w:hAnsiTheme="minorHAnsi"/>
                <w:kern w:val="2"/>
                <w:szCs w:val="24"/>
                <w:lang w:eastAsia="lt-LT"/>
                <w14:ligatures w14:val="standardContextual"/>
              </w:rPr>
              <w:tab/>
            </w:r>
            <w:r>
              <w:rPr>
                <w:rStyle w:val="IndexLink"/>
              </w:rPr>
              <w:t>Reikalavimai garantinei priežiūrai ir palaikymui</w:t>
            </w:r>
            <w:r>
              <w:rPr>
                <w:webHidden/>
              </w:rPr>
              <w:fldChar w:fldCharType="begin"/>
            </w:r>
            <w:r>
              <w:rPr>
                <w:webHidden/>
              </w:rPr>
              <w:instrText xml:space="preserve">PAGEREF _Toc191546245 \h</w:instrText>
            </w:r>
            <w:r>
              <w:rPr>
                <w:webHidden/>
              </w:rPr>
              <w:fldChar w:fldCharType="separate"/>
            </w:r>
            <w:r>
              <w:rPr>
                <w:rStyle w:val="IndexLink"/>
                <w:vanish w:val="false"/>
              </w:rPr>
              <w:tab/>
              <w:t>85</w:t>
            </w:r>
            <w:r>
              <w:rPr>
                <w:webHidden/>
              </w:rPr>
              <w:fldChar w:fldCharType="end"/>
            </w:r>
          </w:hyperlink>
        </w:p>
        <w:p>
          <w:pPr>
            <w:pStyle w:val="Normal"/>
            <w:rPr/>
          </w:pPr>
          <w:r>
            <w:rPr/>
          </w:r>
          <w:r>
            <w:rPr/>
            <w:fldChar w:fldCharType="end"/>
          </w:r>
        </w:p>
        <w:p>
          <w:pPr>
            <w:sectPr>
              <w:type w:val="nextPage"/>
              <w:pgSz w:w="12240" w:h="15840"/>
              <w:pgMar w:left="1555" w:right="1555" w:gutter="0" w:header="0" w:top="2520" w:footer="0" w:bottom="1800"/>
              <w:pgNumType w:start="0" w:fmt="decimal"/>
              <w:formProt w:val="false"/>
              <w:titlePg/>
              <w:textDirection w:val="lrTb"/>
              <w:docGrid w:type="default" w:linePitch="360" w:charSpace="0"/>
            </w:sectPr>
          </w:pPr>
        </w:p>
      </w:sdtContent>
    </w:sdt>
    <w:p>
      <w:pPr>
        <w:pStyle w:val="Heading1"/>
        <w:numPr>
          <w:ilvl w:val="0"/>
          <w:numId w:val="35"/>
        </w:numPr>
        <w:rPr>
          <w:b/>
          <w:bCs/>
        </w:rPr>
      </w:pPr>
      <w:bookmarkStart w:id="0" w:name="_Toc191546186"/>
      <w:r>
        <w:rPr>
          <w:b/>
          <w:bCs/>
        </w:rPr>
        <w:t>Sąvokos ir sutrumpinimai</w:t>
      </w:r>
      <w:bookmarkEnd w:id="0"/>
    </w:p>
    <w:p>
      <w:pPr>
        <w:pStyle w:val="Normal"/>
        <w:spacing w:before="40" w:after="0"/>
        <w:rPr>
          <w:rFonts w:cs="Times New Roman"/>
          <w:i/>
          <w:i/>
          <w:szCs w:val="24"/>
          <w:lang w:eastAsia="lt-LT"/>
        </w:rPr>
      </w:pPr>
      <w:r>
        <w:rPr>
          <w:rFonts w:cs="Times New Roman"/>
          <w:i/>
          <w:szCs w:val="24"/>
          <w:lang w:eastAsia="lt-LT"/>
        </w:rPr>
        <w:fldChar w:fldCharType="begin"/>
      </w:r>
      <w:r>
        <w:rPr>
          <w:i/>
          <w:szCs w:val="24"/>
          <w:rFonts w:cs="Times New Roman"/>
          <w:lang w:eastAsia="lt-LT"/>
        </w:rPr>
        <w:instrText xml:space="preserve"> SEQ Lentelė \* ARABIC </w:instrText>
      </w:r>
      <w:r>
        <w:rPr>
          <w:i/>
          <w:szCs w:val="24"/>
          <w:rFonts w:cs="Times New Roman"/>
          <w:lang w:eastAsia="lt-LT"/>
        </w:rPr>
        <w:fldChar w:fldCharType="separate"/>
      </w:r>
      <w:r>
        <w:rPr>
          <w:i/>
          <w:szCs w:val="24"/>
          <w:rFonts w:cs="Times New Roman"/>
          <w:lang w:eastAsia="lt-LT"/>
        </w:rPr>
        <w:t>1</w:t>
      </w:r>
      <w:r>
        <w:rPr>
          <w:i/>
          <w:szCs w:val="24"/>
          <w:rFonts w:cs="Times New Roman"/>
          <w:lang w:eastAsia="lt-LT"/>
        </w:rPr>
        <w:fldChar w:fldCharType="end"/>
      </w:r>
      <w:r>
        <w:rPr>
          <w:rFonts w:cs="Times New Roman"/>
          <w:i/>
          <w:szCs w:val="24"/>
          <w:lang w:eastAsia="lt-LT"/>
        </w:rPr>
        <w:t xml:space="preserve"> </w:t>
      </w:r>
      <w:r>
        <w:rPr>
          <w:rFonts w:cs="Times New Roman"/>
          <w:i/>
          <w:szCs w:val="24"/>
          <w:lang w:eastAsia="lt-LT"/>
        </w:rPr>
        <w:t>lentelė. Sąvokų paaiškinimai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816"/>
        <w:gridCol w:w="7313"/>
      </w:tblGrid>
      <w:tr>
        <w:trPr>
          <w:tblHeader w:val="true"/>
        </w:trPr>
        <w:tc>
          <w:tcPr>
            <w:tcW w:w="1816"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rFonts w:cs="Times New Roman"/>
                <w:b/>
                <w:bCs/>
              </w:rPr>
            </w:pPr>
            <w:r>
              <w:rPr>
                <w:rFonts w:cs="Times New Roman"/>
                <w:b/>
                <w:bCs/>
              </w:rPr>
              <w:t>Sąvoka / sutrumpinimas</w:t>
            </w:r>
          </w:p>
        </w:tc>
        <w:tc>
          <w:tcPr>
            <w:tcW w:w="731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rFonts w:cs="Times New Roman"/>
                <w:b/>
                <w:bCs/>
              </w:rPr>
            </w:pPr>
            <w:r>
              <w:rPr>
                <w:rFonts w:cs="Times New Roman"/>
                <w:b/>
                <w:bCs/>
              </w:rPr>
              <w:t>Paaiškinimas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t>BPMN</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t xml:space="preserve">Veiklos procesų modeliavimo notacija (angl. </w:t>
            </w:r>
            <w:r>
              <w:rPr>
                <w:i/>
              </w:rPr>
              <w:t>Business Process Model and Notation</w:t>
            </w:r>
            <w:r>
              <w:rPr/>
              <w:t>)</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DU</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Darbo užmokestis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Higienos institutas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IS</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Informacinė sistema</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IT sprendimas</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stiprinimo paslaugų valdymo tobulinimo poreikiams gerinti informacinių technologijų sprendimas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Perkančioji organizacija</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Higienos institutas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PPK</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Projekto priežiūros komisija</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SAM</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Sveikatos apsaugos ministerija</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Sistema</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stiprinimo paslaugų valdymo tobulinimo poreikiams gerinti informacinių technologijų sprendimas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UML</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 xml:space="preserve">Unifikuota modeliavimo kalba (angl. </w:t>
            </w:r>
            <w:r>
              <w:rPr>
                <w:rFonts w:cs="Times New Roman"/>
                <w:i/>
              </w:rPr>
              <w:t>Unified Modeling Language</w:t>
            </w:r>
            <w:r>
              <w:rPr>
                <w:rFonts w:cs="Times New Roman"/>
              </w:rPr>
              <w:t>)</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bCs/>
              </w:rPr>
            </w:pPr>
            <w:r>
              <w:rPr>
                <w:rFonts w:cs="Times New Roman"/>
                <w:bCs/>
              </w:rPr>
              <w:t>VIISP</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bCs/>
              </w:rPr>
            </w:pPr>
            <w:r>
              <w:rPr>
                <w:rFonts w:cs="Times New Roman"/>
                <w:bCs/>
              </w:rPr>
              <w:t>Valstybės informacinių išteklių sąveikumo platforma</w:t>
            </w:r>
          </w:p>
        </w:tc>
      </w:tr>
      <w:tr>
        <w:trPr>
          <w:trHeight w:val="300" w:hRule="atLeast"/>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VSSA</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Valstybinė skaitmeninių sprendimų agentūra</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VSB</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biuras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VSD</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Valstybinis socialinis draudimas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Paslauga</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Visuomenės sveikatos priežiūros paslauga, finansuojama valstybės biudžeto specialiosios tikslinės dotacijos lėšomis.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Kita (papildoma) paslauga</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Kita visuomenės sveikatos priežiūros paslauga, nepriskirta Bazinių visuomenės sveikatos priežiūros paslaugų kategorijai, finansuojama valstybės biudžeto specialiosios tikslinės dotacijos lėšomis.</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Sritis</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 xml:space="preserve">Stambi paslaugų grupė pagal tam tikrą temą (psichikos sveikatos stiprinimas, sveikos gyvensenos įgūdžių ugdymo įstaigose formavimas ir stiprinimas, visuomenės sveikatos stiprinimas ir stebėsena) </w:t>
            </w:r>
          </w:p>
        </w:tc>
      </w:tr>
      <w:tr>
        <w:trPr/>
        <w:tc>
          <w:tcPr>
            <w:tcW w:w="1816"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rPr>
              <w:t>SRDI</w:t>
            </w:r>
          </w:p>
        </w:tc>
        <w:tc>
          <w:tcPr>
            <w:tcW w:w="7313" w:type="dxa"/>
            <w:tcBorders>
              <w:top w:val="single" w:sz="4" w:space="0" w:color="000000"/>
              <w:left w:val="single" w:sz="4" w:space="0" w:color="000000"/>
              <w:bottom w:val="single" w:sz="4" w:space="0" w:color="000000"/>
              <w:right w:val="single" w:sz="4" w:space="0" w:color="000000"/>
            </w:tcBorders>
          </w:tcPr>
          <w:p>
            <w:pPr>
              <w:pStyle w:val="Normal"/>
              <w:spacing w:before="40" w:after="160"/>
              <w:rPr>
                <w:rFonts w:cs="Times New Roman"/>
              </w:rPr>
            </w:pPr>
            <w:r>
              <w:rPr>
                <w:rFonts w:cs="Times New Roman"/>
                <w:szCs w:val="24"/>
              </w:rPr>
              <w:t>Stebėsenos rodiklio detalizuojanti informacija</w:t>
            </w:r>
          </w:p>
        </w:tc>
      </w:tr>
    </w:tbl>
    <w:p>
      <w:pPr>
        <w:pStyle w:val="Normal"/>
        <w:rPr/>
      </w:pPr>
      <w:r>
        <w:rPr/>
      </w:r>
    </w:p>
    <w:p>
      <w:pPr>
        <w:pStyle w:val="Normal"/>
        <w:rPr/>
      </w:pPr>
      <w:r>
        <w:rPr/>
        <w:t>Kitos sąvokos ir santrumpos yra suprantamos taip, kaip jos apibrėžtos teisės aktuose, nurodytuose šio techninio aprašymo (specifikacijos) 6 (šeštame) skyriuje.</w:t>
      </w:r>
    </w:p>
    <w:p>
      <w:pPr>
        <w:pStyle w:val="Heading1"/>
        <w:numPr>
          <w:ilvl w:val="0"/>
          <w:numId w:val="35"/>
        </w:numPr>
        <w:rPr>
          <w:b/>
          <w:bCs/>
        </w:rPr>
      </w:pPr>
      <w:bookmarkStart w:id="1" w:name="_Toc191546187"/>
      <w:r>
        <w:rPr>
          <w:b/>
          <w:bCs/>
        </w:rPr>
        <w:t>Įvadas</w:t>
      </w:r>
      <w:bookmarkEnd w:id="1"/>
    </w:p>
    <w:p>
      <w:pPr>
        <w:pStyle w:val="Normal"/>
        <w:shd w:val="clear" w:color="auto" w:fill="FFFFFF" w:themeFill="background1"/>
        <w:spacing w:before="0" w:after="0"/>
        <w:ind w:firstLine="851"/>
        <w:jc w:val="both"/>
        <w:rPr>
          <w:rFonts w:eastAsia="Times New Roman" w:cs="Times New Roman"/>
          <w:szCs w:val="24"/>
          <w:lang w:val="lt-LT"/>
        </w:rPr>
      </w:pPr>
      <w:r>
        <w:rPr>
          <w:rFonts w:eastAsia="Times New Roman" w:cs="Times New Roman"/>
          <w:szCs w:val="24"/>
          <w:lang w:val="lt-LT"/>
        </w:rPr>
        <w:t>Šiame dokumente aprašyti IT sprendimo kūrimo reikalavimai</w:t>
      </w:r>
      <w:r>
        <w:rPr>
          <w:rFonts w:eastAsia="Times New Roman" w:cs="Times New Roman"/>
          <w:color w:themeColor="text1" w:val="000000"/>
          <w:szCs w:val="24"/>
          <w:lang w:val="lt-LT"/>
        </w:rPr>
        <w:t xml:space="preserve">, t. y. IT sprendimui </w:t>
      </w:r>
      <w:r>
        <w:rPr>
          <w:rFonts w:eastAsia="Times New Roman" w:cs="Times New Roman"/>
          <w:szCs w:val="24"/>
          <w:lang w:val="lt-LT"/>
        </w:rPr>
        <w:t xml:space="preserve">keliami funkciniai ir nefunkciniai reikalavimai, kaštai, nauda, taip pat sudaromas IT sprendimo kūrimo projekto planas. </w:t>
      </w:r>
    </w:p>
    <w:p>
      <w:pPr>
        <w:pStyle w:val="Normal"/>
        <w:shd w:val="clear" w:color="auto" w:fill="FFFFFF" w:themeFill="background1"/>
        <w:spacing w:before="0" w:after="0"/>
        <w:ind w:firstLine="851"/>
        <w:jc w:val="both"/>
        <w:rPr>
          <w:rFonts w:eastAsia="Times New Roman" w:cs="Times New Roman"/>
          <w:szCs w:val="24"/>
          <w:lang w:val="lt-LT"/>
        </w:rPr>
      </w:pPr>
      <w:r>
        <w:rPr>
          <w:rFonts w:eastAsia="Times New Roman" w:cs="Times New Roman"/>
          <w:szCs w:val="24"/>
          <w:lang w:val="lt-LT"/>
        </w:rPr>
        <w:t xml:space="preserve">IT sprendimo steigimo teisinis pagrindas – Higienos instituto nuostatų, patvirtintų Lietuvos Respublikos sveikatos apsaugos ministro 2012 m. gruodžio 11 d. įsakymu Nr. V-1142 „Dėl Higienos instituto nuostatų patvirtinimo“, 11.2 papunktis. </w:t>
      </w:r>
      <w:r>
        <w:rPr>
          <w:rFonts w:eastAsia="Times New Roman" w:cs="Times New Roman"/>
          <w:color w:themeColor="text1" w:val="000000"/>
          <w:szCs w:val="24"/>
          <w:lang w:val="lt-LT"/>
        </w:rPr>
        <w:t>IT sprendimo tikslas – informacinių technologijų priemonėmis surinkti, apdoroti ir analizuoti bazinių ir kitų visuomenės sveikatos priežiūros paslaugų, planuojamų ir įgyvendintų vykdant visuomenės sveikatos stiprinimo ir visuomenės sveikatos stebėsenos bei savivaldybių teritorijose esančių ikimokyklinio ugdymo, bendrojo ugdymo mokyklose ir profesinio mokymo įstaigose pagal ikimokyklinio, priešmokyklinio, pradinio, pagrindinio ir vidurinio ugdymo programas ugdomų mokinių visuomenės sveikatos priežiūros funkcijas, finansuojamas iš Valstybės biudžeto specialios tikslinės dotacijos, skiriamos savivaldybių biudžetams Lietuvos Respublikos sveikatos apsaugos ministerijos kuruojamoms valstybinėms (valstybės perduotoms savivaldybėms) visuomenės sveikatos priežiūros funkcijoms vykdyti), galimą poveikį sveikatai, paslaugos kokybei, kaštams.</w:t>
      </w:r>
      <w:r>
        <w:rPr>
          <w:rFonts w:cs="Times New Roman"/>
        </w:rPr>
        <w:t xml:space="preserve"> </w:t>
      </w:r>
    </w:p>
    <w:p>
      <w:pPr>
        <w:pStyle w:val="Normal"/>
        <w:shd w:val="clear" w:color="auto" w:fill="FFFFFF" w:themeFill="background1"/>
        <w:spacing w:before="0" w:after="0"/>
        <w:ind w:firstLine="851"/>
        <w:jc w:val="both"/>
        <w:rPr>
          <w:rFonts w:eastAsia="Times New Roman" w:cs="Times New Roman"/>
          <w:szCs w:val="24"/>
          <w:lang w:val="lt-LT"/>
        </w:rPr>
      </w:pPr>
      <w:r>
        <w:rPr>
          <w:rFonts w:cs="Times New Roman"/>
        </w:rPr>
        <w:t xml:space="preserve">IT sprendimo organizacinę struktūrą sudaro </w:t>
      </w:r>
      <w:r>
        <w:rPr>
          <w:rFonts w:eastAsia="Times New Roman" w:cs="Times New Roman"/>
          <w:szCs w:val="24"/>
          <w:lang w:val="lt-LT"/>
        </w:rPr>
        <w:t>IT sprendimo valdytojas, IT sprendimo duomenų valdytojas, IT sprendimo tvarkytojas ir duomenų teikėjai. IT sprendimo valdytojas, duomenų valdytojas ir tvarkytojas yra HI. IT sprendimo duomenų teikėjai yra SAM ir VSB, teikiantys duomenis, nekaupiamus valstybės informacinėse sistemose ir registruose, ir VSSA – teikianti VIISP (valdytoja – Lietuvos Respublikos ekonomikos ir inovacijų ministerija) duomenis.</w:t>
      </w:r>
    </w:p>
    <w:p>
      <w:pPr>
        <w:pStyle w:val="Heading1"/>
        <w:numPr>
          <w:ilvl w:val="0"/>
          <w:numId w:val="35"/>
        </w:numPr>
        <w:rPr>
          <w:b/>
          <w:bCs/>
        </w:rPr>
      </w:pPr>
      <w:bookmarkStart w:id="2" w:name="_Toc191546188"/>
      <w:r>
        <w:rPr>
          <w:b/>
          <w:bCs/>
        </w:rPr>
        <w:t>IT sprendimo kūrimo tikslas</w:t>
      </w:r>
      <w:bookmarkEnd w:id="2"/>
    </w:p>
    <w:p>
      <w:pPr>
        <w:pStyle w:val="Normal"/>
        <w:shd w:val="clear" w:color="auto" w:fill="FFFFFF" w:themeFill="background1"/>
        <w:spacing w:before="0" w:after="0"/>
        <w:ind w:firstLine="851"/>
        <w:jc w:val="both"/>
        <w:rPr>
          <w:rFonts w:eastAsia="Times New Roman" w:cs="Times New Roman"/>
          <w:color w:themeColor="text1" w:val="000000"/>
          <w:szCs w:val="24"/>
          <w:lang w:val="lt-LT"/>
        </w:rPr>
      </w:pPr>
      <w:r>
        <w:rPr>
          <w:b/>
          <w:bCs/>
        </w:rPr>
        <w:t>IT sprendimo kūrimo tikslas</w:t>
      </w:r>
      <w:r>
        <w:rPr/>
        <w:t xml:space="preserve"> – įgyvendinti galimybę </w:t>
      </w:r>
      <w:r>
        <w:rPr>
          <w:rFonts w:eastAsia="Times New Roman" w:cs="Times New Roman"/>
          <w:color w:themeColor="text1" w:val="000000"/>
          <w:szCs w:val="24"/>
          <w:lang w:val="lt-LT"/>
        </w:rPr>
        <w:t xml:space="preserve">informacinių technologijų priemonėmis surinkti, apdoroti ir analizuoti bazinių ir kitų visuomenės sveikatos priežiūros paslaugų, planuojamų ir įgyvendintų vykdant visuomenės sveikatos stiprinimo ir visuomenės sveikatos stebėsenos bei savivaldybių teritorijose esančių ikimokyklinio ugdymo, bendrojo ugdymo mokyklose ir profesinio mokymo įstaigose pagal ikimokyklinio, priešmokyklinio, pradinio, pagrindinio ir vidurinio ugdymo programas ugdomų mokinių visuomenės sveikatos priežiūros funkcijas, finansuojamas iš Valstybės biudžeto specialios tikslinės dotacijos, skiriamos savivaldybių biudžetams Lietuvos Respublikos sveikatos apsaugos ministerijos kuruojamoms valstybinėms (valstybės perduotoms savivaldybėms) visuomenės sveikatos priežiūros funkcijoms vykdyti, galimą poveikį sveikatai, paslaugos kokybei, kaštams, </w:t>
      </w:r>
      <w:r>
        <w:rPr/>
        <w:t>efektyvinti visuomenės sveikatos stiprinimo paslaugų valdymo poreikius, įgyvendinti galimybę VSB ir HI pildyti ir teikti ataskaitas per IT sprendimą.</w:t>
      </w:r>
    </w:p>
    <w:p>
      <w:pPr>
        <w:pStyle w:val="Normal"/>
        <w:rPr>
          <w:szCs w:val="24"/>
        </w:rPr>
      </w:pPr>
      <w:r>
        <w:rPr>
          <w:szCs w:val="24"/>
        </w:rPr>
      </w:r>
    </w:p>
    <w:p>
      <w:pPr>
        <w:pStyle w:val="Heading1"/>
        <w:numPr>
          <w:ilvl w:val="0"/>
          <w:numId w:val="35"/>
        </w:numPr>
        <w:rPr>
          <w:b/>
          <w:bCs/>
        </w:rPr>
      </w:pPr>
      <w:bookmarkStart w:id="3" w:name="_Toc191546189"/>
      <w:r>
        <w:rPr>
          <w:b/>
          <w:bCs/>
        </w:rPr>
        <w:t>Esamas kompiuterizavimo lygis ir kompiuterizuojami veiklos procesai</w:t>
      </w:r>
      <w:bookmarkEnd w:id="3"/>
    </w:p>
    <w:p>
      <w:pPr>
        <w:pStyle w:val="Heading2"/>
        <w:numPr>
          <w:ilvl w:val="1"/>
          <w:numId w:val="35"/>
        </w:numPr>
        <w:rPr>
          <w:b/>
        </w:rPr>
      </w:pPr>
      <w:bookmarkStart w:id="4" w:name="_Toc191546190"/>
      <w:r>
        <w:rPr>
          <w:b/>
        </w:rPr>
        <w:t>Esamas kompiuterizavimo lygis</w:t>
      </w:r>
      <w:bookmarkEnd w:id="4"/>
    </w:p>
    <w:p>
      <w:pPr>
        <w:pStyle w:val="Normal"/>
        <w:jc w:val="both"/>
        <w:rPr>
          <w:rFonts w:cs="Times New Roman"/>
        </w:rPr>
      </w:pPr>
      <w:r>
        <w:rPr>
          <w:rFonts w:cs="Times New Roman"/>
        </w:rPr>
        <w:t>Šiuo metu naudojamas IT sprendimas yra pagrįstas SAP HANA 2.0 duomenų valdymo platforma ir jos integruota naujos kartos aplikacijų konfigūravimo, diegimo bei kūrimo platforma SAP HANA XSA. SAP HANA 2.0 platforma išsiskiria galimybe apdorojamus duomenis saugoti operatyvinėje atmintyje, kas reikšmingai padidina duomenų apdorojimo greitį – tiek jų įrašymo, tiek skaitymo procesus. Ši sistema dažniausiai naudojama, kai reikia apdoroti didelius duomenų kiekius. Tačiau dabartinis procesas apdoroja nedidelį duomenų kiekį, todėl platformos pajėgumas blogai išnaudojamas.</w:t>
      </w:r>
    </w:p>
    <w:p>
      <w:pPr>
        <w:pStyle w:val="Normal"/>
        <w:jc w:val="both"/>
        <w:rPr>
          <w:rFonts w:cs="Times New Roman"/>
        </w:rPr>
      </w:pPr>
      <w:r>
        <w:rPr>
          <w:rFonts w:cs="Times New Roman"/>
        </w:rPr>
        <w:t>Esamo IT sprendimo naudojimo trūkumai:</w:t>
      </w:r>
    </w:p>
    <w:p>
      <w:pPr>
        <w:pStyle w:val="ListParagraph"/>
        <w:numPr>
          <w:ilvl w:val="0"/>
          <w:numId w:val="33"/>
        </w:numPr>
        <w:jc w:val="both"/>
        <w:rPr>
          <w:rFonts w:cs="Times New Roman"/>
        </w:rPr>
      </w:pPr>
      <w:r>
        <w:rPr>
          <w:rFonts w:cs="Times New Roman"/>
        </w:rPr>
        <w:t>IT sprendimo palaikymo ir licencijavimo kaštai yra labai dideli.</w:t>
      </w:r>
    </w:p>
    <w:p>
      <w:pPr>
        <w:pStyle w:val="ListParagraph"/>
        <w:numPr>
          <w:ilvl w:val="0"/>
          <w:numId w:val="33"/>
        </w:numPr>
        <w:jc w:val="both"/>
        <w:rPr>
          <w:rFonts w:cs="Times New Roman"/>
        </w:rPr>
      </w:pPr>
      <w:bookmarkStart w:id="5" w:name="_Hlk178230875"/>
      <w:r>
        <w:rPr>
          <w:rFonts w:cs="Times New Roman"/>
        </w:rPr>
        <w:t xml:space="preserve">IT sprendimas </w:t>
      </w:r>
      <w:bookmarkEnd w:id="5"/>
      <w:r>
        <w:rPr>
          <w:rFonts w:cs="Times New Roman"/>
        </w:rPr>
        <w:t>yra talpinamas Valstybinės ligonių kasos prie Sveikatos apsaugos ministerijos infrastruktūroje, nes VSSA neturi reikalingų licencijų, reikalingų šiai platformai palaikyti.</w:t>
      </w:r>
    </w:p>
    <w:p>
      <w:pPr>
        <w:pStyle w:val="ListParagraph"/>
        <w:numPr>
          <w:ilvl w:val="0"/>
          <w:numId w:val="33"/>
        </w:numPr>
        <w:jc w:val="both"/>
        <w:rPr>
          <w:rFonts w:cs="Times New Roman"/>
        </w:rPr>
      </w:pPr>
      <w:r>
        <w:rPr>
          <w:rFonts w:cs="Times New Roman"/>
        </w:rPr>
        <w:t>IT sprendimą yra labai sudėtinga tobulinti ir pritaikyti naujiems poreikiams.</w:t>
      </w:r>
    </w:p>
    <w:p>
      <w:pPr>
        <w:pStyle w:val="ListParagraph"/>
        <w:numPr>
          <w:ilvl w:val="0"/>
          <w:numId w:val="33"/>
        </w:numPr>
        <w:jc w:val="both"/>
        <w:rPr>
          <w:rFonts w:cs="Times New Roman"/>
        </w:rPr>
      </w:pPr>
      <w:r>
        <w:rPr>
          <w:rFonts w:cs="Times New Roman"/>
        </w:rPr>
        <w:t>Esamas IT sprendimas neturi integracinių sąsajų su kitomis sistemomis, kas apsunkina duomenų mainus.</w:t>
      </w:r>
    </w:p>
    <w:p>
      <w:pPr>
        <w:pStyle w:val="Normal"/>
        <w:jc w:val="both"/>
        <w:rPr>
          <w:rFonts w:cs="Times New Roman"/>
        </w:rPr>
      </w:pPr>
      <w:r>
        <w:rPr>
          <w:rFonts w:cs="Times New Roman"/>
        </w:rPr>
        <w:t>IT sprendimo procesai apima šias sritis:</w:t>
      </w:r>
    </w:p>
    <w:p>
      <w:pPr>
        <w:pStyle w:val="ListParagraph"/>
        <w:numPr>
          <w:ilvl w:val="0"/>
          <w:numId w:val="34"/>
        </w:numPr>
        <w:jc w:val="both"/>
        <w:rPr>
          <w:rFonts w:cs="Times New Roman"/>
        </w:rPr>
      </w:pPr>
      <w:r>
        <w:rPr>
          <w:rFonts w:cs="Times New Roman"/>
        </w:rPr>
        <w:t>IT sprendimo naudotojų administravimas.</w:t>
      </w:r>
    </w:p>
    <w:p>
      <w:pPr>
        <w:pStyle w:val="ListParagraph"/>
        <w:numPr>
          <w:ilvl w:val="0"/>
          <w:numId w:val="34"/>
        </w:numPr>
        <w:jc w:val="both"/>
        <w:rPr>
          <w:rFonts w:cs="Times New Roman"/>
        </w:rPr>
      </w:pPr>
      <w:r>
        <w:rPr>
          <w:rFonts w:cs="Times New Roman"/>
        </w:rPr>
        <w:t>Bazinių paslaugų registravimas ir vykdymas.</w:t>
      </w:r>
    </w:p>
    <w:p>
      <w:pPr>
        <w:pStyle w:val="ListParagraph"/>
        <w:numPr>
          <w:ilvl w:val="0"/>
          <w:numId w:val="34"/>
        </w:numPr>
        <w:jc w:val="both"/>
        <w:rPr>
          <w:rFonts w:cs="Times New Roman"/>
        </w:rPr>
      </w:pPr>
      <w:r>
        <w:rPr>
          <w:rFonts w:cs="Times New Roman"/>
        </w:rPr>
        <w:t>VSB teikiamų paslaugų registravimas ir valdymas.</w:t>
      </w:r>
    </w:p>
    <w:p>
      <w:pPr>
        <w:pStyle w:val="ListParagraph"/>
        <w:numPr>
          <w:ilvl w:val="0"/>
          <w:numId w:val="34"/>
        </w:numPr>
        <w:jc w:val="both"/>
        <w:rPr>
          <w:rFonts w:cs="Times New Roman"/>
        </w:rPr>
      </w:pPr>
      <w:r>
        <w:rPr>
          <w:rFonts w:cs="Times New Roman"/>
        </w:rPr>
        <w:t>Specialios tikslinės dotacijos planavimas.</w:t>
      </w:r>
    </w:p>
    <w:p>
      <w:pPr>
        <w:pStyle w:val="Heading2"/>
        <w:numPr>
          <w:ilvl w:val="1"/>
          <w:numId w:val="35"/>
        </w:numPr>
        <w:rPr>
          <w:b/>
        </w:rPr>
      </w:pPr>
      <w:bookmarkStart w:id="6" w:name="_Toc191546191"/>
      <w:r>
        <w:rPr>
          <w:b/>
        </w:rPr>
        <w:t>Siekiamos situacijos veiklos procesai</w:t>
      </w:r>
      <w:bookmarkEnd w:id="6"/>
    </w:p>
    <w:p>
      <w:pPr>
        <w:pStyle w:val="Normal"/>
        <w:jc w:val="both"/>
        <w:rPr>
          <w:rFonts w:cs="Times New Roman"/>
        </w:rPr>
      </w:pPr>
      <w:r>
        <w:rPr>
          <w:rFonts w:cs="Times New Roman"/>
        </w:rPr>
        <w:t>Pagrindiniai siekiami pakeitimai:</w:t>
      </w:r>
    </w:p>
    <w:p>
      <w:pPr>
        <w:pStyle w:val="ListParagraph"/>
        <w:numPr>
          <w:ilvl w:val="0"/>
          <w:numId w:val="36"/>
        </w:numPr>
        <w:jc w:val="both"/>
        <w:rPr>
          <w:rFonts w:cs="Times New Roman"/>
        </w:rPr>
      </w:pPr>
      <w:r>
        <w:rPr>
          <w:rFonts w:cs="Times New Roman"/>
        </w:rPr>
        <w:t>Sukurti naują technologinę platformą. Šiuo pakeitimu siekiama: a) sumažinti sistemos palaikymo kaštus, b) perkelti sistemą į VSSA infrastruktūrą, c) užtikrinti paprastesnį sistemos pritaikymą naujiems poreikiams.</w:t>
      </w:r>
    </w:p>
    <w:p>
      <w:pPr>
        <w:pStyle w:val="ListParagraph"/>
        <w:numPr>
          <w:ilvl w:val="0"/>
          <w:numId w:val="36"/>
        </w:numPr>
        <w:jc w:val="both"/>
        <w:rPr>
          <w:rFonts w:cs="Times New Roman"/>
        </w:rPr>
      </w:pPr>
      <w:r>
        <w:rPr>
          <w:rFonts w:cs="Times New Roman"/>
        </w:rPr>
        <w:t>Esamą IT sprendimo procesą pritaikyti pagal pasikeitusius veiklos poreikius.</w:t>
      </w:r>
    </w:p>
    <w:p>
      <w:pPr>
        <w:pStyle w:val="ListParagraph"/>
        <w:numPr>
          <w:ilvl w:val="0"/>
          <w:numId w:val="36"/>
        </w:numPr>
        <w:jc w:val="both"/>
        <w:rPr>
          <w:rFonts w:cs="Times New Roman"/>
        </w:rPr>
      </w:pPr>
      <w:r>
        <w:rPr>
          <w:rFonts w:cs="Times New Roman"/>
        </w:rPr>
        <w:t>Pridėti integracines sąsajas dotacijų planavimui reikalingiems duomenims gauti.</w:t>
      </w:r>
    </w:p>
    <w:p>
      <w:pPr>
        <w:pStyle w:val="ListParagraph"/>
        <w:numPr>
          <w:ilvl w:val="0"/>
          <w:numId w:val="36"/>
        </w:numPr>
        <w:jc w:val="both"/>
        <w:rPr>
          <w:rFonts w:cs="Times New Roman"/>
        </w:rPr>
      </w:pPr>
      <w:r>
        <w:rPr>
          <w:rFonts w:cs="Times New Roman"/>
        </w:rPr>
        <w:t>Papildyti VSB ir HI per sistemą teikiamų ataskaitų / planų sąrašą.</w:t>
      </w:r>
    </w:p>
    <w:p>
      <w:pPr>
        <w:pStyle w:val="ListParagraph"/>
        <w:numPr>
          <w:ilvl w:val="0"/>
          <w:numId w:val="36"/>
        </w:numPr>
        <w:jc w:val="both"/>
        <w:rPr>
          <w:rFonts w:cs="Times New Roman"/>
        </w:rPr>
      </w:pPr>
      <w:r>
        <w:rPr>
          <w:rFonts w:cs="Times New Roman"/>
        </w:rPr>
        <w:t>Pridėti galimybę VSB pildyti ir teikti finansines ataskaitas per naują sistemą.</w:t>
      </w:r>
    </w:p>
    <w:p>
      <w:pPr>
        <w:sectPr>
          <w:headerReference w:type="default" r:id="rId2"/>
          <w:footerReference w:type="default" r:id="rId3"/>
          <w:type w:val="nextPage"/>
          <w:pgSz w:w="12240" w:h="15840"/>
          <w:pgMar w:left="1555" w:right="1555" w:gutter="0" w:header="864" w:top="1980" w:footer="720" w:bottom="1800"/>
          <w:pgNumType w:fmt="decimal"/>
          <w:formProt w:val="false"/>
          <w:textDirection w:val="lrTb"/>
          <w:docGrid w:type="default" w:linePitch="360" w:charSpace="0"/>
        </w:sectPr>
        <w:pStyle w:val="Normal"/>
        <w:jc w:val="both"/>
        <w:rPr>
          <w:rFonts w:cs="Times New Roman"/>
        </w:rPr>
      </w:pPr>
      <w:r>
        <w:rPr>
          <w:rFonts w:cs="Times New Roman"/>
        </w:rPr>
        <w:t xml:space="preserve">Skyriuje pateikiami veiklos procesai, kuriuos siekiama įgyvendinti. Veiklos procesai yra pateikiami veiklos procesų modeliavimo notacijos (angl. </w:t>
      </w:r>
      <w:r>
        <w:rPr>
          <w:rFonts w:cs="Times New Roman"/>
          <w:i/>
        </w:rPr>
        <w:t>Business Process Model and Notation – BPMN</w:t>
      </w:r>
      <w:r>
        <w:rPr>
          <w:rFonts w:cs="Times New Roman"/>
        </w:rPr>
        <w:t>) schemose. Kiekvienas proceso žingsnis yra aprašomas greta schemų pateikiamose lentelėse.</w:t>
      </w:r>
    </w:p>
    <w:p>
      <w:pPr>
        <w:pStyle w:val="Heading3"/>
        <w:numPr>
          <w:ilvl w:val="2"/>
          <w:numId w:val="35"/>
        </w:numPr>
        <w:rPr/>
      </w:pPr>
      <w:bookmarkStart w:id="7" w:name="_Toc191546192"/>
      <w:r>
        <w:rPr/>
        <w:t>Bendras procesas</w:t>
      </w:r>
      <w:bookmarkEnd w:id="7"/>
    </w:p>
    <w:p>
      <w:pPr>
        <w:pStyle w:val="Normal"/>
        <w:rPr/>
      </w:pPr>
      <w:r>
        <w:rPr/>
        <w:object>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456pt;height:114.6pt;mso-wrap-distance-right:0pt" filled="f" o:ole="">
            <v:imagedata r:id="rId5" o:title=""/>
          </v:shape>
          <o:OLEObject Type="Embed" ProgID="Visio.Drawing.15" ShapeID="ole_rId4" DrawAspect="Content" ObjectID="_469877887" r:id="rId4"/>
        </w:object>
      </w:r>
    </w:p>
    <w:p>
      <w:pPr>
        <w:pStyle w:val="Normal"/>
        <w:jc w:val="center"/>
        <w:rPr>
          <w:rFonts w:cs="Times New Roman"/>
        </w:rPr>
      </w:pPr>
      <w:r>
        <w:rPr>
          <w:rFonts w:cs="Times New Roman"/>
        </w:rPr>
        <w:fldChar w:fldCharType="begin"/>
      </w:r>
      <w:r>
        <w:rPr>
          <w:rFonts w:cs="Times New Roman"/>
        </w:rPr>
        <w:instrText xml:space="preserve"> SEQ Pav \* ARABIC </w:instrText>
      </w:r>
      <w:r>
        <w:rPr>
          <w:rFonts w:cs="Times New Roman"/>
        </w:rPr>
        <w:fldChar w:fldCharType="separate"/>
      </w:r>
      <w:r>
        <w:rPr>
          <w:rFonts w:cs="Times New Roman"/>
        </w:rPr>
        <w:t>1</w:t>
      </w:r>
      <w:r>
        <w:rPr>
          <w:rFonts w:cs="Times New Roman"/>
        </w:rPr>
        <w:fldChar w:fldCharType="end"/>
      </w:r>
      <w:r>
        <w:rPr>
          <w:rFonts w:cs="Times New Roman"/>
        </w:rPr>
        <w:t xml:space="preserve"> </w:t>
      </w:r>
      <w:r>
        <w:rPr>
          <w:rFonts w:cs="Times New Roman"/>
        </w:rPr>
        <w:t>pav. Bendras procesas.</w:t>
      </w:r>
    </w:p>
    <w:p>
      <w:pPr>
        <w:pStyle w:val="Normal"/>
        <w:rPr>
          <w:rFonts w:cs="Times New Roman"/>
          <w:i/>
          <w:i/>
        </w:rPr>
      </w:pPr>
      <w:r>
        <w:rPr>
          <w:rFonts w:cs="Times New Roman"/>
        </w:rPr>
        <w:fldChar w:fldCharType="begin"/>
      </w:r>
      <w:r>
        <w:rPr>
          <w:rFonts w:cs="Times New Roman"/>
        </w:rPr>
        <w:instrText xml:space="preserve"> SEQ Lentelė \* ARABIC </w:instrText>
      </w:r>
      <w:r>
        <w:rPr>
          <w:rFonts w:cs="Times New Roman"/>
        </w:rPr>
        <w:fldChar w:fldCharType="separate"/>
      </w:r>
      <w:r>
        <w:rPr>
          <w:rFonts w:cs="Times New Roman"/>
        </w:rPr>
        <w:t>2</w:t>
      </w:r>
      <w:r>
        <w:rPr>
          <w:rFonts w:cs="Times New Roman"/>
        </w:rPr>
        <w:fldChar w:fldCharType="end"/>
      </w:r>
      <w:r>
        <w:rPr>
          <w:rFonts w:cs="Times New Roman"/>
          <w:i/>
        </w:rPr>
        <w:t xml:space="preserve"> </w:t>
      </w:r>
      <w:r>
        <w:rPr>
          <w:rFonts w:cs="Times New Roman"/>
          <w:i/>
        </w:rPr>
        <w:t>lentelė. Bendro proceso 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jc w:val="both"/>
              <w:rPr>
                <w:rFonts w:cs="Times New Roman"/>
                <w:b/>
              </w:rPr>
            </w:pPr>
            <w:r>
              <w:rPr>
                <w:rFonts w:eastAsia="Times New Roman"/>
                <w:b/>
                <w:sz w:val="22"/>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rFonts w:cs="Times New Roman"/>
                <w:b/>
              </w:rPr>
            </w:pPr>
            <w:r>
              <w:rPr>
                <w:rFonts w:eastAsia="Times New Roman"/>
                <w:b/>
                <w:sz w:val="22"/>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rFonts w:cs="Times New Roman"/>
                <w:b/>
              </w:rPr>
            </w:pPr>
            <w:r>
              <w:rPr>
                <w:rFonts w:eastAsia="Times New Roman"/>
                <w:b/>
              </w:rPr>
              <w:t>Žingsnio aprašymas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Iš SAM gautas bazinių paslaugų sąrašas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Proceso pradžia, kai SAM pateikia bazinių paslaugų sąrašą.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Bazinių paslaugų įvedimas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Įvedamos ir patvirtinamos bazinės paslaugos. Detalesnis proceso aprašymas pateiktas </w:t>
            </w:r>
            <w:r>
              <w:rPr>
                <w:rFonts w:cs="Times New Roman"/>
              </w:rPr>
              <w:fldChar w:fldCharType="begin"/>
            </w:r>
            <w:r>
              <w:rPr>
                <w:rFonts w:cs="Times New Roman"/>
              </w:rPr>
              <w:instrText xml:space="preserve"> REF _Ref178235805 \r \h </w:instrText>
            </w:r>
            <w:r>
              <w:rPr>
                <w:rFonts w:cs="Times New Roman"/>
              </w:rPr>
              <w:fldChar w:fldCharType="separate"/>
            </w:r>
            <w:r>
              <w:rPr>
                <w:rFonts w:cs="Times New Roman"/>
              </w:rPr>
              <w:t>5.2.2</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_Ref178235829 \h </w:instrText>
            </w:r>
            <w:r>
              <w:rPr>
                <w:rFonts w:cs="Times New Roman"/>
              </w:rPr>
              <w:fldChar w:fldCharType="separate"/>
            </w:r>
            <w:r>
              <w:rPr>
                <w:rFonts w:cs="Times New Roman"/>
              </w:rPr>
              <w:t>Bazinių paslaugų įvedimas</w:t>
            </w:r>
            <w:r>
              <w:rPr>
                <w:rFonts w:cs="Times New Roman"/>
              </w:rPr>
              <w:fldChar w:fldCharType="end"/>
            </w:r>
            <w:r>
              <w:rPr>
                <w:rFonts w:cs="Times New Roman"/>
              </w:rPr>
              <w:t xml:space="preserve">. </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VSB atsirado poreikis suteikti kitą (papildomą)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Proceso pradžia, kai VSB siekia suteikti kitą (papildomą) paslaugą, kuri neįtraukta į SAM bazinių paslaugų sąrašą.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Papildomų paslaugų įvedimas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Įvedama (prie bazinių paslaugų) ir patvirtinama papildoma paslauga. Detalesnis proceso aprašymas pateiktas </w:t>
            </w:r>
            <w:r>
              <w:rPr>
                <w:rFonts w:cs="Times New Roman"/>
              </w:rPr>
              <w:fldChar w:fldCharType="begin"/>
            </w:r>
            <w:r>
              <w:rPr>
                <w:rFonts w:cs="Times New Roman"/>
              </w:rPr>
              <w:instrText xml:space="preserve"> REF _Ref178235858 \r \h </w:instrText>
            </w:r>
            <w:r>
              <w:rPr>
                <w:rFonts w:cs="Times New Roman"/>
              </w:rPr>
              <w:fldChar w:fldCharType="separate"/>
            </w:r>
            <w:r>
              <w:rPr>
                <w:rFonts w:cs="Times New Roman"/>
              </w:rPr>
              <w:t>5.2.6</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_Ref178235862 \h </w:instrText>
            </w:r>
            <w:r>
              <w:rPr>
                <w:rFonts w:cs="Times New Roman"/>
              </w:rPr>
              <w:fldChar w:fldCharType="separate"/>
            </w:r>
            <w:r>
              <w:rPr>
                <w:rFonts w:cs="Times New Roman"/>
              </w:rPr>
              <w:t>Papildomų paslaugų įvedimas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Paslaugos suderinimas ir vykdymas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Sukuriama, suderinama, patvirtinama ir įvykdoma VSB teikiama paslauga. Detalesnis proceso aprašymas pateiktas skyriuje </w:t>
            </w:r>
            <w:r>
              <w:rPr>
                <w:rFonts w:cs="Times New Roman"/>
              </w:rPr>
              <w:fldChar w:fldCharType="begin"/>
            </w:r>
            <w:r>
              <w:rPr>
                <w:rFonts w:cs="Times New Roman"/>
              </w:rPr>
              <w:instrText xml:space="preserve"> REF _Ref178235912 \r \h </w:instrText>
            </w:r>
            <w:r>
              <w:rPr>
                <w:rFonts w:cs="Times New Roman"/>
              </w:rPr>
              <w:fldChar w:fldCharType="separate"/>
            </w:r>
            <w:r>
              <w:rPr>
                <w:rFonts w:cs="Times New Roman"/>
              </w:rPr>
              <w:t>5.2.3</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_Ref178235919 \h </w:instrText>
            </w:r>
            <w:r>
              <w:rPr>
                <w:rFonts w:cs="Times New Roman"/>
              </w:rPr>
              <w:fldChar w:fldCharType="separate"/>
            </w:r>
            <w:r>
              <w:rPr>
                <w:rFonts w:cs="Times New Roman"/>
              </w:rPr>
              <w:t>Paslaugos suderinimas ir vykdymas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S4.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Paslaugų įvykdymo ataskaitų pateikimas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Pateikiamos vertinimo kriterijų ir papildomos ataskaitos. Detalesnis proceso aprašymas pateiktas </w:t>
            </w:r>
            <w:r>
              <w:rPr>
                <w:rFonts w:cs="Times New Roman"/>
              </w:rPr>
              <w:fldChar w:fldCharType="begin"/>
            </w:r>
            <w:r>
              <w:rPr>
                <w:rFonts w:cs="Times New Roman"/>
              </w:rPr>
              <w:instrText xml:space="preserve"> REF _Ref178235954 \r \h </w:instrText>
            </w:r>
            <w:r>
              <w:rPr>
                <w:rFonts w:cs="Times New Roman"/>
              </w:rPr>
              <w:fldChar w:fldCharType="separate"/>
            </w:r>
            <w:r>
              <w:rPr>
                <w:rFonts w:cs="Times New Roman"/>
              </w:rPr>
              <w:t>5.2.5</w:t>
            </w:r>
            <w:r>
              <w:rPr>
                <w:rFonts w:cs="Times New Roman"/>
              </w:rPr>
              <w:fldChar w:fldCharType="end"/>
            </w:r>
            <w:r>
              <w:rPr>
                <w:rFonts w:cs="Times New Roman"/>
              </w:rPr>
              <w:t xml:space="preserve"> </w:t>
            </w:r>
            <w:r>
              <w:rPr>
                <w:rFonts w:cs="Times New Roman"/>
              </w:rPr>
              <w:fldChar w:fldCharType="begin"/>
            </w:r>
            <w:r>
              <w:rPr>
                <w:rFonts w:cs="Times New Roman"/>
              </w:rPr>
              <w:instrText xml:space="preserve"> REF _Ref178235956 \h </w:instrText>
            </w:r>
            <w:r>
              <w:rPr>
                <w:rFonts w:cs="Times New Roman"/>
              </w:rPr>
              <w:fldChar w:fldCharType="separate"/>
            </w:r>
            <w:r>
              <w:rPr>
                <w:rFonts w:cs="Times New Roman"/>
              </w:rPr>
              <w:t>Paslaugų įvykdymo ataskaitų pateikimas</w:t>
            </w:r>
            <w:r>
              <w:rPr>
                <w:rFonts w:cs="Times New Roman"/>
              </w:rPr>
              <w:fldChar w:fldCharType="end"/>
            </w:r>
            <w:r>
              <w:rPr>
                <w:rFonts w:cs="Times New Roman"/>
              </w:rPr>
              <w:t>.</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jc w:val="both"/>
              <w:rPr>
                <w:rFonts w:cs="Times New Roman"/>
              </w:rPr>
            </w:pPr>
            <w:r>
              <w:rPr>
                <w:rFonts w:cs="Times New Roman"/>
              </w:rPr>
              <w:t>Paslaugų įvykdymo ataskaitos pateiktos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Proceso pabaiga. </w:t>
            </w:r>
          </w:p>
        </w:tc>
      </w:tr>
    </w:tbl>
    <w:p>
      <w:pPr>
        <w:pStyle w:val="Heading3"/>
        <w:numPr>
          <w:ilvl w:val="2"/>
          <w:numId w:val="35"/>
        </w:numPr>
        <w:rPr/>
      </w:pPr>
      <w:bookmarkStart w:id="8" w:name="_Toc191546193"/>
      <w:bookmarkStart w:id="9" w:name="_Ref178235829"/>
      <w:bookmarkStart w:id="10" w:name="_Ref178235805"/>
      <w:r>
        <w:rPr/>
        <w:t>Bazinių paslaugų įvedimas</w:t>
      </w:r>
      <w:bookmarkEnd w:id="8"/>
      <w:bookmarkEnd w:id="9"/>
      <w:bookmarkEnd w:id="10"/>
    </w:p>
    <w:p>
      <w:pPr>
        <w:pStyle w:val="Normal"/>
        <w:rPr/>
      </w:pPr>
      <w:r>
        <w:rPr/>
        <w:object>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602.4pt;height:177.6pt;mso-wrap-distance-right:0pt" filled="f" o:ole="">
            <v:imagedata r:id="rId7" o:title=""/>
          </v:shape>
          <o:OLEObject Type="Embed" ProgID="Visio.Drawing.15" ShapeID="ole_rId6" DrawAspect="Content" ObjectID="_1059453491" r:id="rId6"/>
        </w:object>
      </w:r>
    </w:p>
    <w:p>
      <w:pPr>
        <w:pStyle w:val="Normal"/>
        <w:rPr/>
      </w:pPr>
      <w:r>
        <w:rPr/>
        <w:fldChar w:fldCharType="begin"/>
      </w:r>
      <w:r>
        <w:rPr/>
        <w:instrText xml:space="preserve"> SEQ Pav \* ARABIC </w:instrText>
      </w:r>
      <w:r>
        <w:rPr/>
        <w:fldChar w:fldCharType="separate"/>
      </w:r>
      <w:r>
        <w:rPr/>
        <w:t>2</w:t>
      </w:r>
      <w:r>
        <w:rPr/>
        <w:fldChar w:fldCharType="end"/>
      </w:r>
      <w:r>
        <w:rPr/>
        <w:t xml:space="preserve"> </w:t>
      </w:r>
      <w:r>
        <w:rPr/>
        <w:t>pav. Bazinių paslaugų įvedimas.</w:t>
      </w:r>
    </w:p>
    <w:p>
      <w:pPr>
        <w:pStyle w:val="Normal"/>
        <w:rPr>
          <w:i/>
          <w:i/>
        </w:rPr>
      </w:pPr>
      <w:r>
        <w:rPr/>
        <w:fldChar w:fldCharType="begin"/>
      </w:r>
      <w:r>
        <w:rPr/>
        <w:instrText xml:space="preserve"> SEQ Lentelė \* ARABIC </w:instrText>
      </w:r>
      <w:r>
        <w:rPr/>
        <w:fldChar w:fldCharType="separate"/>
      </w:r>
      <w:r>
        <w:rPr/>
        <w:t>3</w:t>
      </w:r>
      <w:r>
        <w:rPr/>
        <w:fldChar w:fldCharType="end"/>
      </w:r>
      <w:r>
        <w:rPr>
          <w:i/>
        </w:rPr>
        <w:t xml:space="preserve"> </w:t>
      </w:r>
      <w:r>
        <w:rPr>
          <w:i/>
        </w:rPr>
        <w:t>lentelė. Bazinių paslaugų įvedimo 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Iš SAM gautas bazinių paslaugų sąrašas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paskelbia bazinių paslaugų sąrašą ne IT sprendimo priemonėmis.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Gauti bazinės paslaugos duomenys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Iš SAM gauti bazinės paslaugos aprašymo duomenys.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Įveda / atnaujina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bazinę paslaugą arba atnaujina esamos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Patvirtina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patvirtina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Bazinė paslauga sukurta arba atnaujinta pagal gautus aprašymo duomenis ir patvirtinta.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Bazinės paslaugos sukurtos ir patvirtintos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Visos bazinės paslaugos iš SAM pateikto sąrašo sukurtos ir patvirtintos.</w:t>
            </w:r>
          </w:p>
        </w:tc>
      </w:tr>
    </w:tbl>
    <w:p>
      <w:pPr>
        <w:pStyle w:val="Heading3"/>
        <w:numPr>
          <w:ilvl w:val="2"/>
          <w:numId w:val="35"/>
        </w:numPr>
        <w:rPr/>
      </w:pPr>
      <w:bookmarkStart w:id="11" w:name="_Toc191546194"/>
      <w:bookmarkStart w:id="12" w:name="_Ref178235919"/>
      <w:bookmarkStart w:id="13" w:name="_Ref178235912"/>
      <w:r>
        <w:rPr/>
        <w:t>Paslaugos suderinimas ir vykdymas</w:t>
      </w:r>
      <w:bookmarkEnd w:id="11"/>
      <w:bookmarkEnd w:id="12"/>
      <w:bookmarkEnd w:id="13"/>
    </w:p>
    <w:p>
      <w:pPr>
        <w:pStyle w:val="Normal"/>
        <w:rPr/>
      </w:pPr>
      <w:r>
        <w:rPr/>
        <w:object>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602.4pt;height:407.4pt;mso-wrap-distance-right:0pt" filled="f" o:ole="">
            <v:imagedata r:id="rId9" o:title=""/>
          </v:shape>
          <o:OLEObject Type="Embed" ProgID="Visio.Drawing.15" ShapeID="ole_rId8" DrawAspect="Content" ObjectID="_1923087286" r:id="rId8"/>
        </w:object>
      </w:r>
    </w:p>
    <w:p>
      <w:pPr>
        <w:pStyle w:val="Normal"/>
        <w:rPr/>
      </w:pPr>
      <w:r>
        <w:rPr/>
        <w:fldChar w:fldCharType="begin"/>
      </w:r>
      <w:r>
        <w:rPr/>
        <w:instrText xml:space="preserve"> SEQ Pav \* ARABIC </w:instrText>
      </w:r>
      <w:r>
        <w:rPr/>
        <w:fldChar w:fldCharType="separate"/>
      </w:r>
      <w:r>
        <w:rPr/>
        <w:t>3</w:t>
      </w:r>
      <w:r>
        <w:rPr/>
        <w:fldChar w:fldCharType="end"/>
      </w:r>
      <w:r>
        <w:rPr/>
        <w:t xml:space="preserve"> </w:t>
      </w:r>
      <w:r>
        <w:rPr/>
        <w:t>pav. Paslaugos suderinimas ir vykdymas.</w:t>
      </w:r>
    </w:p>
    <w:p>
      <w:pPr>
        <w:pStyle w:val="Normal"/>
        <w:rPr>
          <w:i/>
          <w:i/>
        </w:rPr>
      </w:pPr>
      <w:r>
        <w:rPr/>
        <w:fldChar w:fldCharType="begin"/>
      </w:r>
      <w:r>
        <w:rPr/>
        <w:instrText xml:space="preserve"> SEQ Lentelė \* ARABIC </w:instrText>
      </w:r>
      <w:r>
        <w:rPr/>
        <w:fldChar w:fldCharType="separate"/>
      </w:r>
      <w:r>
        <w:rPr/>
        <w:t>4</w:t>
      </w:r>
      <w:r>
        <w:rPr/>
        <w:fldChar w:fldCharType="end"/>
      </w:r>
      <w:r>
        <w:rPr>
          <w:i/>
        </w:rPr>
        <w:t xml:space="preserve"> </w:t>
      </w:r>
      <w:r>
        <w:rPr>
          <w:i/>
        </w:rPr>
        <w:t>lentelė. Paslaugos suderinimo ir vykdymo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Susijusi 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Reikalinga bazinė paslauga sukurta ir patvirtinta.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Sukuria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paslaugą pagal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Pateikia paslaugą tvirtinimui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pateikia paslaugos vertinimo kriterijus patvirtinimui.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Patikslina paslaugos duomenis / pašalina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patikslina paslaugos vertinimo kriterijų duomenis arba pašalina paslaugą.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pašalinta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Paslauga suteikta ir paslaugos vykdymo duomenys įvesti.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T6.</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vykdymas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 xml:space="preserve">Paslauga suteikiama ir įvedami paslaugos vykdymo duomenys. Detalesnis proceso aprašymas pateiktas </w:t>
            </w:r>
            <w:r>
              <w:rPr/>
              <w:fldChar w:fldCharType="begin"/>
            </w:r>
            <w:r>
              <w:rPr/>
              <w:instrText xml:space="preserve"> REF _Ref178237179 \r \h </w:instrText>
            </w:r>
            <w:r>
              <w:rPr/>
              <w:fldChar w:fldCharType="separate"/>
            </w:r>
            <w:r>
              <w:rPr/>
              <w:t>5.2.4</w:t>
            </w:r>
            <w:r>
              <w:rPr/>
              <w:fldChar w:fldCharType="end"/>
            </w:r>
            <w:r>
              <w:rPr/>
              <w:t xml:space="preserve"> </w:t>
            </w:r>
            <w:r>
              <w:rPr/>
              <w:fldChar w:fldCharType="begin"/>
            </w:r>
            <w:r>
              <w:rPr/>
              <w:instrText xml:space="preserve"> REF _Ref178237184 \h </w:instrText>
            </w:r>
            <w:r>
              <w:rPr/>
              <w:fldChar w:fldCharType="separate"/>
            </w:r>
            <w:r>
              <w:rPr/>
              <w:t>Paslaugos vykdymas</w:t>
            </w:r>
            <w:r>
              <w:rPr/>
              <w:fldChar w:fldCharType="end"/>
            </w:r>
            <w:r>
              <w:rPr/>
              <w:t>.</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derintojas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Pažymi vertinimo kriterijų suderintu / atmeta jį</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derintojas pažymi vertinimo kriterijų suderintu arba atmeta jį.</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tvirtintojas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i/>
                <w:i/>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i/>
                <w:i/>
              </w:rPr>
            </w:pPr>
            <w:r>
              <w:rPr/>
              <w:t>Patvirtina / atmeta vertinimo kriterijų</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Kriterijų tvirtintojas patvirtina vertinimo kriterijų arba atmeta jį.</w:t>
            </w:r>
          </w:p>
        </w:tc>
      </w:tr>
    </w:tbl>
    <w:p>
      <w:pPr>
        <w:pStyle w:val="Heading3"/>
        <w:numPr>
          <w:ilvl w:val="2"/>
          <w:numId w:val="35"/>
        </w:numPr>
        <w:rPr/>
      </w:pPr>
      <w:bookmarkStart w:id="14" w:name="_Toc191546195"/>
      <w:bookmarkStart w:id="15" w:name="_Ref178237184"/>
      <w:bookmarkStart w:id="16" w:name="_Ref178237179"/>
      <w:r>
        <w:rPr/>
        <w:t>Paslaugos vykdymas</w:t>
      </w:r>
      <w:bookmarkEnd w:id="14"/>
      <w:bookmarkEnd w:id="15"/>
      <w:bookmarkEnd w:id="16"/>
    </w:p>
    <w:p>
      <w:pPr>
        <w:pStyle w:val="Normal"/>
        <w:rPr/>
      </w:pPr>
      <w:r>
        <w:rPr/>
        <w:drawing>
          <wp:inline distT="0" distB="0" distL="0" distR="0">
            <wp:extent cx="7240905" cy="524065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10"/>
                    <a:stretch>
                      <a:fillRect/>
                    </a:stretch>
                  </pic:blipFill>
                  <pic:spPr bwMode="auto">
                    <a:xfrm>
                      <a:off x="0" y="0"/>
                      <a:ext cx="7240905" cy="5240655"/>
                    </a:xfrm>
                    <a:prstGeom prst="rect">
                      <a:avLst/>
                    </a:prstGeom>
                  </pic:spPr>
                </pic:pic>
              </a:graphicData>
            </a:graphic>
          </wp:inline>
        </w:drawing>
      </w:r>
    </w:p>
    <w:p>
      <w:pPr>
        <w:pStyle w:val="Normal"/>
        <w:rPr/>
      </w:pPr>
      <w:r>
        <w:rPr/>
        <w:fldChar w:fldCharType="begin"/>
      </w:r>
      <w:r>
        <w:rPr/>
        <w:instrText xml:space="preserve"> SEQ Pav \* ARABIC </w:instrText>
      </w:r>
      <w:r>
        <w:rPr/>
        <w:fldChar w:fldCharType="separate"/>
      </w:r>
      <w:r>
        <w:rPr/>
        <w:t>4</w:t>
      </w:r>
      <w:r>
        <w:rPr/>
        <w:fldChar w:fldCharType="end"/>
      </w:r>
      <w:r>
        <w:rPr/>
        <w:t xml:space="preserve"> </w:t>
      </w:r>
      <w:r>
        <w:rPr/>
        <w:t>pav. Paslaugos vykdymas.</w:t>
      </w:r>
    </w:p>
    <w:p>
      <w:pPr>
        <w:pStyle w:val="Normal"/>
        <w:rPr>
          <w:i/>
          <w:i/>
        </w:rPr>
      </w:pPr>
      <w:r>
        <w:rPr/>
        <w:fldChar w:fldCharType="begin"/>
      </w:r>
      <w:r>
        <w:rPr/>
        <w:instrText xml:space="preserve"> SEQ Lentelė \* ARABIC </w:instrText>
      </w:r>
      <w:r>
        <w:rPr/>
        <w:fldChar w:fldCharType="separate"/>
      </w:r>
      <w:r>
        <w:rPr/>
        <w:t>5</w:t>
      </w:r>
      <w:r>
        <w:rPr/>
        <w:fldChar w:fldCharType="end"/>
      </w:r>
      <w:r>
        <w:rPr>
          <w:i/>
        </w:rPr>
        <w:t xml:space="preserve"> </w:t>
      </w:r>
      <w:r>
        <w:rPr>
          <w:i/>
        </w:rPr>
        <w:t>lentelė. Paslaugos vykdymo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bookmarkStart w:id="17" w:name="_Hlk178238812"/>
            <w:r>
              <w:rPr/>
              <w:t>VSB darbuotojas</w:t>
            </w:r>
            <w:bookmarkEnd w:id="17"/>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Visi vertinimo kriterijai patvirtinti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Visi paslaugos vertinimo kriterijai patvirtinti.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SRDI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SRDI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Sistema atnaujina paslaugos vertinimo kriterijų duomenis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Sistema atnaujina paslaugos vertinimo kriterijų duomenis pagal įvesto SRDI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paslaugos vertinimo kriterijų įvykdymo duomenis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paslaugos vertinimo kriterijų įvykdymo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papildomos ataskaitos duomenis / paslaugos gavėjų analitinius požymius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įveda paslaugos papildomos ataskaitos duomenis arba užpildo paslaugos gavėjų analitinius požymius.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Paslaugų uždarytojas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Pažymi paslaugą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Paslaugų uždarytojas pažymi paslaugą suteikta.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Paslauga suteikta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Paslauga suteikta ir paslaugos vykdymo duomenys įvesti.</w:t>
            </w:r>
          </w:p>
        </w:tc>
      </w:tr>
    </w:tbl>
    <w:p>
      <w:pPr>
        <w:pStyle w:val="Heading3"/>
        <w:numPr>
          <w:ilvl w:val="2"/>
          <w:numId w:val="35"/>
        </w:numPr>
        <w:rPr/>
      </w:pPr>
      <w:bookmarkStart w:id="18" w:name="_Toc191546196"/>
      <w:bookmarkStart w:id="19" w:name="_Ref178235956"/>
      <w:bookmarkStart w:id="20" w:name="_Ref178235954"/>
      <w:r>
        <w:rPr/>
        <w:t>Paslaugų įvykdymo ataskaitų pateikimas</w:t>
      </w:r>
      <w:bookmarkEnd w:id="18"/>
      <w:bookmarkEnd w:id="19"/>
      <w:bookmarkEnd w:id="20"/>
    </w:p>
    <w:p>
      <w:pPr>
        <w:pStyle w:val="Normal"/>
        <w:rPr/>
      </w:pPr>
      <w:r>
        <w:rPr/>
        <w:object>
          <v:shapetype id="_x0000_tole_rId11" coordsize="21600,21600" o:spt="ole_rId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 type="_x0000_tole_rId11" style="width:501.6pt;height:133.2pt;mso-wrap-distance-right:0pt" filled="f" o:ole="">
            <v:imagedata r:id="rId12" o:title=""/>
          </v:shape>
          <o:OLEObject Type="Embed" ProgID="Visio.Drawing.15" ShapeID="ole_rId11" DrawAspect="Content" ObjectID="_1361660304" r:id="rId11"/>
        </w:object>
      </w:r>
    </w:p>
    <w:p>
      <w:pPr>
        <w:pStyle w:val="Normal"/>
        <w:rPr/>
      </w:pPr>
      <w:r>
        <w:rPr/>
        <w:fldChar w:fldCharType="begin"/>
      </w:r>
      <w:r>
        <w:rPr/>
        <w:instrText xml:space="preserve"> SEQ Pav \* ARABIC </w:instrText>
      </w:r>
      <w:r>
        <w:rPr/>
        <w:fldChar w:fldCharType="separate"/>
      </w:r>
      <w:r>
        <w:rPr/>
        <w:t>5</w:t>
      </w:r>
      <w:r>
        <w:rPr/>
        <w:fldChar w:fldCharType="end"/>
      </w:r>
      <w:r>
        <w:rPr/>
        <w:t xml:space="preserve"> </w:t>
      </w:r>
      <w:r>
        <w:rPr/>
        <w:t>pav. Paslaugų įvykdymo ataskaitų pateikimas.</w:t>
      </w:r>
    </w:p>
    <w:p>
      <w:pPr>
        <w:pStyle w:val="Normal"/>
        <w:rPr>
          <w:i/>
          <w:i/>
        </w:rPr>
      </w:pPr>
      <w:r>
        <w:rPr/>
        <w:fldChar w:fldCharType="begin"/>
      </w:r>
      <w:r>
        <w:rPr/>
        <w:instrText xml:space="preserve"> SEQ Lentelė \* ARABIC </w:instrText>
      </w:r>
      <w:r>
        <w:rPr/>
        <w:fldChar w:fldCharType="separate"/>
      </w:r>
      <w:r>
        <w:rPr/>
        <w:t>6</w:t>
      </w:r>
      <w:r>
        <w:rPr/>
        <w:fldChar w:fldCharType="end"/>
      </w:r>
      <w:r>
        <w:rPr>
          <w:i/>
        </w:rPr>
        <w:t xml:space="preserve"> </w:t>
      </w:r>
      <w:r>
        <w:rPr>
          <w:i/>
        </w:rPr>
        <w:t>lentelė. Paslaugų įvykdymo ataskaitų pateikimo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suteiktos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Visos paslaugos suteiktos ir jų vykdymo duomenys įvesti.</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vertinimo kriterijų ataskaitą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sugeneruoja vertinimo kriterijų ataskaitą.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papildomą ataskaitą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kiekvienai bazinei paslaugai, kuri turi papildomą ataskaitą, šią ataskaitą sugeneruoja.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įvykdymo ataskaitos pateiktos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bl>
    <w:p>
      <w:pPr>
        <w:pStyle w:val="Heading3"/>
        <w:numPr>
          <w:ilvl w:val="2"/>
          <w:numId w:val="35"/>
        </w:numPr>
        <w:rPr/>
      </w:pPr>
      <w:bookmarkStart w:id="21" w:name="_Toc191546197"/>
      <w:bookmarkStart w:id="22" w:name="_Ref178235862"/>
      <w:bookmarkStart w:id="23" w:name="_Ref178235858"/>
      <w:r>
        <w:rPr/>
        <w:t>Papildomų paslaugų įvedimas</w:t>
      </w:r>
      <w:bookmarkEnd w:id="21"/>
      <w:bookmarkEnd w:id="22"/>
      <w:bookmarkEnd w:id="23"/>
    </w:p>
    <w:p>
      <w:pPr>
        <w:pStyle w:val="Normal"/>
        <w:rPr/>
      </w:pPr>
      <w:r>
        <w:rPr/>
        <w:object>
          <v:shapetype id="_x0000_tole_rId13" coordsize="21600,21600" o:spt="ole_rId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 type="_x0000_tole_rId13" style="width:603pt;height:191.4pt;mso-wrap-distance-right:0pt" filled="f" o:ole="">
            <v:imagedata r:id="rId14" o:title=""/>
          </v:shape>
          <o:OLEObject Type="Embed" ProgID="Visio.Drawing.15" ShapeID="ole_rId13" DrawAspect="Content" ObjectID="_1680144892" r:id="rId13"/>
        </w:object>
      </w:r>
    </w:p>
    <w:p>
      <w:pPr>
        <w:pStyle w:val="Normal"/>
        <w:rPr/>
      </w:pPr>
      <w:r>
        <w:rPr/>
        <w:fldChar w:fldCharType="begin"/>
      </w:r>
      <w:r>
        <w:rPr/>
        <w:instrText xml:space="preserve"> SEQ Pav \* ARABIC </w:instrText>
      </w:r>
      <w:r>
        <w:rPr/>
        <w:fldChar w:fldCharType="separate"/>
      </w:r>
      <w:r>
        <w:rPr/>
        <w:t>6</w:t>
      </w:r>
      <w:r>
        <w:rPr/>
        <w:fldChar w:fldCharType="end"/>
      </w:r>
      <w:r>
        <w:rPr/>
        <w:t xml:space="preserve"> </w:t>
      </w:r>
      <w:r>
        <w:rPr/>
        <w:t>pav. Papildomų paslaugų įvedimas.</w:t>
      </w:r>
    </w:p>
    <w:p>
      <w:pPr>
        <w:pStyle w:val="Normal"/>
        <w:rPr>
          <w:i/>
          <w:i/>
        </w:rPr>
      </w:pPr>
      <w:r>
        <w:rPr/>
        <w:fldChar w:fldCharType="begin"/>
      </w:r>
      <w:r>
        <w:rPr/>
        <w:instrText xml:space="preserve"> SEQ Lentelė \* ARABIC </w:instrText>
      </w:r>
      <w:r>
        <w:rPr/>
        <w:fldChar w:fldCharType="separate"/>
      </w:r>
      <w:r>
        <w:rPr/>
        <w:t>7</w:t>
      </w:r>
      <w:r>
        <w:rPr/>
        <w:fldChar w:fldCharType="end"/>
      </w:r>
      <w:r>
        <w:rPr>
          <w:i/>
        </w:rPr>
        <w:t xml:space="preserve"> </w:t>
      </w:r>
      <w:r>
        <w:rPr>
          <w:i/>
        </w:rPr>
        <w:t>lentelė. Papildomų paslaugų įvedimo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p>
            <w:pPr>
              <w:pStyle w:val="Normal"/>
              <w:spacing w:before="40" w:after="160"/>
              <w:rPr/>
            </w:pPr>
            <w:r>
              <w:rPr/>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VSB atsirado poreikis suteikti papildomą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siekia suteikti papildomą paslaugą, kurios nėra SAM pateiktame bazinių paslaugų sąraše.</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Paruošia papildomos paslaugos aprašymą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paruošia ir pateikia papildomos paslaugos aprašymą ne sistemos priemonėmis.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Įvertina papildomos paslaugos tikslingumą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peržiūri paruoštą papildomos paslaugos aprašymą ir įvertina tikslingumą.</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 nesukurta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papildomą paslaugą (prie bazinių paslaugų)</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papildomą paslaugą (prie bazinių paslaugų).</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Patvirtina bazinę paslaugą</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patvirtina bazinės paslaugos duomenis.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 sukurta ir patvirtinta</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Bazinė paslauga sukurta pagal gautus papildomos paslaugos aprašymo duomenis ir patvirtinta.</w:t>
            </w:r>
          </w:p>
        </w:tc>
      </w:tr>
    </w:tbl>
    <w:p>
      <w:pPr>
        <w:pStyle w:val="Heading3"/>
        <w:numPr>
          <w:ilvl w:val="2"/>
          <w:numId w:val="35"/>
        </w:numPr>
        <w:rPr/>
      </w:pPr>
      <w:bookmarkStart w:id="24" w:name="_Toc191546198"/>
      <w:r>
        <w:rPr/>
        <w:t>Dotacijų paskirstymas</w:t>
      </w:r>
      <w:bookmarkEnd w:id="24"/>
    </w:p>
    <w:p>
      <w:pPr>
        <w:pStyle w:val="Normal"/>
        <w:rPr/>
      </w:pPr>
      <w:r>
        <w:rPr/>
        <w:object>
          <v:shapetype id="_x0000_tole_rId15" coordsize="21600,21600" o:spt="ole_rId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 type="_x0000_tole_rId15" style="width:602.4pt;height:351.6pt;mso-wrap-distance-right:0pt" filled="f" o:ole="">
            <v:imagedata r:id="rId16" o:title=""/>
          </v:shape>
          <o:OLEObject Type="Embed" ProgID="Visio.Drawing.15" ShapeID="ole_rId15" DrawAspect="Content" ObjectID="_1349482529" r:id="rId15"/>
        </w:object>
      </w:r>
    </w:p>
    <w:p>
      <w:pPr>
        <w:pStyle w:val="Normal"/>
        <w:rPr/>
      </w:pPr>
      <w:r>
        <w:rPr/>
        <w:fldChar w:fldCharType="begin"/>
      </w:r>
      <w:r>
        <w:rPr/>
        <w:instrText xml:space="preserve"> SEQ Pav \* ARABIC </w:instrText>
      </w:r>
      <w:r>
        <w:rPr/>
        <w:fldChar w:fldCharType="separate"/>
      </w:r>
      <w:r>
        <w:rPr/>
        <w:t>7</w:t>
      </w:r>
      <w:r>
        <w:rPr/>
        <w:fldChar w:fldCharType="end"/>
      </w:r>
      <w:r>
        <w:rPr/>
        <w:t xml:space="preserve"> </w:t>
      </w:r>
      <w:r>
        <w:rPr/>
        <w:t>pav. Dotacijų paskirstymas.</w:t>
      </w:r>
    </w:p>
    <w:p>
      <w:pPr>
        <w:pStyle w:val="Normal"/>
        <w:rPr>
          <w:i/>
          <w:i/>
        </w:rPr>
      </w:pPr>
      <w:r>
        <w:rPr/>
        <w:fldChar w:fldCharType="begin"/>
      </w:r>
      <w:r>
        <w:rPr/>
        <w:instrText xml:space="preserve"> SEQ Lentelė \* ARABIC </w:instrText>
      </w:r>
      <w:r>
        <w:rPr/>
        <w:fldChar w:fldCharType="separate"/>
      </w:r>
      <w:r>
        <w:rPr/>
        <w:t>8</w:t>
      </w:r>
      <w:r>
        <w:rPr/>
        <w:fldChar w:fldCharType="end"/>
      </w:r>
      <w:r>
        <w:rPr>
          <w:i/>
        </w:rPr>
        <w:t xml:space="preserve"> </w:t>
      </w:r>
      <w:r>
        <w:rPr>
          <w:i/>
        </w:rPr>
        <w:t>lentelė. Dotacijų paskirstymo</w:t>
      </w:r>
      <w:r>
        <w:rPr>
          <w:rFonts w:cs="Times New Roman"/>
          <w:i/>
        </w:rPr>
        <w:t xml:space="preserve"> </w:t>
      </w:r>
      <w:r>
        <w:rPr>
          <w:i/>
        </w:rPr>
        <w:t>žingsniai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369"/>
        <w:gridCol w:w="5348"/>
        <w:gridCol w:w="5343"/>
      </w:tblGrid>
      <w:tr>
        <w:trPr>
          <w:tblHeader w:val="true"/>
        </w:trPr>
        <w:tc>
          <w:tcPr>
            <w:tcW w:w="136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Žingsnio Nr.</w:t>
            </w:r>
          </w:p>
        </w:tc>
        <w:tc>
          <w:tcPr>
            <w:tcW w:w="534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pavadinimas</w:t>
            </w:r>
          </w:p>
        </w:tc>
        <w:tc>
          <w:tcPr>
            <w:tcW w:w="534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Žingsnio aprašymas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Paskirtos dotacijos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Paskirtos dotacijos pagal bazinių paslaugų sritis.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T1.</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 užkrauna paskirstymo bazes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arba užkrauna dotacijų paskirstymo bazes.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Įveda paskirstymo normas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HI darbuotojas įveda dotacijų paskirstymo normas.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T3.</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Paskirsto dotaciją savivaldybėms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SAM darbuotojas paskirsto dotaciją savivaldybėms pagal paskirstymo bazes ir normas.</w:t>
            </w:r>
          </w:p>
        </w:tc>
      </w:tr>
      <w:tr>
        <w:trPr/>
        <w:tc>
          <w:tcPr>
            <w:tcW w:w="1206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T4.</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Suplanuoja paslaugų sričiai kaštus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kiekvienai paslaugų sričiai suplanuoja kaštus.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T5.</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Pateikia faktinius paslaugų srities kaštus</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VSB darbuotojas kiekvienai paslaugų sričiai pateikia faktinius įvykdymo kaštus.</w:t>
            </w:r>
          </w:p>
        </w:tc>
      </w:tr>
      <w:tr>
        <w:trPr/>
        <w:tc>
          <w:tcPr>
            <w:tcW w:w="1369"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E2.</w:t>
            </w:r>
          </w:p>
        </w:tc>
        <w:tc>
          <w:tcPr>
            <w:tcW w:w="534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faktiniai kaštai pateikti</w:t>
            </w:r>
          </w:p>
        </w:tc>
        <w:tc>
          <w:tcPr>
            <w:tcW w:w="534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Proceso pabaiga.</w:t>
            </w:r>
          </w:p>
        </w:tc>
      </w:tr>
    </w:tbl>
    <w:p>
      <w:pPr>
        <w:sectPr>
          <w:headerReference w:type="default" r:id="rId17"/>
          <w:headerReference w:type="first" r:id="rId18"/>
          <w:footerReference w:type="default" r:id="rId19"/>
          <w:footerReference w:type="first" r:id="rId20"/>
          <w:type w:val="nextPage"/>
          <w:pgSz w:orient="landscape" w:w="15840" w:h="12240"/>
          <w:pgMar w:left="1800" w:right="1980" w:gutter="0" w:header="864" w:top="1555" w:footer="720" w:bottom="1555"/>
          <w:pgNumType w:fmt="decimal"/>
          <w:formProt w:val="false"/>
          <w:textDirection w:val="lrTb"/>
          <w:docGrid w:type="default" w:linePitch="360" w:charSpace="0"/>
        </w:sectPr>
      </w:pPr>
    </w:p>
    <w:p>
      <w:pPr>
        <w:pStyle w:val="Heading1"/>
        <w:numPr>
          <w:ilvl w:val="0"/>
          <w:numId w:val="35"/>
        </w:numPr>
        <w:rPr>
          <w:b/>
        </w:rPr>
      </w:pPr>
      <w:bookmarkStart w:id="25" w:name="_Toc191546199"/>
      <w:r>
        <w:rPr>
          <w:b/>
        </w:rPr>
        <w:t>Veiklos reikalavimai</w:t>
      </w:r>
      <w:bookmarkEnd w:id="25"/>
    </w:p>
    <w:p>
      <w:pPr>
        <w:pStyle w:val="Heading2"/>
        <w:numPr>
          <w:ilvl w:val="1"/>
          <w:numId w:val="35"/>
        </w:numPr>
        <w:rPr>
          <w:b/>
        </w:rPr>
      </w:pPr>
      <w:bookmarkStart w:id="26" w:name="_Toc191546200"/>
      <w:r>
        <w:rPr>
          <w:b/>
        </w:rPr>
        <w:t>Funkcinė schema</w:t>
      </w:r>
      <w:bookmarkEnd w:id="26"/>
    </w:p>
    <w:p>
      <w:pPr>
        <w:pStyle w:val="Normal"/>
        <w:rPr/>
      </w:pPr>
      <w:r>
        <w:rPr/>
        <w:object>
          <v:shapetype id="_x0000_tole_rId21" coordsize="21600,21600" o:spt="ole_rId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 type="_x0000_tole_rId21" style="width:457.2pt;height:230.4pt;mso-wrap-distance-right:0pt" filled="f" o:ole="">
            <v:imagedata r:id="rId22" o:title=""/>
          </v:shape>
          <o:OLEObject Type="Embed" ProgID="Visio.Drawing.15" ShapeID="ole_rId21" DrawAspect="Content" ObjectID="_2007797671" r:id="rId21"/>
        </w:object>
      </w:r>
    </w:p>
    <w:p>
      <w:pPr>
        <w:pStyle w:val="Normal"/>
        <w:rPr/>
      </w:pPr>
      <w:r>
        <w:rPr/>
        <w:fldChar w:fldCharType="begin"/>
      </w:r>
      <w:r>
        <w:rPr/>
        <w:instrText xml:space="preserve"> SEQ Pav \* ARABIC </w:instrText>
      </w:r>
      <w:r>
        <w:rPr/>
        <w:fldChar w:fldCharType="separate"/>
      </w:r>
      <w:r>
        <w:rPr/>
        <w:t>8</w:t>
      </w:r>
      <w:r>
        <w:rPr/>
        <w:fldChar w:fldCharType="end"/>
      </w:r>
      <w:r>
        <w:rPr/>
        <w:t xml:space="preserve"> </w:t>
      </w:r>
      <w:r>
        <w:rPr/>
        <w:t>pav. Funkcinė schema.</w:t>
      </w:r>
    </w:p>
    <w:p>
      <w:pPr>
        <w:pStyle w:val="Normal"/>
        <w:rPr>
          <w:i/>
          <w:i/>
        </w:rPr>
      </w:pPr>
      <w:r>
        <w:rPr/>
        <w:fldChar w:fldCharType="begin"/>
      </w:r>
      <w:r>
        <w:rPr/>
        <w:instrText xml:space="preserve"> SEQ Lentelė \* ARABIC </w:instrText>
      </w:r>
      <w:r>
        <w:rPr/>
        <w:fldChar w:fldCharType="separate"/>
      </w:r>
      <w:r>
        <w:rPr/>
        <w:t>9</w:t>
      </w:r>
      <w:r>
        <w:rPr/>
        <w:fldChar w:fldCharType="end"/>
      </w:r>
      <w:r>
        <w:rPr>
          <w:i/>
        </w:rPr>
        <w:t xml:space="preserve"> </w:t>
      </w:r>
      <w:r>
        <w:rPr>
          <w:i/>
        </w:rPr>
        <w:t>lentelė. Funkcinės schemos komponentai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Komponentas</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39"/>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Autentifikacijos posistemis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Posistemis skirtas identifikuoti ir autentifikuoti sistemos naudotojus.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1"/>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Administravimo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2"/>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Naudotojų valdymo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valdyti naudotojus ir jų teises.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3"/>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Žinyno valdymo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tvarkyti žinyną.</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4"/>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Naudotojų veiksmų stebėsenos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saugoti ir kaupti naudotojų atliktus veiksmus.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5"/>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Duomenų rinkimo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6"/>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Paslaugų vykdymo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bazinių paslaugų ir VSB teikiamų paslaugų planavimo ir vykdymo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7"/>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Specialios tikslinės dotacijos planavimo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specialios tikslinės dotacijos planavimo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68"/>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Finansinių formų pildymo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įvesti ir kaupti VSB teikiamų paslaugų finansinius planavimo ir įvykdymo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69"/>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Duomenų mainų posistemis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Posistemis skirtas importuoti duomenis iš integracinės sąsajos.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70"/>
              </w:numPr>
              <w:spacing w:before="40" w:after="160"/>
              <w:contextualSpacing/>
              <w:rPr/>
            </w:pPr>
            <w:r>
              <w:rPr/>
            </w:r>
          </w:p>
        </w:tc>
        <w:tc>
          <w:tcPr>
            <w:tcW w:w="8141"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Ataskaitų ir analizės posistemis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71"/>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Analizės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analizuoti sukauptus sistemos duomenis.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1"/>
                <w:numId w:val="72"/>
              </w:numPr>
              <w:spacing w:before="40" w:after="160"/>
              <w:contextualSpacing/>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Ataskaitų modulis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Modulis skirtas generuoti ataskaitas pagal sistemoje sukauptus duomenis.</w:t>
            </w:r>
          </w:p>
        </w:tc>
      </w:tr>
    </w:tbl>
    <w:p>
      <w:pPr>
        <w:pStyle w:val="Heading2"/>
        <w:numPr>
          <w:ilvl w:val="1"/>
          <w:numId w:val="35"/>
        </w:numPr>
        <w:rPr>
          <w:b/>
        </w:rPr>
      </w:pPr>
      <w:bookmarkStart w:id="27" w:name="_Toc191546201"/>
      <w:r>
        <w:rPr>
          <w:b/>
        </w:rPr>
        <w:t>Vidiniai ir išoriniai duomenų srautai</w:t>
      </w:r>
      <w:bookmarkEnd w:id="27"/>
    </w:p>
    <w:p>
      <w:pPr>
        <w:pStyle w:val="Normal"/>
        <w:rPr>
          <w:i/>
          <w:i/>
        </w:rPr>
      </w:pPr>
      <w:r>
        <w:rPr>
          <w:i/>
        </w:rPr>
        <w:fldChar w:fldCharType="begin"/>
      </w:r>
      <w:r>
        <w:rPr>
          <w:i/>
        </w:rPr>
        <w:instrText xml:space="preserve"> SEQ Lentelė \* ARABIC </w:instrText>
      </w:r>
      <w:r>
        <w:rPr>
          <w:i/>
        </w:rPr>
        <w:fldChar w:fldCharType="separate"/>
      </w:r>
      <w:r>
        <w:rPr>
          <w:i/>
        </w:rPr>
        <w:t>10</w:t>
      </w:r>
      <w:r>
        <w:rPr>
          <w:i/>
        </w:rPr>
        <w:fldChar w:fldCharType="end"/>
      </w:r>
      <w:r>
        <w:rPr>
          <w:i/>
        </w:rPr>
        <w:t xml:space="preserve"> </w:t>
      </w:r>
      <w:r>
        <w:rPr>
          <w:i/>
        </w:rPr>
        <w:t>lentelė. Vidiniai ir išoriniai duomenų srautai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Duomenų srautas</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1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Išoriniai duomenų srautai</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1"/>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Gaunami duomenys iš VDVIS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ListParagraph"/>
              <w:numPr>
                <w:ilvl w:val="0"/>
                <w:numId w:val="43"/>
              </w:numPr>
              <w:spacing w:before="40" w:after="160"/>
              <w:ind w:hanging="360" w:left="324"/>
              <w:contextualSpacing/>
              <w:rPr/>
            </w:pPr>
            <w:r>
              <w:rPr>
                <w:bCs/>
              </w:rPr>
              <w:t>Gyventojų skaičiaus duomenys metų pradžiai pagal savivaldybę.</w:t>
            </w:r>
          </w:p>
          <w:p>
            <w:pPr>
              <w:pStyle w:val="ListParagraph"/>
              <w:numPr>
                <w:ilvl w:val="0"/>
                <w:numId w:val="43"/>
              </w:numPr>
              <w:ind w:hanging="360" w:left="324"/>
              <w:rPr/>
            </w:pPr>
            <w:r>
              <w:rPr/>
              <w:t>Patvirtinti mokinių skaičiaus duomenys pagal savivaldybę.</w:t>
            </w:r>
          </w:p>
          <w:p>
            <w:pPr>
              <w:pStyle w:val="ListParagraph"/>
              <w:numPr>
                <w:ilvl w:val="0"/>
                <w:numId w:val="43"/>
              </w:numPr>
              <w:spacing w:before="40" w:after="160"/>
              <w:ind w:hanging="360" w:left="324"/>
              <w:contextualSpacing/>
              <w:rPr/>
            </w:pPr>
            <w:r>
              <w:rPr/>
              <w:t>Patvirtinti mokymo įstaigų skaičiaus duomenys pagal savivaldybę.</w:t>
            </w:r>
          </w:p>
        </w:tc>
      </w:tr>
      <w:tr>
        <w:trPr/>
        <w:tc>
          <w:tcPr>
            <w:tcW w:w="9130"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bCs/>
              </w:rPr>
            </w:pPr>
            <w:r>
              <w:rPr>
                <w:bCs/>
              </w:rPr>
              <w:t>Vidiniai duomenų srautai</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1"/>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Duomenys iš Duomenų mainų posistemio perduodami į Specialios tikslinės dotacijos planavimo modulį</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Perduodami iš VDVIS gauti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1"/>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Duomenys iš Duomenų rinkimo posistemio perduodami į Ataskaitų ir analizės posistemį</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Perduodami duomenų analizei ir ataskaitai reikalingi duomenys.</w:t>
            </w:r>
          </w:p>
        </w:tc>
      </w:tr>
    </w:tbl>
    <w:p>
      <w:pPr>
        <w:pStyle w:val="Heading2"/>
        <w:numPr>
          <w:ilvl w:val="1"/>
          <w:numId w:val="35"/>
        </w:numPr>
        <w:rPr>
          <w:b/>
          <w:bCs/>
        </w:rPr>
      </w:pPr>
      <w:bookmarkStart w:id="28" w:name="_Toc191546202"/>
      <w:r>
        <w:rPr>
          <w:b/>
          <w:bCs/>
        </w:rPr>
        <w:t>Koncepcinis duomenų modelis</w:t>
      </w:r>
      <w:bookmarkEnd w:id="28"/>
    </w:p>
    <w:p>
      <w:pPr>
        <w:pStyle w:val="Normal"/>
        <w:rPr/>
      </w:pPr>
      <w:r>
        <w:rPr/>
        <mc:AlternateContent>
          <mc:Choice Requires="wps">
            <w:drawing>
              <wp:inline distT="0" distB="0" distL="0" distR="0" wp14:anchorId="59A78866">
                <wp:extent cx="5410200" cy="3067050"/>
                <wp:effectExtent l="0" t="0" r="0" b="0"/>
                <wp:docPr id="2" name="Picture 1"/>
                <a:graphic xmlns:a="http://schemas.openxmlformats.org/drawingml/2006/main">
                  <a:graphicData uri="http://schemas.openxmlformats.org/drawingml/2006/picture">
                    <pic:pic xmlns:pic="http://schemas.openxmlformats.org/drawingml/2006/picture">
                      <pic:nvPicPr>
                        <pic:cNvPr id="3" name="Picture 1" descr=""/>
                        <pic:cNvPicPr/>
                      </pic:nvPicPr>
                      <pic:blipFill>
                        <a:blip r:embed="rId23"/>
                        <a:stretch/>
                      </pic:blipFill>
                      <pic:spPr>
                        <a:xfrm>
                          <a:off x="0" y="0"/>
                          <a:ext cx="5410080" cy="3067200"/>
                        </a:xfrm>
                        <a:prstGeom prst="rect">
                          <a:avLst/>
                        </a:prstGeom>
                        <a:ln w="0">
                          <a:noFill/>
                        </a:ln>
                        <a:effectLst>
                          <a:softEdge rad="112320"/>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 stroked="f" o:allowincell="f" style="position:absolute;margin-left:0pt;margin-top:-241.55pt;width:425.95pt;height:241.45pt;mso-wrap-style:none;v-text-anchor:middle;mso-position-vertical:top" wp14:anchorId="59A78866" type="_x0000_t75">
                <v:imagedata r:id="rId24" o:detectmouseclick="t"/>
                <v:stroke color="#3465a4" joinstyle="round" endcap="flat"/>
                <w10:wrap type="square"/>
              </v:shape>
            </w:pict>
          </mc:Fallback>
        </mc:AlternateContent>
      </w:r>
    </w:p>
    <w:p>
      <w:pPr>
        <w:pStyle w:val="Normal"/>
        <w:rPr/>
      </w:pPr>
      <w:r>
        <w:rPr/>
        <w:fldChar w:fldCharType="begin"/>
      </w:r>
      <w:r>
        <w:rPr/>
        <w:instrText xml:space="preserve"> SEQ Pav \* ARABIC </w:instrText>
      </w:r>
      <w:r>
        <w:rPr/>
        <w:fldChar w:fldCharType="separate"/>
      </w:r>
      <w:r>
        <w:rPr/>
        <w:t>9</w:t>
      </w:r>
      <w:r>
        <w:rPr/>
        <w:fldChar w:fldCharType="end"/>
      </w:r>
      <w:r>
        <w:rPr/>
        <w:t xml:space="preserve"> </w:t>
      </w:r>
      <w:r>
        <w:rPr/>
        <w:t xml:space="preserve">pav. </w:t>
      </w:r>
      <w:bookmarkStart w:id="29" w:name="_Hlk178340892"/>
      <w:r>
        <w:rPr/>
        <w:t>Koncepcinis paslaugų vykdymo duomenų modelis</w:t>
      </w:r>
      <w:bookmarkEnd w:id="29"/>
      <w:r>
        <w:rPr/>
        <w:t>.</w:t>
      </w:r>
    </w:p>
    <w:p>
      <w:pPr>
        <w:pStyle w:val="Normal"/>
        <w:rPr>
          <w:i/>
          <w:i/>
        </w:rPr>
      </w:pPr>
      <w:r>
        <w:rPr/>
        <w:fldChar w:fldCharType="begin"/>
      </w:r>
      <w:r>
        <w:rPr/>
        <w:instrText xml:space="preserve"> SEQ Lentelė \* ARABIC </w:instrText>
      </w:r>
      <w:r>
        <w:rPr/>
        <w:fldChar w:fldCharType="separate"/>
      </w:r>
      <w:r>
        <w:rPr/>
        <w:t>11</w:t>
      </w:r>
      <w:r>
        <w:rPr/>
        <w:fldChar w:fldCharType="end"/>
      </w:r>
      <w:r>
        <w:rPr>
          <w:i/>
        </w:rPr>
        <w:t xml:space="preserve"> </w:t>
      </w:r>
      <w:r>
        <w:rPr>
          <w:i/>
        </w:rPr>
        <w:t>lentelė. Koncepcinio paslaugų vykdymo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Bazinė paslauga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SAM pateiktų bazinių ir kitų (papildomų) paslaugų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VSB paslauga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VSB paslaugų vykdymo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vertinimo kriterijus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paslaugos kriterijų planavimo ir įgyvendinimo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rFonts w:cs="Times New Roman"/>
                <w:szCs w:val="24"/>
              </w:rPr>
              <w:t>Stebėsenos rodiklį detalizuojanti informacija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detalūs stebėsenos rodiklį detalizuojančios informacijos duomenys, kurie naudojami automatiškai apskaičiuoti paslaugos vertinimo kriterijus.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Paslaugos gavėjų analitinis požymis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detalūs paslaugos gavėjų analitinių požymių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0"/>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Papildomos ataskaitos duomenys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paslaugos papildomos ataskaitos detalūs duomenys.</w:t>
            </w:r>
          </w:p>
        </w:tc>
      </w:tr>
    </w:tbl>
    <w:p>
      <w:pPr>
        <w:pStyle w:val="Normal"/>
        <w:rPr/>
      </w:pPr>
      <w:r>
        <w:rPr/>
        <w:object>
          <v:shapetype id="_x0000_tole_rId25" coordsize="21600,21600" o:spt="ole_rId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 type="_x0000_tole_rId25" style="width:454.8pt;height:124.8pt;mso-wrap-distance-right:0pt" filled="f" o:ole="">
            <v:imagedata r:id="rId26" o:title=""/>
          </v:shape>
          <o:OLEObject Type="Embed" ProgID="Visio.Drawing.15" ShapeID="ole_rId25" DrawAspect="Content" ObjectID="_1903393741" r:id="rId25"/>
        </w:object>
      </w:r>
    </w:p>
    <w:p>
      <w:pPr>
        <w:pStyle w:val="Normal"/>
        <w:rPr/>
      </w:pPr>
      <w:r>
        <w:rPr/>
        <w:fldChar w:fldCharType="begin"/>
      </w:r>
      <w:r>
        <w:rPr/>
        <w:instrText xml:space="preserve"> SEQ Pav \* ARABIC </w:instrText>
      </w:r>
      <w:r>
        <w:rPr/>
        <w:fldChar w:fldCharType="separate"/>
      </w:r>
      <w:r>
        <w:rPr/>
        <w:t>10</w:t>
      </w:r>
      <w:r>
        <w:rPr/>
        <w:fldChar w:fldCharType="end"/>
      </w:r>
      <w:r>
        <w:rPr/>
        <w:t xml:space="preserve"> </w:t>
      </w:r>
      <w:r>
        <w:rPr/>
        <w:t>pav. Koncepcinis dotacijų paskirstymo duomenų modelis.</w:t>
      </w:r>
    </w:p>
    <w:p>
      <w:pPr>
        <w:pStyle w:val="Normal"/>
        <w:rPr>
          <w:i/>
          <w:i/>
        </w:rPr>
      </w:pPr>
      <w:r>
        <w:rPr/>
        <w:fldChar w:fldCharType="begin"/>
      </w:r>
      <w:r>
        <w:rPr/>
        <w:instrText xml:space="preserve"> SEQ Lentelė \* ARABIC </w:instrText>
      </w:r>
      <w:r>
        <w:rPr/>
        <w:fldChar w:fldCharType="separate"/>
      </w:r>
      <w:r>
        <w:rPr/>
        <w:t>12</w:t>
      </w:r>
      <w:r>
        <w:rPr/>
        <w:fldChar w:fldCharType="end"/>
      </w:r>
      <w:r>
        <w:rPr>
          <w:i/>
        </w:rPr>
        <w:t xml:space="preserve"> </w:t>
      </w:r>
      <w:r>
        <w:rPr>
          <w:i/>
        </w:rPr>
        <w:t>lentelė. Koncepcinio dotacijų paskirstymo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4"/>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Paskirstymo bazė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Saugomos dotacijų paskirstymui naudojamos paskirstymo bazės.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4"/>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Paskirstymo norma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Saugomos dotacijų paskirstymui naudojamos paskirstymo normos.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4"/>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Dotacijų paskirstymas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VSB paslaugų vykdymo duomenys.</w:t>
            </w:r>
          </w:p>
        </w:tc>
      </w:tr>
    </w:tbl>
    <w:p>
      <w:pPr>
        <w:pStyle w:val="Normal"/>
        <w:rPr/>
      </w:pPr>
      <w:r>
        <w:rPr/>
        <w:object>
          <v:shapetype id="_x0000_tole_rId27" coordsize="21600,21600" o:spt="ole_rId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 type="_x0000_tole_rId27" style="width:454.8pt;height:277.8pt;mso-wrap-distance-right:0pt" filled="f" o:ole="">
            <v:imagedata r:id="rId28" o:title=""/>
          </v:shape>
          <o:OLEObject Type="Embed" ProgID="Visio.Drawing.15" ShapeID="ole_rId27" DrawAspect="Content" ObjectID="_890410189" r:id="rId27"/>
        </w:object>
      </w:r>
    </w:p>
    <w:p>
      <w:pPr>
        <w:pStyle w:val="Normal"/>
        <w:rPr/>
      </w:pPr>
      <w:r>
        <w:rPr/>
        <w:fldChar w:fldCharType="begin"/>
      </w:r>
      <w:r>
        <w:rPr/>
        <w:instrText xml:space="preserve"> SEQ Pav \* ARABIC </w:instrText>
      </w:r>
      <w:r>
        <w:rPr/>
        <w:fldChar w:fldCharType="separate"/>
      </w:r>
      <w:r>
        <w:rPr/>
        <w:t>11</w:t>
      </w:r>
      <w:r>
        <w:rPr/>
        <w:fldChar w:fldCharType="end"/>
      </w:r>
      <w:r>
        <w:rPr/>
        <w:t xml:space="preserve"> </w:t>
      </w:r>
      <w:r>
        <w:rPr/>
        <w:t>pav. Koncepcinis finansinių formų duomenų modelis.</w:t>
      </w:r>
    </w:p>
    <w:p>
      <w:pPr>
        <w:pStyle w:val="Normal"/>
        <w:rPr>
          <w:i/>
          <w:i/>
        </w:rPr>
      </w:pPr>
      <w:r>
        <w:rPr/>
        <w:fldChar w:fldCharType="begin"/>
      </w:r>
      <w:r>
        <w:rPr/>
        <w:instrText xml:space="preserve"> SEQ Lentelė \* ARABIC </w:instrText>
      </w:r>
      <w:r>
        <w:rPr/>
        <w:fldChar w:fldCharType="separate"/>
      </w:r>
      <w:r>
        <w:rPr/>
        <w:t>13</w:t>
      </w:r>
      <w:r>
        <w:rPr/>
        <w:fldChar w:fldCharType="end"/>
      </w:r>
      <w:r>
        <w:rPr>
          <w:i/>
        </w:rPr>
        <w:t xml:space="preserve"> </w:t>
      </w:r>
      <w:r>
        <w:rPr>
          <w:i/>
        </w:rPr>
        <w:t>lentelė. Koncepcinio finansinių formų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Sritis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sričių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Programos sąmata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programų sąmatų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Darbo užmokesčio sąmata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darbo užmokesčio sąmatų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Sąmatos vykdymo ataskaita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sąmatų vykdymo ataskaitų detalūs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2"/>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Darbo užmokesčio sąmatos vykdymo ataskaita</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darbo užmokesčio sąmatų vykdymo ataskaitų detalūs duomenys.</w:t>
            </w:r>
          </w:p>
        </w:tc>
      </w:tr>
    </w:tbl>
    <w:p>
      <w:pPr>
        <w:pStyle w:val="Normal"/>
        <w:rPr/>
      </w:pPr>
      <w:r>
        <w:rPr/>
        <w:object>
          <v:shapetype id="_x0000_tole_rId29" coordsize="21600,21600" o:spt="ole_rId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 type="_x0000_tole_rId29" style="width:438.6pt;height:42pt;mso-wrap-distance-right:0pt" filled="f" o:ole="">
            <v:imagedata r:id="rId30" o:title=""/>
          </v:shape>
          <o:OLEObject Type="Embed" ProgID="Visio.Drawing.15" ShapeID="ole_rId29" DrawAspect="Content" ObjectID="_780927745" r:id="rId29"/>
        </w:object>
      </w:r>
    </w:p>
    <w:p>
      <w:pPr>
        <w:pStyle w:val="Normal"/>
        <w:rPr/>
      </w:pPr>
      <w:r>
        <w:rPr/>
        <w:fldChar w:fldCharType="begin"/>
      </w:r>
      <w:r>
        <w:rPr/>
        <w:instrText xml:space="preserve"> SEQ Pav \* ARABIC </w:instrText>
      </w:r>
      <w:r>
        <w:rPr/>
        <w:fldChar w:fldCharType="separate"/>
      </w:r>
      <w:r>
        <w:rPr/>
        <w:t>12</w:t>
      </w:r>
      <w:r>
        <w:rPr/>
        <w:fldChar w:fldCharType="end"/>
      </w:r>
      <w:r>
        <w:rPr/>
        <w:t xml:space="preserve"> </w:t>
      </w:r>
      <w:r>
        <w:rPr/>
        <w:t>pav. Koncepcinis naudotojų duomenų modelis.</w:t>
      </w:r>
    </w:p>
    <w:p>
      <w:pPr>
        <w:pStyle w:val="Normal"/>
        <w:rPr>
          <w:i/>
          <w:i/>
        </w:rPr>
      </w:pPr>
      <w:r>
        <w:rPr/>
        <w:fldChar w:fldCharType="begin"/>
      </w:r>
      <w:r>
        <w:rPr/>
        <w:instrText xml:space="preserve"> SEQ Lentelė \* ARABIC </w:instrText>
      </w:r>
      <w:r>
        <w:rPr/>
        <w:fldChar w:fldCharType="separate"/>
      </w:r>
      <w:r>
        <w:rPr/>
        <w:t>14</w:t>
      </w:r>
      <w:r>
        <w:rPr/>
        <w:fldChar w:fldCharType="end"/>
      </w:r>
      <w:r>
        <w:rPr>
          <w:i/>
        </w:rPr>
        <w:t xml:space="preserve"> </w:t>
      </w:r>
      <w:r>
        <w:rPr>
          <w:i/>
        </w:rPr>
        <w:t>lentelė. Koncepcinio naudotojų duomenų modelio esybės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89"/>
        <w:gridCol w:w="2838"/>
        <w:gridCol w:w="5303"/>
      </w:tblGrid>
      <w:tr>
        <w:trPr>
          <w:tblHeader w:val="true"/>
        </w:trPr>
        <w:tc>
          <w:tcPr>
            <w:tcW w:w="989" w:type="dxa"/>
            <w:tcBorders>
              <w:top w:val="single" w:sz="4" w:space="0" w:color="000000"/>
              <w:left w:val="single" w:sz="4" w:space="0" w:color="000000"/>
              <w:bottom w:val="single" w:sz="4" w:space="0" w:color="000000"/>
              <w:right w:val="single" w:sz="4" w:space="0" w:color="000000"/>
            </w:tcBorders>
            <w:shd w:color="auto" w:fill="BFBFBF" w:val="clear"/>
          </w:tcPr>
          <w:p>
            <w:pPr>
              <w:pStyle w:val="Normal"/>
              <w:spacing w:before="40" w:after="160"/>
              <w:rPr>
                <w:b/>
              </w:rPr>
            </w:pPr>
            <w:r>
              <w:rPr>
                <w:b/>
              </w:rPr>
              <w:t>Nr.</w:t>
            </w:r>
          </w:p>
        </w:tc>
        <w:tc>
          <w:tcPr>
            <w:tcW w:w="283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Esybė</w:t>
            </w:r>
          </w:p>
        </w:tc>
        <w:tc>
          <w:tcPr>
            <w:tcW w:w="530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Aprašymas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9"/>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Naudotojas</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Saugomi IT sprendime tvarkomi naudotojų duomenys.</w:t>
            </w:r>
          </w:p>
        </w:tc>
      </w:tr>
      <w:tr>
        <w:trPr/>
        <w:tc>
          <w:tcPr>
            <w:tcW w:w="989"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9"/>
              </w:numPr>
              <w:spacing w:before="40" w:after="160"/>
              <w:rPr/>
            </w:pPr>
            <w:r>
              <w:rPr/>
            </w:r>
          </w:p>
        </w:tc>
        <w:tc>
          <w:tcPr>
            <w:tcW w:w="2838" w:type="dxa"/>
            <w:tcBorders>
              <w:top w:val="single" w:sz="4" w:space="0" w:color="000000"/>
              <w:left w:val="single" w:sz="4" w:space="0" w:color="000000"/>
              <w:bottom w:val="single" w:sz="4" w:space="0" w:color="000000"/>
              <w:right w:val="single" w:sz="4" w:space="0" w:color="000000"/>
            </w:tcBorders>
          </w:tcPr>
          <w:p>
            <w:pPr>
              <w:pStyle w:val="Normal"/>
              <w:spacing w:before="40" w:after="160"/>
              <w:rPr/>
            </w:pPr>
            <w:r>
              <w:rPr/>
              <w:t>Savivaldybė</w:t>
            </w:r>
          </w:p>
        </w:tc>
        <w:tc>
          <w:tcPr>
            <w:tcW w:w="5303"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rPr/>
            </w:pPr>
            <w:r>
              <w:rPr/>
              <w:t>Saugomas savivaldybių sąrašas.</w:t>
            </w:r>
          </w:p>
        </w:tc>
      </w:tr>
    </w:tbl>
    <w:p>
      <w:pPr>
        <w:pStyle w:val="Heading2"/>
        <w:numPr>
          <w:ilvl w:val="1"/>
          <w:numId w:val="35"/>
        </w:numPr>
        <w:rPr>
          <w:b/>
        </w:rPr>
      </w:pPr>
      <w:bookmarkStart w:id="30" w:name="_Toc191546203"/>
      <w:r>
        <w:rPr>
          <w:b/>
        </w:rPr>
        <w:t>Duomenų teikimas ir naudojimas</w:t>
      </w:r>
      <w:bookmarkEnd w:id="30"/>
    </w:p>
    <w:p>
      <w:pPr>
        <w:pStyle w:val="ListParagraph"/>
        <w:numPr>
          <w:ilvl w:val="0"/>
          <w:numId w:val="58"/>
        </w:numPr>
        <w:jc w:val="both"/>
        <w:rPr/>
      </w:pPr>
      <w:r>
        <w:rPr/>
        <w:t xml:space="preserve">IT sprendimo apibendrinti duomenys yra vieši ir teikiami duomenų gavėjams, jeigu Lietuvos Respublikos įstatymai, tiesiogiai taikomi Europos Sąjungos teisės aktai ar Lietuvos Respublikos tarptautinės sutartys nenustato kitaip. IT sprendime tvarkomi asmens duomenys duomenų gavėjams teikiami, vadovaujantis Reglamentu (ES) 2016/679, Valstybės informacinių išteklių valdymo įstatymu ir kitais teisės aktais, reglamentuojančiais asmens duomenų teikimą. </w:t>
      </w:r>
    </w:p>
    <w:p>
      <w:pPr>
        <w:pStyle w:val="ListParagraph"/>
        <w:numPr>
          <w:ilvl w:val="0"/>
          <w:numId w:val="58"/>
        </w:numPr>
        <w:jc w:val="both"/>
        <w:rPr/>
      </w:pPr>
      <w:r>
        <w:rPr/>
        <w:t xml:space="preserve"> </w:t>
      </w:r>
      <w:r>
        <w:rPr/>
        <w:t>IT sprendimo duomenys Europos Sąjungos valstybių narių ar Europos ekonominės erdvės valstybių duomenų gavėjams teikiami ta pačia tvarka ir sąlygomis, kaip ir Lietuvos Respublikos duomenų gavėjams.</w:t>
      </w:r>
    </w:p>
    <w:p>
      <w:pPr>
        <w:pStyle w:val="ListParagraph"/>
        <w:numPr>
          <w:ilvl w:val="0"/>
          <w:numId w:val="58"/>
        </w:numPr>
        <w:jc w:val="both"/>
        <w:rPr/>
      </w:pPr>
      <w:r>
        <w:rPr/>
        <w:t xml:space="preserve"> </w:t>
      </w:r>
      <w:r>
        <w:rPr/>
        <w:t>IT sprendimo duomenys trečiųjų šalių, kurios nėra Europos Sąjungos valstybės narės ar Europos ekonominės erdvės valstybės, duomenų gavėjams teikiami tokia pačia tvarka ir sąlygomis kaip ir Lietuvos Respublikos duomenų gavėjams, jeigu šio ir kitų Lietuvos Respublikos įstatymų, tiesiogiai taikomų Europos Sąjungos teisės aktų ir jų įgyvendinamųjų teisės aktų ar kitų tarptautinės</w:t>
      </w:r>
      <w:r>
        <w:rPr>
          <w:i/>
          <w:iCs/>
        </w:rPr>
        <w:t xml:space="preserve"> </w:t>
      </w:r>
      <w:r>
        <w:rPr/>
        <w:t xml:space="preserve">teisės aktų reikalavimai nenustato kitos tvarkos ar sąlygų, – tokiu atveju taikoma juose nustatyta tvarka ir sąlygos. </w:t>
      </w:r>
    </w:p>
    <w:p>
      <w:pPr>
        <w:pStyle w:val="ListParagraph"/>
        <w:numPr>
          <w:ilvl w:val="0"/>
          <w:numId w:val="58"/>
        </w:numPr>
        <w:jc w:val="both"/>
        <w:rPr/>
      </w:pPr>
      <w:r>
        <w:rPr/>
        <w:t>IT sprendimo duomenys gali būti:</w:t>
      </w:r>
    </w:p>
    <w:p>
      <w:pPr>
        <w:pStyle w:val="ListParagraph"/>
        <w:numPr>
          <w:ilvl w:val="1"/>
          <w:numId w:val="58"/>
        </w:numPr>
        <w:jc w:val="both"/>
        <w:rPr/>
      </w:pPr>
      <w:r>
        <w:rPr/>
        <w:t>pateikiami peržiūrėti leidžiamosios kreipties būdu internetu ar kitais elektroninių ryšių tinklais;</w:t>
      </w:r>
    </w:p>
    <w:p>
      <w:pPr>
        <w:pStyle w:val="ListParagraph"/>
        <w:numPr>
          <w:ilvl w:val="1"/>
          <w:numId w:val="58"/>
        </w:numPr>
        <w:jc w:val="both"/>
        <w:rPr/>
      </w:pPr>
      <w:r>
        <w:rPr/>
        <w:t>perduodami automatiniu būdu elektroninių ryšių tinklais;</w:t>
      </w:r>
    </w:p>
    <w:p>
      <w:pPr>
        <w:pStyle w:val="ListParagraph"/>
        <w:numPr>
          <w:ilvl w:val="1"/>
          <w:numId w:val="58"/>
        </w:numPr>
        <w:jc w:val="both"/>
        <w:rPr/>
      </w:pPr>
      <w:r>
        <w:rPr/>
        <w:t>teikiami raštu, žodžiu ir (arba) elektroninių ryšių priemonėmis;</w:t>
      </w:r>
    </w:p>
    <w:p>
      <w:pPr>
        <w:pStyle w:val="ListParagraph"/>
        <w:numPr>
          <w:ilvl w:val="1"/>
          <w:numId w:val="58"/>
        </w:numPr>
        <w:jc w:val="both"/>
        <w:rPr/>
      </w:pPr>
      <w:r>
        <w:rPr/>
        <w:t>pateikiami kitais Lietuvos Respublikos įstatymuose ir Europos Sąjungos teisės aktuose nustatytais būdais.</w:t>
      </w:r>
    </w:p>
    <w:p>
      <w:pPr>
        <w:pStyle w:val="ListParagraph"/>
        <w:numPr>
          <w:ilvl w:val="0"/>
          <w:numId w:val="58"/>
        </w:numPr>
        <w:jc w:val="both"/>
        <w:rPr/>
      </w:pPr>
      <w:r>
        <w:rPr/>
        <w:t xml:space="preserve"> </w:t>
      </w:r>
      <w:r>
        <w:rPr/>
        <w:t>IT sprendimo duomenys teikiami pagal duomenų teikimo sutartis (daugkartinio teikimo atvejais) arba pagal duomenų gavėjo prašymą (vienkartinio teikimo atvejais). Kai informacija teikiama pagal duomenų gavėjo prašymą, prašyme turi būti nurodytas prašomos informacijos teikimo ir gavimo teisinis pagrindas, jos naudojimo tikslas, teikimo būdas, apimtis, gavimo būdai, teikiamų duomenų formatas. Kai informacija duomenų gavėjui teikiama pagal duomenų teikimo sutartį, sutartyje turi būti nustatyta teikiamos informacijos apimtis, prašomos informacijos teikimo ir gavimo teisinis pagrindas, naudojimo tikslas, informacijos teikimo būdas, teikiamų duomenų formatas, teikimo terminai, informavimo apie klaidų ištaisymą tvarka ir terminai, sutarties keitimo tvarka.</w:t>
      </w:r>
    </w:p>
    <w:p>
      <w:pPr>
        <w:pStyle w:val="ListParagraph"/>
        <w:numPr>
          <w:ilvl w:val="0"/>
          <w:numId w:val="58"/>
        </w:numPr>
        <w:jc w:val="both"/>
        <w:rPr/>
      </w:pPr>
      <w:r>
        <w:rPr/>
        <w:t>Duomenys duomenų gavėjams teikiami tokio turinio ir tokios formos, kurie IT sprendimo duomenų valdytojo ir duomenų tvarkytojo naudojami ir nereikalauja papildomo duomenų apdorojimo. Jeigu  IT sprendimo tvarkomų duomenų formatas, turinys ar apimtis neatitinka duomenų gavėjo poreikių dėl duomenų formato, turinio ar apimties arba duomenų gavėjas neturi techninių galimybių tinkamai apdoroti gaunamų duomenų,  IT sprendimo duomenų valdytojas ir duomenų tvarkytojas gali sukurti programinę įrangą, reikalingą prašomam duomenų formatui, turiniui ar apimčiai parengti ir (ar) apdoroti. Duomenų gavėjas atlygina patirtas sąnaudas programinei įrangai sukurti ir palaikyti, nepaisant to, ar jis turi teisę gauti  IT sprendimo tvarkomus duomenis neatlygintinai Valstybės informacinių išteklių valdymo įstatymo 31 straipsnio 4 dalies 3 punkte nurodytu atveju.</w:t>
      </w:r>
    </w:p>
    <w:p>
      <w:pPr>
        <w:pStyle w:val="ListParagraph"/>
        <w:numPr>
          <w:ilvl w:val="0"/>
          <w:numId w:val="58"/>
        </w:numPr>
        <w:jc w:val="both"/>
        <w:rPr/>
      </w:pPr>
      <w:r>
        <w:rPr/>
        <w:t>Duomenų gavėjams pateikti  IT sprendimo duomenys gali būti naudojami tik teisėtiems ir apibrėžtiems tikslams, kuriems šie duomenys buvo suteikti, ir tik duomenų teikimo sutartyje ar prašyme nurodytu tikslu, teikimo sąlygomis ir tvarka arba kitų teisės aktų nustatyta tvarka, jei teisės aktai numato kitaip. Iš I IT sprendimo gauti duomenys negali būti iškraipomi ar kitaip keičiami ir juos naudodamas privalo nurodyti jų šaltinį.</w:t>
      </w:r>
    </w:p>
    <w:p>
      <w:pPr>
        <w:pStyle w:val="ListParagraph"/>
        <w:numPr>
          <w:ilvl w:val="0"/>
          <w:numId w:val="58"/>
        </w:numPr>
        <w:jc w:val="both"/>
        <w:rPr/>
      </w:pPr>
      <w:r>
        <w:rPr/>
        <w:t xml:space="preserve"> </w:t>
      </w:r>
      <w:r>
        <w:rPr/>
        <w:t xml:space="preserve">IT sprendimo sudaryti duomenų rinkiniai teikiami pakartotinai naudoti ir publikuojami vadovaujantis Teisės gauti informaciją ir duomenų pakartotinio naudojimo įstatymo nuostatomis. </w:t>
      </w:r>
    </w:p>
    <w:p>
      <w:pPr>
        <w:pStyle w:val="ListParagraph"/>
        <w:numPr>
          <w:ilvl w:val="0"/>
          <w:numId w:val="58"/>
        </w:numPr>
        <w:jc w:val="both"/>
        <w:rPr/>
      </w:pPr>
      <w:r>
        <w:rPr/>
        <w:t>Kai atsisakoma teikti  IT sprendimo duomenis, asmeniui, pateikusiam prašymą juos gauti, raštu</w:t>
      </w:r>
      <w:r>
        <w:rPr>
          <w:b/>
          <w:bCs/>
        </w:rPr>
        <w:t> </w:t>
      </w:r>
      <w:r>
        <w:rPr/>
        <w:t xml:space="preserve">arba elektroninių ryšių priemonėmis pranešama apie priimtą motyvuotą sprendimą atsisakyti tenkinti jo prašymą ir suteikiama informacija apie tokio sprendimo apskundimo tvarką. </w:t>
      </w:r>
    </w:p>
    <w:p>
      <w:pPr>
        <w:pStyle w:val="ListParagraph"/>
        <w:numPr>
          <w:ilvl w:val="0"/>
          <w:numId w:val="58"/>
        </w:numPr>
        <w:jc w:val="both"/>
        <w:rPr/>
      </w:pPr>
      <w:r>
        <w:rPr/>
        <w:t xml:space="preserve">Duomenų subjektai, jų įstatyminiai atstovai, duomenų gavėjai, registro ar kitos valstybės informacinės sistemos duomenų tvarkytojai, kiti asmenys turi teisę reikalauti ištaisyti neteisingus, netikslius, neišsamius  IT sprendimo duomenis (toliau – netikslūs duomenys). Rašytinį prašymą ištaisyti netikslius duomenis galima pateikti asmeniškai, paštu ar elektroninių ryšių priemonėmis. </w:t>
      </w:r>
    </w:p>
    <w:p>
      <w:pPr>
        <w:pStyle w:val="ListParagraph"/>
        <w:numPr>
          <w:ilvl w:val="0"/>
          <w:numId w:val="58"/>
        </w:numPr>
        <w:jc w:val="both"/>
        <w:rPr/>
      </w:pPr>
      <w:r>
        <w:rPr/>
        <w:t xml:space="preserve"> </w:t>
      </w:r>
      <w:r>
        <w:rPr/>
        <w:t>IT sprendimo duomenų valdytojas, gavęs duomenų subjektų, jų įstatyminių atstovų, duomenų gavėjų, registro ar kitos valstybės informacinės sistemos tvarkytojų, kitų asmenų rašytinį prašymą ištaisyti netikslius duomenis, nedelsdamas (ne ilgiau kaip per 5 darbo dienas) patikrina IT sprendimo duomenų tikslumą ir prireikus ištaiso netikslius duomenis. Pranešimas apie netikslių duomenų ištaisymą arba apie motyvuotą atsisakymą tai padaryti nedelsiant (ne vėliau kaip per vieną darbo dieną) siunčiamas asmeniui, pateikusiam rašytinį prašymą ištaisyti netikslius duomenis, paštu ir (ar) elektroninių ryšių priemonėmis. Ištaisęs netikslius duomenis,  IT sprendimo duomenų valdytojas ir duomenų tvarkytojas per vieną darbo dieną nuo jų ištaisymo apie tai praneša  IT sprendimo duomenų gavėjams, kuriems perduoti netikslūs duomenys.  IT sprendimo duomenų valdytojas ir duomenų tvarkytojas, nustatęs, kad yra  IT sprendimo duomenų netikslumų, turi nedelsdamas (ne vėliau kaip per vieną darbo dieną) elektroninių ryšių tinklais perduoti šią informaciją susijusiam duomenų teikėjui.</w:t>
      </w:r>
    </w:p>
    <w:p>
      <w:pPr>
        <w:pStyle w:val="Heading2"/>
        <w:numPr>
          <w:ilvl w:val="1"/>
          <w:numId w:val="35"/>
        </w:numPr>
        <w:rPr>
          <w:b/>
        </w:rPr>
      </w:pPr>
      <w:bookmarkStart w:id="31" w:name="_Toc191546204"/>
      <w:r>
        <w:rPr>
          <w:b/>
        </w:rPr>
        <w:t>Funkciniai reikalavimai</w:t>
      </w:r>
      <w:bookmarkEnd w:id="31"/>
    </w:p>
    <w:p>
      <w:pPr>
        <w:pStyle w:val="Heading3"/>
        <w:numPr>
          <w:ilvl w:val="2"/>
          <w:numId w:val="35"/>
        </w:numPr>
        <w:rPr/>
      </w:pPr>
      <w:bookmarkStart w:id="32" w:name="_Toc191546205"/>
      <w:r>
        <w:rPr/>
        <w:t>Bendrieji reikalavimai</w:t>
      </w:r>
      <w:bookmarkEnd w:id="3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98"/>
        <w:gridCol w:w="7431"/>
      </w:tblGrid>
      <w:tr>
        <w:trPr>
          <w:tblHeader w:val="true"/>
        </w:trPr>
        <w:tc>
          <w:tcPr>
            <w:tcW w:w="1698"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3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užtikrinta galimybė IT sprendimą naudoti keliuose naršyklės languose.</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filtruoti visus IT sprendime pateikiamus sąrašus pagal sąraše matomus laukus ir / ar kitus su Perkančiąja organizacija suderintus duomenis. Įgyvendinti su Perkančiąja organizacija suderintas numatytąsias filtravimo laukų reikšmes (pvz.: metų lauko reikšmę automatiškai nustatyti į einamuosius metus).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visus IT sprendime pateikiamus sąrašus su visais matomais laukais eksportuoti į .xlsx, .docx formato rinkmenas. Jei sąrašas atfiltruotas, tai IT sprendimas turi eksportuoti tik atrinktus duomenis.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patikrinti pildomų laukų reikšmių teisingumą pagal su Perkančiąja organizacija suderintas sąlygas.</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suformatuoti aprašomųjų tekstinių laukų turinį, pvz.: paryškinti, pabraukti tekstą, padaryti tekstą pasvirusiu, lygiuoti tekstą, keisti teksto šriftą, dydį, spalvą, įterpti automatinį numeravimą ar sąrašus (su ženkleliais ar numeriais), keisti įtrauką ir pan. Taip pat turi būti galimybė atlikti kitas įprastines tekstinių redaktorių funkcijas (pvz.: kopijuoti, įklijuoti ir kt.). Ši funkcija turi būti lengvai pasiekiama naudotojui ir intuityvi, panaši į standartinių teksto redaktorių funkcionalumą, siekiant užtikrinti sklandų darbą su tekstiniu turiniu. Formatuojamo turinio tekstinių laukų sąrašas turi būti suderintas su Perkančiąja organizacija.</w:t>
            </w:r>
          </w:p>
        </w:tc>
      </w:tr>
      <w:tr>
        <w:trPr/>
        <w:tc>
          <w:tcPr>
            <w:tcW w:w="1698"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3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suteikti galimybę jo naudotojams pamatyti visos jame publikuojamos informacijos struktūrą (svetainės žemėlapis).</w:t>
            </w:r>
          </w:p>
        </w:tc>
      </w:tr>
    </w:tbl>
    <w:p>
      <w:pPr>
        <w:pStyle w:val="Heading3"/>
        <w:numPr>
          <w:ilvl w:val="2"/>
          <w:numId w:val="35"/>
        </w:numPr>
        <w:rPr/>
      </w:pPr>
      <w:bookmarkStart w:id="33" w:name="_Toc191546206"/>
      <w:r>
        <w:rPr/>
        <w:t>Reikalavimai paslaugų vykdymo funkcionalumui</w:t>
      </w:r>
      <w:bookmarkEnd w:id="33"/>
    </w:p>
    <w:p>
      <w:pPr>
        <w:pStyle w:val="Heading3"/>
        <w:numPr>
          <w:ilvl w:val="3"/>
          <w:numId w:val="35"/>
        </w:numPr>
        <w:rPr/>
      </w:pPr>
      <w:bookmarkStart w:id="34" w:name="_Toc191546207"/>
      <w:r>
        <w:rPr/>
        <w:t>Reikalavimai bazinių paslaugų registravimui ir vykdymui</w:t>
      </w:r>
      <w:bookmarkEnd w:id="34"/>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bazinei paslaugai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Bazinės 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5" w:name="_Hlk178063365"/>
            <w:r>
              <w:rPr>
                <w:rFonts w:cs="Times New Roman"/>
                <w:szCs w:val="24"/>
              </w:rPr>
              <w:t>Sritis.</w:t>
            </w:r>
            <w:bookmarkEnd w:id="35"/>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Visuomenės sveikatos paslaugų grupė.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Tikslinė grupė.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Bazinės paslaugos rūšis, t. y. požymis, ar kuriama bazinė, ar papildoma paslauga.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6" w:name="_Hlk177447883"/>
            <w:r>
              <w:rPr>
                <w:rFonts w:cs="Times New Roman"/>
                <w:szCs w:val="24"/>
              </w:rPr>
              <w:t xml:space="preserve">Paslaugoje naudojamų vertinimo kriterijų </w:t>
            </w:r>
            <w:bookmarkStart w:id="37" w:name="_Hlk178087795"/>
            <w:r>
              <w:rPr>
                <w:rFonts w:cs="Times New Roman"/>
                <w:szCs w:val="24"/>
              </w:rPr>
              <w:t>sąrašas</w:t>
            </w:r>
            <w:bookmarkEnd w:id="37"/>
            <w:r>
              <w:rPr>
                <w:rFonts w:cs="Times New Roman"/>
                <w:szCs w:val="24"/>
              </w:rPr>
              <w:t>. Bazinė paslauga privalo turėti vieną arba daugiau vertinimo kriterijų</w:t>
            </w:r>
            <w:bookmarkEnd w:id="36"/>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Paslaugoje naudojamų gavėjų analitinių požymių sąrašas. Bazinė paslauga gali neturėti arba turėti vieną ar daugiau analitinių požymių.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Paslaugoje naudojamas papildomos ataskaitos duomenų rinkinys. Bazinė paslauga gali neturėti arba turėti vieną papildomos ataskaitos duomenų rinkinį.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sprendimo bazinei paslaugai turi automatiškai priskirti bazinės paslaugos kodą. Neturi būti galimybės keisti bazinės paslaugos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nepatvirtintų ir nearchyvuotų bazinių paslaugų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patvirtinti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atšaukti bazinių paslaugų patvirtinimą.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archyvuoti bazines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38" w:name="_Hlk177989901"/>
            <w:r>
              <w:rPr>
                <w:rFonts w:cs="Times New Roman"/>
                <w:szCs w:val="24"/>
              </w:rPr>
              <w:t>Turi būti galimybė pašalinti bazines paslaugas, kurios neturi susijusių paslaugų.</w:t>
            </w:r>
            <w:bookmarkEnd w:id="38"/>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bazinę paslaugą pagal kitos bazinės paslaugos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bazinių paslaugų sąrašą su paslaugos kodo, būsenos, paslaugos pavadinimo, visuomenės sveikatos paslaugų grupės ir kitais su Perkančiąja organizacija suderintais duomenimis.</w:t>
            </w:r>
          </w:p>
        </w:tc>
      </w:tr>
    </w:tbl>
    <w:p>
      <w:pPr>
        <w:pStyle w:val="Heading3"/>
        <w:numPr>
          <w:ilvl w:val="3"/>
          <w:numId w:val="35"/>
        </w:numPr>
        <w:rPr/>
      </w:pPr>
      <w:bookmarkStart w:id="39" w:name="_Toc191546208"/>
      <w:r>
        <w:rPr/>
        <w:t>Reikalavimai visuomenės sveikatos biurų teikiamų paslaugų registravimui ir vykdymui</w:t>
      </w:r>
      <w:bookmarkEnd w:id="3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visuomenės sveikatos biurų teikiamas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bookmarkStart w:id="40" w:name="_Ref178138362"/>
            <w:bookmarkStart w:id="41" w:name="_Ref178138362"/>
            <w:bookmarkEnd w:id="41"/>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paslaugai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Bazinė paslauga. Turi būti galima nurodyti tik patvirtintą bazinę paslaugą.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 IT sprendimas neturi leisti nurodyti savivaldybės, kuri neatitinka paslaugą kuriančio naudotojo savivaldybės.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Planavimo komentarai.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Vykdymo komentarai.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detalūs duomenys.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ir sukurtos paslaugos peržiūroje IT sprendimas turi automatiškai atvaizduoti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IT sprendimas turi automatiškai užpildyti šių duomenų reikšmes: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pavadinimo pradinę reikšmę pagal nurodytos bazinės paslaugos pavadinimą ir paslaugą kuriančio naudotojo savivaldybę. Turi būti galimybė pakeisti šią reikšmę.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Kuriant paslaugą, IT sprendimas pagal nurodytą bazinę paslaugą turi automatiškai priskirti žemiau pateiktus duomenų sąrašus / rinkinius. Neturi būti galimybės šių duomenų sąrašų / rinkinių pašalinti, pridėti ar pakeisti. Duomenų sąrašų / rinkinių detalūs duomenys turi būti neužpildyti.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sąrašas.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sąrašas.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Papildomos ataskaitos duomenų rinkinys.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priskirti paslaugos kodą sukurtai paslaugai. Neturi būti galimybės keisti paslaugos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galimybė keisti paslaugų</w:t>
            </w:r>
            <w:bookmarkStart w:id="42" w:name="_Hlk178081196"/>
            <w:r>
              <w:rPr>
                <w:rFonts w:cs="Times New Roman"/>
              </w:rPr>
              <w:t>, kurių vertinimo kriterijai nepateikti tvirtinimui, arba kurios turi bent vieną atmestą vertinimo kriterijų</w:t>
            </w:r>
            <w:bookmarkEnd w:id="42"/>
            <w:r>
              <w:rPr>
                <w:rFonts w:cs="Times New Roman"/>
              </w:rPr>
              <w:t xml:space="preserve">, </w:t>
            </w:r>
            <w:r>
              <w:rPr>
                <w:rFonts w:cs="Times New Roman"/>
              </w:rPr>
              <w:fldChar w:fldCharType="begin"/>
            </w:r>
            <w:r>
              <w:rPr>
                <w:rFonts w:cs="Times New Roman"/>
              </w:rPr>
              <w:instrText xml:space="preserve"> REF _Ref178138362 \r \h </w:instrText>
            </w:r>
            <w:r>
              <w:rPr>
                <w:rFonts w:cs="Times New Roman"/>
              </w:rPr>
              <w:fldChar w:fldCharType="separate"/>
            </w:r>
            <w:r>
              <w:rPr>
                <w:rFonts w:cs="Times New Roman"/>
              </w:rPr>
              <w:t>FR-18</w:t>
            </w:r>
            <w:r>
              <w:rPr>
                <w:rFonts w:cs="Times New Roman"/>
              </w:rPr>
              <w:fldChar w:fldCharType="end"/>
            </w:r>
            <w:r>
              <w:rPr>
                <w:rFonts w:cs="Times New Roman"/>
              </w:rPr>
              <w:t xml:space="preserve"> nurodytus duomenis, išskyrus nurodytą bazinę paslaugą.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pažymėti paslaugas suteiktomis.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atšaukti paslaugų pažymėjimą suteiktomis.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archyvuoti paslaugas.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paslaugas, kurių vertinimo kriterijai nepateikti tvirtinimui, arba kurios turi bent vieną atmestą vertinimo kriterijų.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paslaugą pagal kitos paslaugos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3" w:name="_Hlk177643354"/>
            <w:r>
              <w:rPr>
                <w:rFonts w:cs="Times New Roman"/>
                <w:szCs w:val="24"/>
              </w:rPr>
              <w:t>Turi būti galimybė peržiūrėti visuomenės sveikatos biurų teikiamų paslaugų sąrašą su paslaugos kodo, būsenos, pradžios datos, metų, paslaugos pavadinimo, visuomenės sveikatos paslaugų grupės, savivaldybės ir kitais su Perkančiąja organizacija suderintais duomenimis</w:t>
            </w:r>
            <w:bookmarkEnd w:id="43"/>
            <w:r>
              <w:rPr>
                <w:rFonts w:cs="Times New Roman"/>
                <w:szCs w:val="24"/>
              </w:rPr>
              <w:t>.</w:t>
            </w:r>
          </w:p>
        </w:tc>
      </w:tr>
    </w:tbl>
    <w:p>
      <w:pPr>
        <w:pStyle w:val="Heading3"/>
        <w:numPr>
          <w:ilvl w:val="3"/>
          <w:numId w:val="35"/>
        </w:numPr>
        <w:rPr/>
      </w:pPr>
      <w:bookmarkStart w:id="44" w:name="_Toc191546209"/>
      <w:r>
        <w:rPr/>
        <w:t>Reikalavimai paslaugų vertinimo kriterijų pildymui ir valdymui</w:t>
      </w:r>
      <w:bookmarkEnd w:id="44"/>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pildyti paslaugų vertinimo kriterijų detalius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5" w:name="_Hlk177967772"/>
            <w:r>
              <w:rPr>
                <w:rFonts w:cs="Times New Roman"/>
                <w:szCs w:val="24"/>
              </w:rPr>
              <w:t>Vertinimo kriterijus turi būti galima pildyti vertinimo kriterijų sąraše arba paslaugos peržiūroje.</w:t>
            </w:r>
            <w:bookmarkEnd w:id="45"/>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6" w:name="_Hlk177968232"/>
            <w:r>
              <w:rPr>
                <w:rFonts w:cs="Times New Roman"/>
                <w:szCs w:val="24"/>
              </w:rPr>
              <w:t>Paslaugos vertinimo kriterijui turi būti galima nurodyti šiuos detalius duomenis:</w:t>
            </w:r>
            <w:bookmarkEnd w:id="46"/>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Suplanuota pirmą pusmetį. Turi būti galima pildyti tik tuo atveju, jei kriterijus nepateiktas tvirtinimui arba yra atmestas.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 pirmą pusmetį. Turi būti galima pildyti tik tuo atveju</w:t>
            </w:r>
            <w:bookmarkStart w:id="47" w:name="_Hlk177881295"/>
            <w:r>
              <w:rPr>
                <w:rFonts w:cs="Times New Roman"/>
                <w:szCs w:val="24"/>
              </w:rPr>
              <w:t>, jei:</w:t>
            </w:r>
          </w:p>
          <w:p>
            <w:pPr>
              <w:pStyle w:val="ListParagraph"/>
              <w:numPr>
                <w:ilvl w:val="0"/>
                <w:numId w:val="16"/>
              </w:numPr>
              <w:jc w:val="both"/>
              <w:rPr>
                <w:rFonts w:cs="Times New Roman"/>
                <w:szCs w:val="24"/>
              </w:rPr>
            </w:pPr>
            <w:r>
              <w:rPr>
                <w:rFonts w:cs="Times New Roman"/>
                <w:szCs w:val="24"/>
              </w:rPr>
              <w:t>Paslaugos vertinimo kriterijui žinyne nurodyta, kad jis apskaičiuojamas rankiniu būdu.</w:t>
            </w:r>
          </w:p>
          <w:p>
            <w:pPr>
              <w:pStyle w:val="ListParagraph"/>
              <w:numPr>
                <w:ilvl w:val="0"/>
                <w:numId w:val="16"/>
              </w:numPr>
              <w:jc w:val="both"/>
              <w:rPr>
                <w:rFonts w:cs="Times New Roman"/>
                <w:szCs w:val="24"/>
              </w:rPr>
            </w:pPr>
            <w:r>
              <w:rPr>
                <w:rFonts w:cs="Times New Roman"/>
                <w:szCs w:val="24"/>
              </w:rPr>
              <w:t>Visi paslaugos vertinimo kriterijai yra patvirtinti.</w:t>
            </w:r>
            <w:bookmarkEnd w:id="47"/>
          </w:p>
          <w:p>
            <w:pPr>
              <w:pStyle w:val="ListParagraph"/>
              <w:numPr>
                <w:ilvl w:val="0"/>
                <w:numId w:val="16"/>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48" w:name="_Hlk177650021"/>
            <w:r>
              <w:rPr>
                <w:rFonts w:cs="Times New Roman"/>
                <w:szCs w:val="24"/>
              </w:rPr>
              <w:t>Suplanuota viso</w:t>
            </w:r>
            <w:bookmarkEnd w:id="48"/>
            <w:r>
              <w:rPr>
                <w:rFonts w:cs="Times New Roman"/>
                <w:szCs w:val="24"/>
              </w:rPr>
              <w:t>. Turi būti galima pildyti tik tuo atveju, jei kriterijus nepateiktas tvirtinimui arba yra atmestas.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 viso. Turi būti galima pildyti tik tuo atveju, jei:</w:t>
            </w:r>
          </w:p>
          <w:p>
            <w:pPr>
              <w:pStyle w:val="ListParagraph"/>
              <w:numPr>
                <w:ilvl w:val="0"/>
                <w:numId w:val="17"/>
              </w:numPr>
              <w:jc w:val="both"/>
              <w:rPr>
                <w:rFonts w:cs="Times New Roman"/>
                <w:szCs w:val="24"/>
              </w:rPr>
            </w:pPr>
            <w:r>
              <w:rPr>
                <w:rFonts w:cs="Times New Roman"/>
                <w:szCs w:val="24"/>
              </w:rPr>
              <w:t>Paslaugos vertinimo kriterijui žinyne nurodyta, kad jis apskaičiuojamas rankiniu būdu.</w:t>
            </w:r>
          </w:p>
          <w:p>
            <w:pPr>
              <w:pStyle w:val="ListParagraph"/>
              <w:numPr>
                <w:ilvl w:val="0"/>
                <w:numId w:val="17"/>
              </w:numPr>
              <w:jc w:val="both"/>
              <w:rPr>
                <w:rFonts w:cs="Times New Roman"/>
                <w:szCs w:val="24"/>
              </w:rPr>
            </w:pPr>
            <w:r>
              <w:rPr>
                <w:rFonts w:cs="Times New Roman"/>
                <w:szCs w:val="24"/>
              </w:rPr>
              <w:t>Visi paslaugos vertinimo kriterijai yra patvirtinti.</w:t>
            </w:r>
          </w:p>
          <w:p>
            <w:pPr>
              <w:pStyle w:val="ListParagraph"/>
              <w:numPr>
                <w:ilvl w:val="0"/>
                <w:numId w:val="17"/>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Pastabos. Turi būti galima pildyti tik tuo atveju, jei:</w:t>
            </w:r>
          </w:p>
          <w:p>
            <w:pPr>
              <w:pStyle w:val="ListParagraph"/>
              <w:numPr>
                <w:ilvl w:val="0"/>
                <w:numId w:val="18"/>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Pirmo pusmečio įvykdymo procentas = Įvykdyta pirmą pusmetį / Suplanuota pirmą pusmetį * 100. Jei Pirmo pusmečio įvykdymo procentas mažesnis nei 90 arba didesnis nei 110 ir neįvesta pastaba, tai vertinimo kriterijus turi būti išskirtas sąraše, kad naudotojas atkreiptų dėmesį ir įvestų pastabas.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Įvykdymo procentas = Įvykdyta viso / Suplanuota viso * 100. Jei Įvykdymo procentas mažesnis nei 90 arba didesnis nei 110 ir neįvesta pastaba, tai vertinimo kriterijus turi būti išskirtas sąraše, kad naudotojas atkreiptų dėmesį ir įvestų pastabas.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pateikti paslaugos vertinimo kriterijus patvirtinimui.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pažymėti pateiktų patvirtinimui paslaugų vertinimo kriterijus suderintais.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patvirtinti suderintus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atmesti pateiktus tvirtinimui, suderintus ir patvirtintus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galimybė peržiūrėti paslaugų vertinimo kriterijų sąrašą su vertinimo kriterijaus pavadinimo, srities, bazinės paslaugos, savivaldybės, suplanuota pirmą pusmetį, įvykdyta pirmą pusmetį, pirmo pusmečio įvykdymo procento, suplanuota viso, įvykdyta viso, įvykdymo procento, pastabos </w:t>
            </w:r>
            <w:bookmarkStart w:id="49" w:name="_Hlk177886281"/>
            <w:r>
              <w:rPr>
                <w:rFonts w:cs="Times New Roman"/>
                <w:szCs w:val="24"/>
              </w:rPr>
              <w:t>ir kitais su Perkančiąja organizacija suderintais duomenimis</w:t>
            </w:r>
            <w:bookmarkEnd w:id="49"/>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bookmarkStart w:id="50" w:name="_Ref178597739"/>
            <w:bookmarkStart w:id="51" w:name="_Ref178597739"/>
            <w:bookmarkEnd w:id="51"/>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vertinimo kriterijų sąrašas turi būti papildomai pateikiamas viešojoje IT sprendimo dalyje (t. y. matomas neprisijungusiems naudotojams).</w:t>
            </w:r>
          </w:p>
        </w:tc>
      </w:tr>
    </w:tbl>
    <w:p>
      <w:pPr>
        <w:pStyle w:val="Heading3"/>
        <w:numPr>
          <w:ilvl w:val="3"/>
          <w:numId w:val="35"/>
        </w:numPr>
        <w:rPr/>
      </w:pPr>
      <w:bookmarkStart w:id="52" w:name="_Toc191546210"/>
      <w:r>
        <w:rPr/>
        <w:t xml:space="preserve">Reikalavimai </w:t>
      </w:r>
      <w:r>
        <w:rPr>
          <w:rFonts w:cs="Times New Roman"/>
          <w:szCs w:val="24"/>
        </w:rPr>
        <w:t xml:space="preserve">SRDI </w:t>
      </w:r>
      <w:r>
        <w:rPr/>
        <w:t>registravimui</w:t>
      </w:r>
      <w:bookmarkEnd w:id="5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stebėsenos rodiklį detalizuojančią informaciją.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53" w:name="_Hlk177802617"/>
            <w:r>
              <w:rPr>
                <w:rFonts w:cs="Times New Roman"/>
                <w:szCs w:val="24"/>
              </w:rPr>
              <w:t>SRDI turi būti galima kurti SRDI sąraše arba paslaugos peržiūroje.</w:t>
            </w:r>
            <w:bookmarkEnd w:id="53"/>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Stebėsenos rodiklį detalizuojančią informaciją turi būti galima kurti tik paslaugoms, kurios atitinka visas sąlygas:</w:t>
            </w:r>
          </w:p>
          <w:p>
            <w:pPr>
              <w:pStyle w:val="ListParagraph"/>
              <w:numPr>
                <w:ilvl w:val="0"/>
                <w:numId w:val="19"/>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19"/>
              </w:numPr>
              <w:jc w:val="both"/>
              <w:rPr>
                <w:rFonts w:cs="Times New Roman"/>
                <w:szCs w:val="24"/>
              </w:rPr>
            </w:pPr>
            <w:bookmarkStart w:id="54" w:name="_Hlk177884139"/>
            <w:r>
              <w:rPr>
                <w:rFonts w:cs="Times New Roman"/>
                <w:szCs w:val="24"/>
              </w:rPr>
              <w:t>Visi paslaugos vertinimo kriterijai yra patvirtinti.</w:t>
            </w:r>
          </w:p>
          <w:p>
            <w:pPr>
              <w:pStyle w:val="ListParagraph"/>
              <w:numPr>
                <w:ilvl w:val="0"/>
                <w:numId w:val="19"/>
              </w:numPr>
              <w:spacing w:before="40" w:after="160"/>
              <w:contextualSpacing/>
              <w:jc w:val="both"/>
              <w:rPr>
                <w:rFonts w:cs="Times New Roman"/>
                <w:szCs w:val="24"/>
              </w:rPr>
            </w:pPr>
            <w:bookmarkStart w:id="55" w:name="_Hlk177884139"/>
            <w:r>
              <w:rPr>
                <w:rFonts w:cs="Times New Roman"/>
                <w:szCs w:val="24"/>
              </w:rPr>
              <w:t>Paslauga nėra suteikta.</w:t>
            </w:r>
            <w:bookmarkEnd w:id="55"/>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Dalyvių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Pirmą kartą apsilankiusių dalyvių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SRDI aprašymas.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priskirti apsilankymo kodą sukurtam apsilankymui. Neturi būti galimybės keisti apsilankymo kodo.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paslaugos vertinimo kriterijų reikšmes pagal visų paslaugos SRDI duomenis.</w:t>
              <w:tab/>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kiekį, tai įvykdymo duomenis apskaičiuoja pagal paslaugos SRDI kiekį.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dalyvių skaičių, tai įvykdymo duomenis apskaičiuoja pagal visų SRDI dalyvių skaičių sumą.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SRDI pirmą kartą apsilankiusių dalyvių skaičių, tai įvykdymo duomenis apskaičiuoja pagal visų SRDI pirmą kartą apsilankiusių dalyvių skaičių sumą.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Jei paslauga turi vertinimo kriterijų, kuris apskaičiuojamas pagal vienam SRDI tenkančių dalyvių skaičių, tai įvykdymo duomenis apskaičiuoja pagal formulę: vienam SRDI tenkančių dalyvių skaičius = visų SRDI dalyvių skaičių suma / SRDI kiekis.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SRDI duomenis tik paslaugoms, kurios atitinka visas sąlygas:</w:t>
            </w:r>
          </w:p>
          <w:p>
            <w:pPr>
              <w:pStyle w:val="ListParagraph"/>
              <w:numPr>
                <w:ilvl w:val="0"/>
                <w:numId w:val="21"/>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21"/>
              </w:numPr>
              <w:jc w:val="both"/>
              <w:rPr>
                <w:rFonts w:cs="Times New Roman"/>
                <w:szCs w:val="24"/>
              </w:rPr>
            </w:pPr>
            <w:r>
              <w:rPr>
                <w:rFonts w:cs="Times New Roman"/>
                <w:szCs w:val="24"/>
              </w:rPr>
              <w:t>Visi paslaugos vertinimo kriterijai yra patvirtinti.</w:t>
            </w:r>
          </w:p>
          <w:p>
            <w:pPr>
              <w:pStyle w:val="ListParagraph"/>
              <w:numPr>
                <w:ilvl w:val="0"/>
                <w:numId w:val="21"/>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SRDI tik paslaugoms, kurios atitinka visas sąlygas:</w:t>
            </w:r>
          </w:p>
          <w:p>
            <w:pPr>
              <w:pStyle w:val="ListParagraph"/>
              <w:numPr>
                <w:ilvl w:val="0"/>
                <w:numId w:val="32"/>
              </w:numPr>
              <w:jc w:val="both"/>
              <w:rPr>
                <w:rFonts w:cs="Times New Roman"/>
                <w:szCs w:val="24"/>
              </w:rPr>
            </w:pPr>
            <w:r>
              <w:rPr>
                <w:rFonts w:cs="Times New Roman"/>
                <w:szCs w:val="24"/>
              </w:rPr>
              <w:t>Turi bent vieną paslaugos vertinimo kriterijų, kuriam žinyne nurodyta, kad jis apskaičiuojamas ne rankiniu būdu.</w:t>
            </w:r>
          </w:p>
          <w:p>
            <w:pPr>
              <w:pStyle w:val="ListParagraph"/>
              <w:numPr>
                <w:ilvl w:val="0"/>
                <w:numId w:val="32"/>
              </w:numPr>
              <w:jc w:val="both"/>
              <w:rPr>
                <w:rFonts w:cs="Times New Roman"/>
                <w:szCs w:val="24"/>
              </w:rPr>
            </w:pPr>
            <w:r>
              <w:rPr>
                <w:rFonts w:cs="Times New Roman"/>
                <w:szCs w:val="24"/>
              </w:rPr>
              <w:t>Visi paslaugos vertinimo kriterijai yra patvirtinti.</w:t>
            </w:r>
          </w:p>
          <w:p>
            <w:pPr>
              <w:pStyle w:val="ListParagraph"/>
              <w:numPr>
                <w:ilvl w:val="0"/>
                <w:numId w:val="32"/>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SRDI pagal kito SRDI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56" w:name="_Hlk178056487"/>
            <w:r>
              <w:rPr>
                <w:rFonts w:cs="Times New Roman"/>
                <w:szCs w:val="24"/>
              </w:rPr>
              <w:t>Turi būti galimybė peržiūrėti paslaugų SRDI sąrašą su SRDI kodo, būsenos, datos, dalyvių skaičiaus, pirmą kartą apsilankiusių dalyvių, SRDI aprašymo, paslaugos pavadinimo, vertinimo kriterijaus, paslaugos tikslinės grupės, savivaldybės ir kitais su Perkančiąja organizacija suderintais duomenimis.</w:t>
            </w:r>
            <w:bookmarkEnd w:id="56"/>
          </w:p>
        </w:tc>
      </w:tr>
    </w:tbl>
    <w:p>
      <w:pPr>
        <w:pStyle w:val="Heading3"/>
        <w:numPr>
          <w:ilvl w:val="3"/>
          <w:numId w:val="35"/>
        </w:numPr>
        <w:rPr/>
      </w:pPr>
      <w:bookmarkStart w:id="57" w:name="_Toc191546211"/>
      <w:r>
        <w:rPr/>
        <w:t>Reikalavimai paslaugos gavėjų analitinių požymių pildymui</w:t>
      </w:r>
      <w:bookmarkEnd w:id="57"/>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pildyti </w:t>
            </w:r>
            <w:bookmarkStart w:id="58" w:name="_Hlk177648281"/>
            <w:r>
              <w:rPr>
                <w:rFonts w:cs="Times New Roman"/>
                <w:szCs w:val="24"/>
              </w:rPr>
              <w:t>paslaugos analitinių požymių detalius duomenis</w:t>
            </w:r>
            <w:bookmarkEnd w:id="58"/>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detalius duomenis turi būti galima pildyti paslaugos peržiūroje.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analitinių požymių detalius duomenis turi būti galima pildyti, jei:</w:t>
            </w:r>
          </w:p>
          <w:p>
            <w:pPr>
              <w:pStyle w:val="ListParagraph"/>
              <w:numPr>
                <w:ilvl w:val="0"/>
                <w:numId w:val="31"/>
              </w:numPr>
              <w:jc w:val="both"/>
              <w:rPr>
                <w:rFonts w:cs="Times New Roman"/>
                <w:szCs w:val="24"/>
              </w:rPr>
            </w:pPr>
            <w:r>
              <w:rPr>
                <w:rFonts w:cs="Times New Roman"/>
                <w:szCs w:val="24"/>
              </w:rPr>
              <w:t>Paslaugai priskirtas paslaugos gavėjų analitinių požymių sąrašas.</w:t>
            </w:r>
          </w:p>
          <w:p>
            <w:pPr>
              <w:pStyle w:val="ListParagraph"/>
              <w:numPr>
                <w:ilvl w:val="0"/>
                <w:numId w:val="31"/>
              </w:numPr>
              <w:jc w:val="both"/>
              <w:rPr>
                <w:rFonts w:cs="Times New Roman"/>
                <w:szCs w:val="24"/>
              </w:rPr>
            </w:pPr>
            <w:r>
              <w:rPr>
                <w:rFonts w:cs="Times New Roman"/>
                <w:szCs w:val="24"/>
              </w:rPr>
              <w:t>Visi paslaugos vertinimo kriterijai yra patvirtinti.</w:t>
            </w:r>
          </w:p>
          <w:p>
            <w:pPr>
              <w:pStyle w:val="ListParagraph"/>
              <w:numPr>
                <w:ilvl w:val="0"/>
                <w:numId w:val="31"/>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analitiniam požymiui turi būti galima nurodyti detalius duomenis, kurie atitinkamam požymiui priskirti žinyne.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paslaugų gavėjų analitinių požymių sąrašą su analitinio požymio pavadinimo, savivaldybės, analitinių požymių detalių duomenų reikšmėmis ir / arba apskaičiuotos procentinės dalies duomenimis ir kitais su Perkančiąja organizacija suderintais duomenimis.</w:t>
            </w:r>
          </w:p>
        </w:tc>
      </w:tr>
    </w:tbl>
    <w:p>
      <w:pPr>
        <w:pStyle w:val="Heading3"/>
        <w:numPr>
          <w:ilvl w:val="3"/>
          <w:numId w:val="35"/>
        </w:numPr>
        <w:rPr/>
      </w:pPr>
      <w:bookmarkStart w:id="59" w:name="_Toc191546212"/>
      <w:r>
        <w:rPr/>
        <w:t>Reikalavimai papildomų ataskaitų duomenų pildymui</w:t>
      </w:r>
      <w:bookmarkEnd w:id="5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pildyti paslaugos papildomos ataskaitos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papildomos ataskaitos duomenis turi būti galima pildyti paslaugos peržiūroje.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papildomos ataskaitos duomenis turi būti galima pildyti, jei:</w:t>
            </w:r>
          </w:p>
          <w:p>
            <w:pPr>
              <w:pStyle w:val="ListParagraph"/>
              <w:numPr>
                <w:ilvl w:val="0"/>
                <w:numId w:val="20"/>
              </w:numPr>
              <w:jc w:val="both"/>
              <w:rPr>
                <w:rFonts w:cs="Times New Roman"/>
                <w:szCs w:val="24"/>
              </w:rPr>
            </w:pPr>
            <w:r>
              <w:rPr>
                <w:rFonts w:cs="Times New Roman"/>
                <w:szCs w:val="24"/>
              </w:rPr>
              <w:t>Paslaugai priskirtas papildomos ataskaitos duomenų rinkinys.</w:t>
            </w:r>
          </w:p>
          <w:p>
            <w:pPr>
              <w:pStyle w:val="ListParagraph"/>
              <w:numPr>
                <w:ilvl w:val="0"/>
                <w:numId w:val="20"/>
              </w:numPr>
              <w:jc w:val="both"/>
              <w:rPr>
                <w:rFonts w:cs="Times New Roman"/>
                <w:szCs w:val="24"/>
              </w:rPr>
            </w:pPr>
            <w:r>
              <w:rPr>
                <w:rFonts w:cs="Times New Roman"/>
                <w:szCs w:val="24"/>
              </w:rPr>
              <w:t>Visi paslaugos vertinimo kriterijai yra patvirtinti.</w:t>
            </w:r>
          </w:p>
          <w:p>
            <w:pPr>
              <w:pStyle w:val="ListParagraph"/>
              <w:numPr>
                <w:ilvl w:val="0"/>
                <w:numId w:val="20"/>
              </w:numPr>
              <w:spacing w:before="40" w:after="160"/>
              <w:contextualSpacing/>
              <w:jc w:val="both"/>
              <w:rPr>
                <w:rFonts w:cs="Times New Roman"/>
                <w:szCs w:val="24"/>
              </w:rPr>
            </w:pPr>
            <w:r>
              <w:rPr>
                <w:rFonts w:cs="Times New Roman"/>
                <w:szCs w:val="24"/>
              </w:rPr>
              <w:t>Paslauga nėra suteikta.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Paslaugos papildomos ataskaitos duomenys turi būti pildomi priklausomai nuo bazinei paslaugai priskirto paslaugoje naudojamo papildomos ataskaitos duomenų rinkinio, pvz.: vienos ataskaitos pildomi duomenys gali apimti įvedamus tekstinius duomenis, datos ir laiko duomenis, skaičius, apskaičiuojamus duomenis, numeruojamus duomenis, pasirenkamus duomenis su iš anksto apibrėžtomis reikšmėmis, sąrašus su daug stulpelių ir kintančiu eilučių skaičiumi, sąrašus su daug stulpelių ir fiksuotu daugelio eilučių skaičiumi. Papildomų ataskaitų sąrašas pateiktas </w:t>
            </w:r>
            <w:r>
              <w:rPr>
                <w:rFonts w:cs="Times New Roman"/>
                <w:szCs w:val="24"/>
              </w:rPr>
              <w:fldChar w:fldCharType="begin"/>
            </w:r>
            <w:r>
              <w:rPr>
                <w:szCs w:val="24"/>
                <w:rFonts w:cs="Times New Roman"/>
              </w:rPr>
              <w:instrText xml:space="preserve"> REF _Ref177972320 \r \h </w:instrText>
            </w:r>
            <w:r>
              <w:rPr>
                <w:szCs w:val="24"/>
                <w:rFonts w:cs="Times New Roman"/>
              </w:rPr>
              <w:fldChar w:fldCharType="separate"/>
            </w:r>
            <w:r>
              <w:rPr>
                <w:szCs w:val="24"/>
                <w:rFonts w:cs="Times New Roman"/>
              </w:rPr>
              <w:t>6.5.6</w:t>
            </w:r>
            <w:r>
              <w:rPr>
                <w:szCs w:val="24"/>
                <w:rFonts w:cs="Times New Roman"/>
              </w:rPr>
              <w:fldChar w:fldCharType="end"/>
            </w:r>
            <w:r>
              <w:rPr>
                <w:rFonts w:cs="Times New Roman"/>
                <w:szCs w:val="24"/>
              </w:rPr>
              <w:t xml:space="preserve"> </w:t>
            </w:r>
            <w:r>
              <w:rPr>
                <w:rFonts w:cs="Times New Roman"/>
                <w:szCs w:val="24"/>
              </w:rPr>
              <w:fldChar w:fldCharType="begin"/>
            </w:r>
            <w:r>
              <w:rPr>
                <w:szCs w:val="24"/>
                <w:rFonts w:cs="Times New Roman"/>
              </w:rPr>
              <w:instrText xml:space="preserve"> REF _Ref177972320 \h </w:instrText>
            </w:r>
            <w:r>
              <w:rPr>
                <w:szCs w:val="24"/>
                <w:rFonts w:cs="Times New Roman"/>
              </w:rPr>
              <w:fldChar w:fldCharType="separate"/>
            </w:r>
            <w:r>
              <w:rPr>
                <w:szCs w:val="24"/>
                <w:rFonts w:cs="Times New Roman"/>
              </w:rPr>
              <w:t>Reikalavimai ataskaitoms</w:t>
            </w:r>
            <w:r>
              <w:rPr>
                <w:szCs w:val="24"/>
                <w:rFonts w:cs="Times New Roman"/>
              </w:rPr>
              <w:fldChar w:fldCharType="end"/>
            </w:r>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užpildyti kelis papildomų ataskaitų duomenų rinkinius vienai paslaugai, pvz.: jei teikiamos atskiros pusės metų ir metinė ataskaitos.</w:t>
            </w:r>
          </w:p>
        </w:tc>
      </w:tr>
    </w:tbl>
    <w:p>
      <w:pPr>
        <w:pStyle w:val="Heading3"/>
        <w:numPr>
          <w:ilvl w:val="2"/>
          <w:numId w:val="35"/>
        </w:numPr>
        <w:rPr/>
      </w:pPr>
      <w:bookmarkStart w:id="60" w:name="_Toc191546213"/>
      <w:r>
        <w:rPr/>
        <w:t>Reikalavimai specialios tikslinės dotacijos planavimui</w:t>
      </w:r>
      <w:bookmarkEnd w:id="60"/>
    </w:p>
    <w:p>
      <w:pPr>
        <w:pStyle w:val="Heading3"/>
        <w:numPr>
          <w:ilvl w:val="3"/>
          <w:numId w:val="35"/>
        </w:numPr>
        <w:rPr/>
      </w:pPr>
      <w:bookmarkStart w:id="61" w:name="_Toc191546214"/>
      <w:r>
        <w:rPr/>
        <w:t>Reikalavimai paskirstymo bazių pildymui</w:t>
      </w:r>
      <w:bookmarkEnd w:id="6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paskirstymo bazes.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paskirstymo bazei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tipas.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Duomenų 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eilutės. Eilučių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Bendras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Skaičius kaime.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Skaičius mieste.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galimybė automatiškai įkelti šių paskirstymo bazių duomenis iš VDVIS integracinės sąsajos:</w:t>
            </w:r>
          </w:p>
          <w:p>
            <w:pPr>
              <w:pStyle w:val="ListParagraph"/>
              <w:numPr>
                <w:ilvl w:val="0"/>
                <w:numId w:val="25"/>
              </w:numPr>
              <w:jc w:val="both"/>
              <w:rPr>
                <w:rFonts w:cs="Times New Roman"/>
                <w:szCs w:val="24"/>
              </w:rPr>
            </w:pPr>
            <w:r>
              <w:rPr>
                <w:rFonts w:cs="Times New Roman"/>
                <w:szCs w:val="24"/>
              </w:rPr>
              <w:t>Gyventojai.</w:t>
            </w:r>
          </w:p>
          <w:p>
            <w:pPr>
              <w:pStyle w:val="ListParagraph"/>
              <w:numPr>
                <w:ilvl w:val="0"/>
                <w:numId w:val="25"/>
              </w:numPr>
              <w:jc w:val="both"/>
              <w:rPr>
                <w:rFonts w:cs="Times New Roman"/>
                <w:szCs w:val="24"/>
              </w:rPr>
            </w:pPr>
            <w:r>
              <w:rPr>
                <w:rFonts w:cs="Times New Roman"/>
                <w:szCs w:val="24"/>
              </w:rPr>
              <w:t>Mokiniai.</w:t>
            </w:r>
          </w:p>
          <w:p>
            <w:pPr>
              <w:pStyle w:val="ListParagraph"/>
              <w:numPr>
                <w:ilvl w:val="0"/>
                <w:numId w:val="25"/>
              </w:numPr>
              <w:jc w:val="both"/>
              <w:rPr>
                <w:rFonts w:cs="Times New Roman"/>
                <w:szCs w:val="24"/>
              </w:rPr>
            </w:pPr>
            <w:r>
              <w:rPr>
                <w:rFonts w:cs="Times New Roman"/>
                <w:szCs w:val="24"/>
              </w:rPr>
              <w:t>Mokymo įstaigos.</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importuoti paskirstymo bazės duomenis iš .xlsx, .csv, .xml formato rinkmenos.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eksportuoti paskirstymo bazės duomenis į .xlsx formato rinkmeną.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automatiškai apskaičiuoti gyventojų, išskyrus mokinius paskirstymo bazės duomenis pagal gyventojų ir mokinių paskirstymo bazių duomenis: Gyventojų, išskyrus mokinius skaičius = Gyventojų skaičius - Mokinių skaičius.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paskirstymo bazių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paskirstymo bazes, kurios neturi susijusių dotacijų paskirstymų.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paskirstymo bazių sąrašą su paskirstymo bazės pavadinimo, paskirstymo bazės tipo, duomenų metų ir kitais su Perkančiąja organizacija suderintais duomenimis.</w:t>
            </w:r>
          </w:p>
        </w:tc>
      </w:tr>
    </w:tbl>
    <w:p>
      <w:pPr>
        <w:pStyle w:val="Heading3"/>
        <w:numPr>
          <w:ilvl w:val="3"/>
          <w:numId w:val="35"/>
        </w:numPr>
        <w:rPr/>
      </w:pPr>
      <w:bookmarkStart w:id="62" w:name="_Toc191546215"/>
      <w:r>
        <w:rPr/>
        <w:t>Reikalavimai paskirstymo normų pildymui</w:t>
      </w:r>
      <w:bookmarkEnd w:id="6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paskirstymo normas.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paskirstymo normai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eilutės. Eilučių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Bazė nuo.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Bazė iki.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Miestas/kaimas. Turi būti galima nurodyti: Miestas, Kaimas, Miestas + Kaimas.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Etatų norma.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fondas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paskirstymo normų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paskirstymo normas, kurios neturi susijusių dotacijų paskirstymų.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paskirstymo normų sąrašą su paskirstymo normos pavadinimo ir kitais su Perkančiąja organizacija suderintais duomenimis.</w:t>
            </w:r>
          </w:p>
        </w:tc>
      </w:tr>
    </w:tbl>
    <w:p>
      <w:pPr>
        <w:pStyle w:val="Heading3"/>
        <w:numPr>
          <w:ilvl w:val="3"/>
          <w:numId w:val="35"/>
        </w:numPr>
        <w:rPr/>
      </w:pPr>
      <w:bookmarkStart w:id="63" w:name="_Toc191546216"/>
      <w:r>
        <w:rPr/>
        <w:t>Reikalavimai dotacijų paskirstymų pildymui</w:t>
      </w:r>
      <w:bookmarkEnd w:id="6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dotacijų paskirstymus.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Kuriamam dotacijų paskirstymui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bazė.</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Paskirstymo norma.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Dotacijos paskirstymo tipas. Turi būti galima nurodyti: DU fondas, DU fondas + kitos išlaidos, Kitos išlaidos.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Sritis.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Maksimalus valstybės biudžeto asignavimas.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Planavimo laikotarpis.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Minimalus koeficientas.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4" w:name="_Hlk178000074"/>
            <w:r>
              <w:rPr>
                <w:rFonts w:cs="Times New Roman"/>
                <w:szCs w:val="24"/>
              </w:rPr>
              <w:t>Maksimalus koeficientas</w:t>
            </w:r>
            <w:bookmarkEnd w:id="64"/>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Pareiginės algos bazinis dydis.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5" w:name="_Hlk177996933"/>
            <w:r>
              <w:rPr>
                <w:rFonts w:cs="Times New Roman"/>
                <w:szCs w:val="24"/>
              </w:rPr>
              <w:t>DU kintamoji dalis %</w:t>
            </w:r>
            <w:bookmarkEnd w:id="65"/>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66" w:name="_Hlk177998057"/>
            <w:r>
              <w:rPr>
                <w:rFonts w:cs="Times New Roman"/>
                <w:szCs w:val="24"/>
              </w:rPr>
              <w:t xml:space="preserve">VSD įmoka </w:t>
            </w:r>
            <w:bookmarkEnd w:id="66"/>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Pildomam dotacijų paskirstymui 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Vidutinis mėnesio DU = (Minimalus koeficientas + Maksimalus koeficientas) / 2 * Pareiginės algos bazinis dydis.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suplanuoti dotacijos poreikį. IT sprendimas kiekvienai savivaldybei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Etatai = Skaičius kaime / Etatų norma kaimui + Skaičius mieste / Etatų norma miestui. Skaičius kaime ir Skaičius mieste turi būti imami iš dotacijų paskirstymui priskirtos paskirstymo bazės. Etatų norma kaimui ir Etatų norma miestui turi būti imami iš dotacijų paskirstymui priskirtos paskirstymo normos, atsižvelgiant į savivaldybės gyventojų skaičių (savivaldybei turi būti taikomos paskirstymo normos eilutės, kurių bazė nuo ir bazė iki apima savivaldybės gyventojų skaičių).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 fondas = Etatai * (Vidutinis mėnesio DU + Vidutinis mėnesio DU * DU kintamoji dalis % / 100) * (1 + VSDI įmoka % / 100) * 12. DU fondas turi būti apskaičiuojamas, jei nurodytas paskirstymo tipas yra DU fondas, DU fondas + kitos išlaidos.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fondas = (Skaičius kaime / Etatų norma kaimui * Kitų išlaidų fondas kaimui % / 100 + Skaičius mieste / Etatų norma miestui * Kitų išlaidų fondas miestui % / 100) * (Vidutinis mėnesio DU + Vidutinis mėnesio DU * DU kintamoji dalis % / 100) * (1 + VSDI įmoka % / 100) * 12. Skaičius kaime ir Skaičius mieste turi būti imami iš dotacijų paskirstymui priskirtos paskirstymo bazės. Etatų norma kaimui, Kitų išlaidų fondas % kaimui, Etatų norma miestui ir Kitų išlaidų fondas % miestui turi būti imami iš dotacijų paskirstymui priskirtos paskirstymo normos, atsižvelgiant į savivaldybės gyventojų skaičių (savivaldybei turi būti taikomos paskirstymo normos eilutės, kurių bazė nuo ir bazė iki apima savivaldybės gyventojų skaičių). Kitų išlaidų fondas turi būti apskaičiuojamas, jei nurodytas paskirstymo tipas yra DU fondas + kitos išlaidos, Kitos.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Dotacijos poreikis = DU fondas + Kitų išlaidų fondas.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paskirstyti dotaciją. IT sprendimas kiekvienai savivaldybei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DU dotacija = DU fondas * Maksimalus valstybės biudžeto asignavimas / Visų savivaldybių bendras Dotacijos poreikis.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Kitų išlaidų fondo dotacija = Viso dotacija - DU dotacija.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Viso dotacija = Dotacijos poreikis * Maksimalus valstybės biudžeto asignavimas / Visų savivaldybių bendras Dotacijos poreikis.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galimybė eksportuoti dotacijos paskirstymo duomenis </w:t>
            </w:r>
            <w:bookmarkStart w:id="67" w:name="_Hlk178058853"/>
            <w:r>
              <w:rPr>
                <w:rFonts w:cs="Times New Roman"/>
                <w:szCs w:val="24"/>
              </w:rPr>
              <w:t>į .xlsx formato rinkmeną pagal su Perkančiąja organizacija suderintą struktūrą.</w:t>
            </w:r>
            <w:bookmarkEnd w:id="67"/>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išvalyti dotacijos planavimo ir paskirstymo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vieną dotacijos sumą paskirstyti keliems dotacijų paskirstymams. IT sprendimas kiekvienam dotacijų paskirstymui turi proporcingai pagal dotacijų poreikį padalinti nurodytą maksimalų valstybės biudžeto asignavimą ir paskirstyti dotaciją.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dotacijų paskirstymus.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dotacijų paskirstymą pagal kito dotacijų paskirstymo duomenis (nukopijuoti).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sukurti rankinį dotacijų paskirstymą, t. y. nenurodyti paskirstymo bazės, paskirstymo normos ir kitų duomenų, o dotacijų duomenis savivaldybėms įvesti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dotacijų paskirstymo sąrašą su būsenos, dotacijos paskirstymo pavadinimo, dotacijos poreikio, visos dotacijos ir kitais su Perkančiąja organizacija suderintais duomenimis.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eksportuoti dotacijų paskirstymo sąraše pažymėtų įrašų suminius duomenis į .xlsx formato rinkmeną pagal su Perkančiąja organizacija suderintą struktūrą.</w:t>
            </w:r>
          </w:p>
        </w:tc>
      </w:tr>
    </w:tbl>
    <w:p>
      <w:pPr>
        <w:pStyle w:val="Heading3"/>
        <w:numPr>
          <w:ilvl w:val="2"/>
          <w:numId w:val="35"/>
        </w:numPr>
        <w:rPr/>
      </w:pPr>
      <w:bookmarkStart w:id="68" w:name="_Toc191546217"/>
      <w:r>
        <w:rPr/>
        <w:t>Reikalavimai finansinių formų pildymui</w:t>
      </w:r>
      <w:bookmarkEnd w:id="68"/>
    </w:p>
    <w:p>
      <w:pPr>
        <w:pStyle w:val="Heading3"/>
        <w:numPr>
          <w:ilvl w:val="3"/>
          <w:numId w:val="35"/>
        </w:numPr>
        <w:rPr/>
      </w:pPr>
      <w:bookmarkStart w:id="69" w:name="_Toc191546218"/>
      <w:r>
        <w:rPr/>
        <w:t xml:space="preserve">Reikalavimai </w:t>
      </w:r>
      <w:bookmarkStart w:id="70" w:name="_Hlk178339782"/>
      <w:r>
        <w:rPr/>
        <w:t>programų sąmatų</w:t>
      </w:r>
      <w:bookmarkEnd w:id="70"/>
      <w:r>
        <w:rPr/>
        <w:t xml:space="preserve"> pildymui</w:t>
      </w:r>
      <w:bookmarkEnd w:id="6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bookmarkStart w:id="71" w:name="_Hlk178070763"/>
            <w:bookmarkEnd w:id="71"/>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programų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programos sąmatai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Sritis.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Savivaldybė. IT sprendimas neturi leisti nurodyti savivaldybės, kuri neatitinka programos sąmatą kuriančio naudotojo savivaldybės.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Dokumento sudarytojo (įstaigos) pavadinimas.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Metai.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Sudarymo vieta.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Biudžetinė įstaiga.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Finansavimo šaltinis.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Išlaidų klasifikacija pagal valstybės funkcijas.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sąmatos eilutės. Eilutės turi būti automatiškai suformuojamos pagal Išlaidų ekonominės klasifikacijos straipsnių žinyną, atsižvelgiant į hierarchinę struktūrą.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Žemiausio lygio programos sąmatos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72" w:name="_Hlk178065085"/>
            <w:r>
              <w:rPr>
                <w:rFonts w:cs="Times New Roman"/>
                <w:szCs w:val="24"/>
              </w:rPr>
              <w:t>I ketvirtis</w:t>
            </w:r>
            <w:bookmarkEnd w:id="72"/>
            <w:r>
              <w:rPr>
                <w:rFonts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II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III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IV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Pildomai programos sąmatos eilutei IT sprendimas turi automatiškai apskaičiuoti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 viso = I ketvirtis + II ketvirtis + III ketvirtis + IV ketvirtis.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aukštesnio lygio programos sąmatos eilučių duomenis pagal žemesnio lygio programos sąmatos eilutes.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Neturi būti galimybės išsaugoti programos sąmatos, jei jos sąnaudos iš viso yra didesnės nei dotacijų paskirstymų viso dotacija. Tikrinami dotacijos paskirstymai turi būti atrenkami pagal programos sąmatoje nurodytą savivaldybę ir sritį. Jei sričiai programos sąmatoje nurodytais metais yra keli dotacijų paskirstymai, tai jų duomenys susumuojami.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programos sąmatą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programų sąmatų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programų sąmatas, kurios neturi susijusių darbo užmokesčio sąmatų ir sąmatų vykdymo ataskaitų.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programų sąmatų sąrašą su srities, metų, I ketvirčio, II ketvirčio, III ketvirčio ir IV ketvirčio, savivaldybės ir kitais su Perkančiąja organizacija suderintais duomenimis.</w:t>
            </w:r>
          </w:p>
        </w:tc>
      </w:tr>
    </w:tbl>
    <w:p>
      <w:pPr>
        <w:pStyle w:val="Heading3"/>
        <w:numPr>
          <w:ilvl w:val="3"/>
          <w:numId w:val="35"/>
        </w:numPr>
        <w:rPr/>
      </w:pPr>
      <w:bookmarkStart w:id="73" w:name="_Hlk178070763"/>
      <w:bookmarkStart w:id="74" w:name="_Toc191546219"/>
      <w:bookmarkEnd w:id="73"/>
      <w:r>
        <w:rPr/>
        <w:t>Reikalavimai darbo užmokesčio sąmatų pildymui</w:t>
      </w:r>
      <w:bookmarkEnd w:id="74"/>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darbo užmokesčio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darbo užmokesčio sąmatai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eilutės. Eilutės turi būti automatiškai suformuojamos:</w:t>
            </w:r>
          </w:p>
          <w:p>
            <w:pPr>
              <w:pStyle w:val="ListParagraph"/>
              <w:numPr>
                <w:ilvl w:val="0"/>
                <w:numId w:val="29"/>
              </w:numPr>
              <w:jc w:val="both"/>
              <w:rPr>
                <w:rFonts w:cs="Times New Roman"/>
                <w:szCs w:val="24"/>
              </w:rPr>
            </w:pPr>
            <w:r>
              <w:rPr>
                <w:rFonts w:cs="Times New Roman"/>
                <w:szCs w:val="24"/>
              </w:rPr>
              <w:t>2. IŠLAIDOS.</w:t>
            </w:r>
          </w:p>
          <w:p>
            <w:pPr>
              <w:pStyle w:val="ListParagraph"/>
              <w:numPr>
                <w:ilvl w:val="0"/>
                <w:numId w:val="29"/>
              </w:numPr>
              <w:jc w:val="both"/>
              <w:rPr>
                <w:rFonts w:cs="Times New Roman"/>
                <w:szCs w:val="24"/>
              </w:rPr>
            </w:pPr>
            <w:r>
              <w:rPr>
                <w:rFonts w:cs="Times New Roman"/>
                <w:szCs w:val="24"/>
              </w:rPr>
              <w:t>25. Dotacijos.</w:t>
            </w:r>
          </w:p>
          <w:p>
            <w:pPr>
              <w:pStyle w:val="ListParagraph"/>
              <w:numPr>
                <w:ilvl w:val="0"/>
                <w:numId w:val="29"/>
              </w:numPr>
              <w:jc w:val="both"/>
              <w:rPr>
                <w:rFonts w:cs="Times New Roman"/>
                <w:szCs w:val="24"/>
              </w:rPr>
            </w:pPr>
            <w:r>
              <w:rPr>
                <w:rFonts w:cs="Times New Roman"/>
                <w:szCs w:val="24"/>
              </w:rPr>
              <w:t>253. Dotacijos kitiems valdžios sektoriaus subjektams.</w:t>
            </w:r>
          </w:p>
          <w:p>
            <w:pPr>
              <w:pStyle w:val="ListParagraph"/>
              <w:numPr>
                <w:ilvl w:val="0"/>
                <w:numId w:val="29"/>
              </w:numPr>
              <w:jc w:val="both"/>
              <w:rPr>
                <w:rFonts w:cs="Times New Roman"/>
                <w:szCs w:val="24"/>
              </w:rPr>
            </w:pPr>
            <w:r>
              <w:rPr>
                <w:rFonts w:cs="Times New Roman"/>
                <w:szCs w:val="24"/>
              </w:rPr>
              <w:t>253112. Dotacijos savivaldybėms einamiesiems tikslams.</w:t>
            </w:r>
          </w:p>
          <w:p>
            <w:pPr>
              <w:pStyle w:val="ListParagraph"/>
              <w:numPr>
                <w:ilvl w:val="0"/>
                <w:numId w:val="29"/>
              </w:numPr>
              <w:jc w:val="both"/>
              <w:rPr>
                <w:rFonts w:cs="Times New Roman"/>
                <w:szCs w:val="24"/>
              </w:rPr>
            </w:pPr>
            <w:r>
              <w:rPr>
                <w:rFonts w:cs="Times New Roman"/>
                <w:szCs w:val="24"/>
              </w:rPr>
              <w:t>darbo užmokestis (neįskaitant socialinio draudimo įmokų).</w:t>
            </w:r>
          </w:p>
          <w:p>
            <w:pPr>
              <w:pStyle w:val="ListParagraph"/>
              <w:numPr>
                <w:ilvl w:val="0"/>
                <w:numId w:val="29"/>
              </w:numPr>
              <w:jc w:val="both"/>
              <w:rPr>
                <w:rFonts w:cs="Times New Roman"/>
                <w:szCs w:val="24"/>
              </w:rPr>
            </w:pPr>
            <w:r>
              <w:rPr>
                <w:rFonts w:cs="Times New Roman"/>
                <w:szCs w:val="24"/>
              </w:rPr>
              <w:t>valstybės tarnautojams.</w:t>
            </w:r>
          </w:p>
          <w:p>
            <w:pPr>
              <w:pStyle w:val="ListParagraph"/>
              <w:numPr>
                <w:ilvl w:val="0"/>
                <w:numId w:val="29"/>
              </w:numPr>
              <w:jc w:val="both"/>
              <w:rPr>
                <w:rFonts w:cs="Times New Roman"/>
                <w:szCs w:val="24"/>
              </w:rPr>
            </w:pPr>
            <w:r>
              <w:rPr>
                <w:rFonts w:cs="Times New Roman"/>
                <w:szCs w:val="24"/>
              </w:rPr>
              <w:t>darbuotojams, dirbantiems pagal darbo sutartis.</w:t>
            </w:r>
          </w:p>
          <w:p>
            <w:pPr>
              <w:pStyle w:val="ListParagraph"/>
              <w:numPr>
                <w:ilvl w:val="0"/>
                <w:numId w:val="29"/>
              </w:numPr>
              <w:jc w:val="both"/>
              <w:rPr>
                <w:rFonts w:cs="Times New Roman"/>
                <w:szCs w:val="24"/>
              </w:rPr>
            </w:pPr>
            <w:r>
              <w:rPr>
                <w:rFonts w:cs="Times New Roman"/>
                <w:szCs w:val="24"/>
              </w:rPr>
              <w:t>iš jų: darbininkams.</w:t>
            </w:r>
          </w:p>
          <w:p>
            <w:pPr>
              <w:pStyle w:val="ListParagraph"/>
              <w:numPr>
                <w:ilvl w:val="0"/>
                <w:numId w:val="29"/>
              </w:numPr>
              <w:jc w:val="both"/>
              <w:rPr>
                <w:rFonts w:cs="Times New Roman"/>
                <w:szCs w:val="24"/>
              </w:rPr>
            </w:pPr>
            <w:r>
              <w:rPr>
                <w:rFonts w:cs="Times New Roman"/>
                <w:szCs w:val="24"/>
              </w:rPr>
              <w:t>253212. Dotacijos savivaldybėms turtui įsigyti.</w:t>
            </w:r>
          </w:p>
          <w:p>
            <w:pPr>
              <w:pStyle w:val="Normal"/>
              <w:jc w:val="both"/>
              <w:rPr>
                <w:rFonts w:cs="Times New Roman"/>
                <w:szCs w:val="24"/>
              </w:rPr>
            </w:pPr>
            <w:r>
              <w:rPr>
                <w:rFonts w:cs="Times New Roman"/>
                <w:szCs w:val="24"/>
              </w:rPr>
              <w:t>1) – 4), 9) eilučių duomenys turi būti perkelti iš susijusios programos sąmatos.</w:t>
            </w:r>
          </w:p>
          <w:p>
            <w:pPr>
              <w:pStyle w:val="Normal"/>
              <w:spacing w:before="40" w:after="160"/>
              <w:jc w:val="both"/>
              <w:rPr>
                <w:rFonts w:cs="Times New Roman"/>
                <w:szCs w:val="24"/>
              </w:rPr>
            </w:pPr>
            <w:r>
              <w:rPr>
                <w:rFonts w:cs="Times New Roman"/>
                <w:szCs w:val="24"/>
              </w:rPr>
              <w:t>5) – 8) eilučių duomenys turi būti pildomi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Patvirtintas planas.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darbo užmokesčio sąmatą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darbo užmokesčio sąmatų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darbo užmokesčio sąmatas.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darbo užmokesčio sąmatų sąrašą su srities, metų, darbo užmokesčio, savivaldybės ir kitais su Perkančiąja organizacija suderintais duomenimis.</w:t>
            </w:r>
          </w:p>
        </w:tc>
      </w:tr>
    </w:tbl>
    <w:p>
      <w:pPr>
        <w:pStyle w:val="Heading3"/>
        <w:numPr>
          <w:ilvl w:val="3"/>
          <w:numId w:val="35"/>
        </w:numPr>
        <w:rPr/>
      </w:pPr>
      <w:bookmarkStart w:id="75" w:name="_Toc191546220"/>
      <w:r>
        <w:rPr/>
        <w:t>Reikalavimai sąmatų vykdymo ataskaitų pildymui</w:t>
      </w:r>
      <w:bookmarkEnd w:id="7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sąmatos vykdymo ataskaitai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Programos sąmata.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Laikotarpis.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vykdymo ataskaitos eilutės. Eilutės turi būti automatiškai suformuojamos pagal Išlaidų ekonominės klasifikacijos straipsnių žinyną, atsižvelgiant į hierarchinę struktūrą. Eilučių asignavimų plano duomenys turi būti perkelti iš susijusios programos sąmatos.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Žemiausio lygio sąmatos vykdymo ataskaitos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Gauti asignavimai kartu su įskaitytu praėjusių metų lėšų likučiu.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Panaudoti asignavimai.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IT sprendimas turi automatiškai apskaičiuoti aukštesnio lygio sąmatos vykdymo ataskaitos eilučių duomenis pagal žemesnio lygio sąmatos vykdymo ataskaitos eilutes.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sąmatos vykdymo ataskaitą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sąmatų vykdymo ataskaitas, kurios neturi susijusių darbo užmokesčio sąmatų vykdymo ataskaitų.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sąmatų vykdymo ataskaitų sąrašą su srities, metų, laikotarpio, asignavimų plano metams, asignavimo plano ataskaitiniam laikotarpiui, gautų asignavimų, panaudotų asignavimų, savivaldybės ir kitais su Perkančiąja organizacija suderintais duomenimis.</w:t>
            </w:r>
          </w:p>
        </w:tc>
      </w:tr>
    </w:tbl>
    <w:p>
      <w:pPr>
        <w:pStyle w:val="Heading3"/>
        <w:numPr>
          <w:ilvl w:val="3"/>
          <w:numId w:val="35"/>
        </w:numPr>
        <w:rPr/>
      </w:pPr>
      <w:bookmarkStart w:id="76" w:name="_Toc191546221"/>
      <w:r>
        <w:rPr/>
        <w:t>Reikalavimai darbo užmokesčio sąmatų vykdymo ataskaitų pildymui</w:t>
      </w:r>
      <w:bookmarkEnd w:id="7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kurti darbo užmokesčio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Kuriamai darbo užmokesčio sąmatos vykdymo ataskaitai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vykdymo ataskaita.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data.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Sąmatos numeris.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vykdymo ataskaitos eilutės. Eilutės turi būti automatiškai suformuojamos:</w:t>
            </w:r>
          </w:p>
          <w:p>
            <w:pPr>
              <w:pStyle w:val="ListParagraph"/>
              <w:numPr>
                <w:ilvl w:val="0"/>
                <w:numId w:val="30"/>
              </w:numPr>
              <w:jc w:val="both"/>
              <w:rPr>
                <w:rFonts w:cs="Times New Roman"/>
                <w:szCs w:val="24"/>
              </w:rPr>
            </w:pPr>
            <w:r>
              <w:rPr>
                <w:rFonts w:cs="Times New Roman"/>
                <w:szCs w:val="24"/>
              </w:rPr>
              <w:t>2. IŠLAIDOS.</w:t>
            </w:r>
          </w:p>
          <w:p>
            <w:pPr>
              <w:pStyle w:val="ListParagraph"/>
              <w:numPr>
                <w:ilvl w:val="0"/>
                <w:numId w:val="30"/>
              </w:numPr>
              <w:jc w:val="both"/>
              <w:rPr>
                <w:rFonts w:cs="Times New Roman"/>
                <w:szCs w:val="24"/>
              </w:rPr>
            </w:pPr>
            <w:r>
              <w:rPr>
                <w:rFonts w:cs="Times New Roman"/>
                <w:szCs w:val="24"/>
              </w:rPr>
              <w:t>25. Dotacijos.</w:t>
            </w:r>
          </w:p>
          <w:p>
            <w:pPr>
              <w:pStyle w:val="ListParagraph"/>
              <w:numPr>
                <w:ilvl w:val="0"/>
                <w:numId w:val="30"/>
              </w:numPr>
              <w:jc w:val="both"/>
              <w:rPr>
                <w:rFonts w:cs="Times New Roman"/>
                <w:szCs w:val="24"/>
              </w:rPr>
            </w:pPr>
            <w:r>
              <w:rPr>
                <w:rFonts w:cs="Times New Roman"/>
                <w:szCs w:val="24"/>
              </w:rPr>
              <w:t>253. Dotacijos kitiems valdžios sektoriaus subjektams.</w:t>
            </w:r>
          </w:p>
          <w:p>
            <w:pPr>
              <w:pStyle w:val="ListParagraph"/>
              <w:numPr>
                <w:ilvl w:val="0"/>
                <w:numId w:val="30"/>
              </w:numPr>
              <w:jc w:val="both"/>
              <w:rPr>
                <w:rFonts w:cs="Times New Roman"/>
                <w:szCs w:val="24"/>
              </w:rPr>
            </w:pPr>
            <w:r>
              <w:rPr>
                <w:rFonts w:cs="Times New Roman"/>
                <w:szCs w:val="24"/>
              </w:rPr>
              <w:t>253112. Dotacijos savivaldybėms einamiesiems tikslams.</w:t>
            </w:r>
          </w:p>
          <w:p>
            <w:pPr>
              <w:pStyle w:val="ListParagraph"/>
              <w:numPr>
                <w:ilvl w:val="0"/>
                <w:numId w:val="30"/>
              </w:numPr>
              <w:jc w:val="both"/>
              <w:rPr>
                <w:rFonts w:cs="Times New Roman"/>
                <w:szCs w:val="24"/>
              </w:rPr>
            </w:pPr>
            <w:r>
              <w:rPr>
                <w:rFonts w:cs="Times New Roman"/>
                <w:szCs w:val="24"/>
              </w:rPr>
              <w:t>darbo užmokestis (neįskaitant socialinio draudimo įmokų).</w:t>
            </w:r>
          </w:p>
          <w:p>
            <w:pPr>
              <w:pStyle w:val="ListParagraph"/>
              <w:numPr>
                <w:ilvl w:val="0"/>
                <w:numId w:val="30"/>
              </w:numPr>
              <w:jc w:val="both"/>
              <w:rPr>
                <w:rFonts w:cs="Times New Roman"/>
                <w:szCs w:val="24"/>
              </w:rPr>
            </w:pPr>
            <w:r>
              <w:rPr>
                <w:rFonts w:cs="Times New Roman"/>
                <w:szCs w:val="24"/>
              </w:rPr>
              <w:t>valstybės tarnautojams.</w:t>
            </w:r>
          </w:p>
          <w:p>
            <w:pPr>
              <w:pStyle w:val="ListParagraph"/>
              <w:numPr>
                <w:ilvl w:val="0"/>
                <w:numId w:val="30"/>
              </w:numPr>
              <w:jc w:val="both"/>
              <w:rPr>
                <w:rFonts w:cs="Times New Roman"/>
                <w:szCs w:val="24"/>
              </w:rPr>
            </w:pPr>
            <w:r>
              <w:rPr>
                <w:rFonts w:cs="Times New Roman"/>
                <w:szCs w:val="24"/>
              </w:rPr>
              <w:t>darbuotojams, dirbantiems pagal darbo sutartis.</w:t>
            </w:r>
          </w:p>
          <w:p>
            <w:pPr>
              <w:pStyle w:val="ListParagraph"/>
              <w:numPr>
                <w:ilvl w:val="0"/>
                <w:numId w:val="30"/>
              </w:numPr>
              <w:jc w:val="both"/>
              <w:rPr>
                <w:rFonts w:cs="Times New Roman"/>
                <w:szCs w:val="24"/>
              </w:rPr>
            </w:pPr>
            <w:r>
              <w:rPr>
                <w:rFonts w:cs="Times New Roman"/>
                <w:szCs w:val="24"/>
              </w:rPr>
              <w:t>iš jų: darbininkams.</w:t>
            </w:r>
          </w:p>
          <w:p>
            <w:pPr>
              <w:pStyle w:val="ListParagraph"/>
              <w:numPr>
                <w:ilvl w:val="0"/>
                <w:numId w:val="30"/>
              </w:numPr>
              <w:jc w:val="both"/>
              <w:rPr>
                <w:rFonts w:cs="Times New Roman"/>
                <w:szCs w:val="24"/>
              </w:rPr>
            </w:pPr>
            <w:r>
              <w:rPr>
                <w:rFonts w:cs="Times New Roman"/>
                <w:szCs w:val="24"/>
              </w:rPr>
              <w:t>253212. Dotacijos savivaldybėms turtui įsigyti.</w:t>
            </w:r>
          </w:p>
          <w:p>
            <w:pPr>
              <w:pStyle w:val="Normal"/>
              <w:jc w:val="both"/>
              <w:rPr>
                <w:rFonts w:cs="Times New Roman"/>
                <w:szCs w:val="24"/>
              </w:rPr>
            </w:pPr>
            <w:r>
              <w:rPr>
                <w:rFonts w:cs="Times New Roman"/>
                <w:szCs w:val="24"/>
              </w:rPr>
              <w:t>1) – 4), 9) eilučių duomenys turi būti perkelti iš susijusios sąmatos vykdymo ataskaitos.</w:t>
            </w:r>
          </w:p>
          <w:p>
            <w:pPr>
              <w:pStyle w:val="Normal"/>
              <w:spacing w:before="40" w:after="160"/>
              <w:jc w:val="both"/>
              <w:rPr>
                <w:rFonts w:cs="Times New Roman"/>
                <w:szCs w:val="24"/>
              </w:rPr>
            </w:pPr>
            <w:r>
              <w:rPr>
                <w:rFonts w:cs="Times New Roman"/>
                <w:szCs w:val="24"/>
              </w:rPr>
              <w:t>5) – 8) eilučių duomenys turi būti pildomi rankiniu būdu.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Darbo užmokesčio sąmatos vykdymo ataskaitos eilutei turi būti galima nurodyti šiuos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Įvykdyta.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sugeneruoti darbo užmokesčio sąmatos vykdymo ataskaitą .pdf, .xlsx, .docx formatu. Dokumento forma turi būti parengta galiojančių teisės aktų pagrindu ir suderinta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keisti darbo užmokesčio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darbo užmokesčio sąmatų vykdymo ataskaitas.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peržiūrėti darbo užmokesčio sąmatų vykdymo ataskaitų sąrašą su srities, metų, įvykdyta, savivaldybės ir kitais su Perkančiąja organizacija suderintais duomenimis.</w:t>
            </w:r>
          </w:p>
        </w:tc>
      </w:tr>
    </w:tbl>
    <w:p>
      <w:pPr>
        <w:pStyle w:val="Heading3"/>
        <w:numPr>
          <w:ilvl w:val="2"/>
          <w:numId w:val="35"/>
        </w:numPr>
        <w:rPr/>
      </w:pPr>
      <w:bookmarkStart w:id="77" w:name="_Toc191546222"/>
      <w:r>
        <w:rPr/>
        <w:t>Reikalavimai duomenų mainams</w:t>
      </w:r>
      <w:bookmarkEnd w:id="77"/>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Turi būti sukurta integracinė sąsaja iš VDVIS gauti šiuos gyventojų skaičiaus duomenis </w:t>
            </w:r>
            <w:bookmarkStart w:id="78" w:name="_Hlk177992445"/>
            <w:r>
              <w:rPr>
                <w:rFonts w:cs="Times New Roman"/>
              </w:rPr>
              <w:t xml:space="preserve">metų pradžiai </w:t>
            </w:r>
            <w:bookmarkEnd w:id="78"/>
            <w:r>
              <w:rPr>
                <w:rFonts w:cs="Times New Roman"/>
              </w:rPr>
              <w:t>pagal savivaldybę:</w:t>
            </w:r>
          </w:p>
          <w:p>
            <w:pPr>
              <w:pStyle w:val="ListParagraph"/>
              <w:numPr>
                <w:ilvl w:val="0"/>
                <w:numId w:val="22"/>
              </w:numPr>
              <w:jc w:val="both"/>
              <w:rPr>
                <w:rFonts w:cs="Times New Roman"/>
                <w:bCs/>
                <w:szCs w:val="24"/>
              </w:rPr>
            </w:pPr>
            <w:r>
              <w:rPr>
                <w:rFonts w:cs="Times New Roman"/>
                <w:bCs/>
                <w:szCs w:val="24"/>
              </w:rPr>
              <w:t>Gyventojų skaičius kaime.</w:t>
            </w:r>
          </w:p>
          <w:p>
            <w:pPr>
              <w:pStyle w:val="ListParagraph"/>
              <w:numPr>
                <w:ilvl w:val="0"/>
                <w:numId w:val="22"/>
              </w:numPr>
              <w:jc w:val="both"/>
              <w:rPr>
                <w:rFonts w:cs="Times New Roman"/>
                <w:bCs/>
                <w:szCs w:val="24"/>
              </w:rPr>
            </w:pPr>
            <w:r>
              <w:rPr>
                <w:rFonts w:cs="Times New Roman"/>
                <w:bCs/>
                <w:szCs w:val="24"/>
              </w:rPr>
              <w:t>Gyventojų skaičius mieste.</w:t>
            </w:r>
          </w:p>
          <w:p>
            <w:pPr>
              <w:pStyle w:val="Normal"/>
              <w:spacing w:before="40" w:after="160"/>
              <w:jc w:val="both"/>
              <w:rPr>
                <w:rFonts w:cs="Times New Roman"/>
                <w:bCs/>
                <w:szCs w:val="24"/>
              </w:rPr>
            </w:pPr>
            <w:r>
              <w:rPr>
                <w:rFonts w:cs="Times New Roman"/>
                <w:bCs/>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Turi būti sukurta integracinė sąsaja iš VDVIS gauti šiuos patvirtintus mokinių skaičiaus duomenis pagal savivaldybę:</w:t>
            </w:r>
          </w:p>
          <w:p>
            <w:pPr>
              <w:pStyle w:val="ListParagraph"/>
              <w:numPr>
                <w:ilvl w:val="0"/>
                <w:numId w:val="23"/>
              </w:numPr>
              <w:jc w:val="both"/>
              <w:rPr>
                <w:rFonts w:cs="Times New Roman"/>
                <w:szCs w:val="24"/>
              </w:rPr>
            </w:pPr>
            <w:r>
              <w:rPr>
                <w:rFonts w:cs="Times New Roman"/>
                <w:szCs w:val="24"/>
              </w:rPr>
              <w:t>Mokinių skaičius kaime.</w:t>
            </w:r>
          </w:p>
          <w:p>
            <w:pPr>
              <w:pStyle w:val="ListParagraph"/>
              <w:numPr>
                <w:ilvl w:val="0"/>
                <w:numId w:val="23"/>
              </w:numPr>
              <w:jc w:val="both"/>
              <w:rPr>
                <w:rFonts w:cs="Times New Roman"/>
                <w:szCs w:val="24"/>
              </w:rPr>
            </w:pPr>
            <w:r>
              <w:rPr>
                <w:rFonts w:cs="Times New Roman"/>
                <w:szCs w:val="24"/>
              </w:rPr>
              <w:t>Mokinių skaičius mieste.</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naudojami tik duomenys apie mokinius, kurie mokosi mokymo įstaigose:</w:t>
            </w:r>
          </w:p>
          <w:p>
            <w:pPr>
              <w:pStyle w:val="ListParagraph"/>
              <w:numPr>
                <w:ilvl w:val="0"/>
                <w:numId w:val="26"/>
              </w:numPr>
              <w:jc w:val="both"/>
              <w:rPr>
                <w:rFonts w:cs="Times New Roman"/>
                <w:szCs w:val="24"/>
              </w:rPr>
            </w:pPr>
            <w:r>
              <w:rPr>
                <w:rFonts w:cs="Times New Roman"/>
                <w:szCs w:val="24"/>
              </w:rPr>
              <w:t>Ikimokyklinio ugdymo mokykla.</w:t>
            </w:r>
          </w:p>
          <w:p>
            <w:pPr>
              <w:pStyle w:val="ListParagraph"/>
              <w:numPr>
                <w:ilvl w:val="0"/>
                <w:numId w:val="26"/>
              </w:numPr>
              <w:jc w:val="both"/>
              <w:rPr>
                <w:rFonts w:cs="Times New Roman"/>
                <w:szCs w:val="24"/>
              </w:rPr>
            </w:pPr>
            <w:r>
              <w:rPr>
                <w:rFonts w:cs="Times New Roman"/>
                <w:szCs w:val="24"/>
              </w:rPr>
              <w:t>Bendrojo ugdymo mokykla.</w:t>
            </w:r>
          </w:p>
          <w:p>
            <w:pPr>
              <w:pStyle w:val="ListParagraph"/>
              <w:numPr>
                <w:ilvl w:val="0"/>
                <w:numId w:val="26"/>
              </w:numPr>
              <w:jc w:val="both"/>
              <w:rPr>
                <w:rFonts w:cs="Times New Roman"/>
                <w:szCs w:val="24"/>
              </w:rPr>
            </w:pPr>
            <w:r>
              <w:rPr>
                <w:rFonts w:cs="Times New Roman"/>
                <w:szCs w:val="24"/>
              </w:rPr>
              <w:t>Profesinio mokymo įstaiga.</w:t>
            </w:r>
          </w:p>
          <w:p>
            <w:pPr>
              <w:pStyle w:val="Normal"/>
              <w:jc w:val="both"/>
              <w:rPr>
                <w:rFonts w:cs="Times New Roman"/>
                <w:szCs w:val="24"/>
              </w:rPr>
            </w:pPr>
            <w:r>
              <w:rPr>
                <w:rFonts w:cs="Times New Roman"/>
                <w:szCs w:val="24"/>
              </w:rPr>
              <w:t>pagal programas:</w:t>
            </w:r>
          </w:p>
          <w:p>
            <w:pPr>
              <w:pStyle w:val="ListParagraph"/>
              <w:numPr>
                <w:ilvl w:val="0"/>
                <w:numId w:val="27"/>
              </w:numPr>
              <w:jc w:val="both"/>
              <w:rPr>
                <w:rFonts w:cs="Times New Roman"/>
                <w:szCs w:val="24"/>
              </w:rPr>
            </w:pPr>
            <w:r>
              <w:rPr>
                <w:rFonts w:cs="Times New Roman"/>
                <w:szCs w:val="24"/>
              </w:rPr>
              <w:t>Ikimokyklinio ugdymo programa.</w:t>
            </w:r>
          </w:p>
          <w:p>
            <w:pPr>
              <w:pStyle w:val="ListParagraph"/>
              <w:numPr>
                <w:ilvl w:val="0"/>
                <w:numId w:val="27"/>
              </w:numPr>
              <w:jc w:val="both"/>
              <w:rPr>
                <w:rFonts w:cs="Times New Roman"/>
                <w:szCs w:val="24"/>
              </w:rPr>
            </w:pPr>
            <w:r>
              <w:rPr>
                <w:rFonts w:cs="Times New Roman"/>
                <w:szCs w:val="24"/>
              </w:rPr>
              <w:t>Priešmokyklinio ugdymo programa.</w:t>
            </w:r>
          </w:p>
          <w:p>
            <w:pPr>
              <w:pStyle w:val="ListParagraph"/>
              <w:numPr>
                <w:ilvl w:val="0"/>
                <w:numId w:val="27"/>
              </w:numPr>
              <w:jc w:val="both"/>
              <w:rPr>
                <w:rFonts w:cs="Times New Roman"/>
                <w:szCs w:val="24"/>
              </w:rPr>
            </w:pPr>
            <w:r>
              <w:rPr>
                <w:rFonts w:cs="Times New Roman"/>
                <w:szCs w:val="24"/>
              </w:rPr>
              <w:t>Pradinis mokymas.</w:t>
            </w:r>
          </w:p>
          <w:p>
            <w:pPr>
              <w:pStyle w:val="ListParagraph"/>
              <w:numPr>
                <w:ilvl w:val="0"/>
                <w:numId w:val="27"/>
              </w:numPr>
              <w:jc w:val="both"/>
              <w:rPr>
                <w:rFonts w:cs="Times New Roman"/>
                <w:szCs w:val="24"/>
              </w:rPr>
            </w:pPr>
            <w:r>
              <w:rPr>
                <w:rFonts w:cs="Times New Roman"/>
                <w:szCs w:val="24"/>
              </w:rPr>
              <w:t>Pagrindinis mokymas.</w:t>
            </w:r>
          </w:p>
          <w:p>
            <w:pPr>
              <w:pStyle w:val="ListParagraph"/>
              <w:numPr>
                <w:ilvl w:val="0"/>
                <w:numId w:val="27"/>
              </w:numPr>
              <w:jc w:val="both"/>
              <w:rPr>
                <w:rFonts w:cs="Times New Roman"/>
                <w:szCs w:val="24"/>
              </w:rPr>
            </w:pPr>
            <w:r>
              <w:rPr>
                <w:rFonts w:cs="Times New Roman"/>
                <w:szCs w:val="24"/>
              </w:rPr>
              <w:t>Vidurinis mokymas.</w:t>
            </w:r>
          </w:p>
          <w:p>
            <w:pPr>
              <w:pStyle w:val="Normal"/>
              <w:spacing w:before="40" w:after="160"/>
              <w:jc w:val="both"/>
              <w:rPr>
                <w:rFonts w:cs="Times New Roman"/>
                <w:szCs w:val="24"/>
              </w:rPr>
            </w:pPr>
            <w:bookmarkStart w:id="79" w:name="_Hlk177994951"/>
            <w:r>
              <w:rPr>
                <w:rFonts w:cs="Times New Roman"/>
                <w:szCs w:val="24"/>
              </w:rPr>
              <w:t>Turi būti galimybė sistemoje pakeisti importuojamų duomenų imtį pagal mokymo įstaigas ir programas.</w:t>
            </w:r>
            <w:bookmarkEnd w:id="79"/>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sukurta integracinė sąsaja iš VDVIS gauti šiuos patvirtintus mokymo įstaigų skaičiaus duomenis pagal savivaldybę:</w:t>
            </w:r>
          </w:p>
          <w:p>
            <w:pPr>
              <w:pStyle w:val="ListParagraph"/>
              <w:numPr>
                <w:ilvl w:val="0"/>
                <w:numId w:val="24"/>
              </w:numPr>
              <w:jc w:val="both"/>
              <w:rPr>
                <w:rFonts w:cs="Times New Roman"/>
                <w:szCs w:val="24"/>
              </w:rPr>
            </w:pPr>
            <w:r>
              <w:rPr>
                <w:rFonts w:cs="Times New Roman"/>
                <w:szCs w:val="24"/>
              </w:rPr>
              <w:t>Mokymo įstaigų skaičius kaime.</w:t>
            </w:r>
          </w:p>
          <w:p>
            <w:pPr>
              <w:pStyle w:val="ListParagraph"/>
              <w:numPr>
                <w:ilvl w:val="0"/>
                <w:numId w:val="24"/>
              </w:numPr>
              <w:jc w:val="both"/>
              <w:rPr>
                <w:rFonts w:cs="Times New Roman"/>
                <w:szCs w:val="24"/>
              </w:rPr>
            </w:pPr>
            <w:r>
              <w:rPr>
                <w:rFonts w:cs="Times New Roman"/>
                <w:szCs w:val="24"/>
              </w:rPr>
              <w:t>Mokymo įstaigų skaičius mieste.</w:t>
            </w:r>
          </w:p>
          <w:p>
            <w:pPr>
              <w:pStyle w:val="Normal"/>
              <w:spacing w:before="40" w:after="160"/>
              <w:jc w:val="both"/>
              <w:rPr>
                <w:rFonts w:cs="Times New Roman"/>
                <w:szCs w:val="24"/>
              </w:rPr>
            </w:pPr>
            <w:r>
              <w:rPr>
                <w:rFonts w:cs="Times New Roman"/>
                <w:szCs w:val="24"/>
              </w:rPr>
              <w:t>Pastaba. Šio reikalavimo įgyvendinimo poreikis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1"/>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naudojami tik duomenys apie šias mokymo įstaigas:</w:t>
            </w:r>
          </w:p>
          <w:p>
            <w:pPr>
              <w:pStyle w:val="ListParagraph"/>
              <w:numPr>
                <w:ilvl w:val="0"/>
                <w:numId w:val="28"/>
              </w:numPr>
              <w:jc w:val="both"/>
              <w:rPr>
                <w:rFonts w:cs="Times New Roman"/>
                <w:szCs w:val="24"/>
              </w:rPr>
            </w:pPr>
            <w:r>
              <w:rPr>
                <w:rFonts w:cs="Times New Roman"/>
                <w:szCs w:val="24"/>
              </w:rPr>
              <w:t>Ikimokyklinio ugdymo mokykla.</w:t>
            </w:r>
          </w:p>
          <w:p>
            <w:pPr>
              <w:pStyle w:val="ListParagraph"/>
              <w:numPr>
                <w:ilvl w:val="0"/>
                <w:numId w:val="28"/>
              </w:numPr>
              <w:jc w:val="both"/>
              <w:rPr>
                <w:rFonts w:cs="Times New Roman"/>
                <w:szCs w:val="24"/>
              </w:rPr>
            </w:pPr>
            <w:r>
              <w:rPr>
                <w:rFonts w:cs="Times New Roman"/>
                <w:szCs w:val="24"/>
              </w:rPr>
              <w:t>Bendrojo ugdymo mokykla.</w:t>
            </w:r>
          </w:p>
          <w:p>
            <w:pPr>
              <w:pStyle w:val="ListParagraph"/>
              <w:numPr>
                <w:ilvl w:val="0"/>
                <w:numId w:val="28"/>
              </w:numPr>
              <w:jc w:val="both"/>
              <w:rPr>
                <w:rFonts w:cs="Times New Roman"/>
                <w:szCs w:val="24"/>
              </w:rPr>
            </w:pPr>
            <w:r>
              <w:rPr>
                <w:rFonts w:cs="Times New Roman"/>
                <w:szCs w:val="24"/>
              </w:rPr>
              <w:t>Profesinio mokymo įstaiga.</w:t>
            </w:r>
          </w:p>
          <w:p>
            <w:pPr>
              <w:pStyle w:val="Normal"/>
              <w:spacing w:before="40" w:after="160"/>
              <w:jc w:val="both"/>
              <w:rPr>
                <w:rFonts w:cs="Times New Roman"/>
                <w:szCs w:val="24"/>
              </w:rPr>
            </w:pPr>
            <w:r>
              <w:rPr>
                <w:rFonts w:cs="Times New Roman"/>
                <w:szCs w:val="24"/>
              </w:rPr>
              <w:t>Turi būti galimybė sistemoje pakeisti importuojamų duomenų imtį pagal mokymo įstaigas.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7"/>
              </w:numPr>
              <w:spacing w:lineRule="auto" w:line="240" w:before="0" w:after="0"/>
              <w:jc w:val="both"/>
              <w:rPr>
                <w:rFonts w:eastAsia="Calibri" w:cs="Times New Roman"/>
                <w:kern w:val="0"/>
                <w:szCs w:val="24"/>
                <w:lang w:eastAsia="en-US"/>
              </w:rPr>
            </w:pPr>
            <w:r>
              <w:rPr>
                <w:rFonts w:eastAsia="Calibri" w:cs="Times New Roman"/>
                <w:kern w:val="0"/>
                <w:szCs w:val="24"/>
                <w:lang w:eastAsia="en-US"/>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naudojamos standartinės VDVIS pateikiamos integracinės sąsajos.</w:t>
            </w:r>
          </w:p>
        </w:tc>
      </w:tr>
    </w:tbl>
    <w:p>
      <w:pPr>
        <w:pStyle w:val="Heading3"/>
        <w:numPr>
          <w:ilvl w:val="2"/>
          <w:numId w:val="35"/>
        </w:numPr>
        <w:rPr/>
      </w:pPr>
      <w:bookmarkStart w:id="80" w:name="_Toc191546223"/>
      <w:bookmarkStart w:id="81" w:name="_Ref177972320"/>
      <w:r>
        <w:rPr/>
        <w:t>Reikalavimai ataskaitoms</w:t>
      </w:r>
      <w:bookmarkEnd w:id="80"/>
      <w:bookmarkEnd w:id="81"/>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29"/>
        <w:gridCol w:w="28"/>
        <w:gridCol w:w="7472"/>
      </w:tblGrid>
      <w:tr>
        <w:trPr>
          <w:tblHeader w:val="true"/>
        </w:trPr>
        <w:tc>
          <w:tcPr>
            <w:tcW w:w="1657" w:type="dxa"/>
            <w:gridSpan w:val="2"/>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 xml:space="preserve">Ataskaitų formos turi būti parengtos galiojančių teisės aktų pagrindu ir suderintos su Perkančiąja organizacija.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pasirinkti generuojamų ataskaitų formatą (*.pdf, *.docx, *.xlsx).</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„Savivaldybių Valstybinių (valstybės perduotų savivaldybėms) visuomenės sveikatos priežiūros funkcijų vykdymo bazinių visuomenės sveikatos priežiūros paslaugų planai ir ataskaitos“ ( </w:t>
            </w:r>
            <w:hyperlink r:id="rId31">
              <w:r>
                <w:rPr>
                  <w:rStyle w:val="Hyperlink"/>
                  <w:rFonts w:cs="Times New Roman"/>
                  <w:szCs w:val="24"/>
                </w:rPr>
                <w:t>https://e-seimas.lrs.lt/rs/legalact/TAD/7b5b0592ca8411ed9b3c9397e1236c2a/</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visų vertinimo kriterijų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duomenims pateikti, grupuojant atskirose kortelėse pagal vertinimo kriterijus (HI lygis).</w:t>
            </w:r>
            <w:bookmarkStart w:id="82" w:name="_Hlk177966164"/>
            <w:bookmarkEnd w:id="82"/>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paslaugų vertinimo kriterijų duomenų pagrindu, suteikiant galimybę įvesti trūkstamus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bookmarkStart w:id="83" w:name="_Hlk177966507"/>
            <w:r>
              <w:rPr>
                <w:rFonts w:cs="Times New Roman"/>
                <w:szCs w:val="24"/>
              </w:rPr>
              <w:t>Ataskaitą turi būti galima generuoti vertinimo kriterijų sąraše. Jei sąrašas atfiltruotas, tai IT sprendimas turi eksportuoti tik atrinktus duomenis.</w:t>
            </w:r>
            <w:bookmarkEnd w:id="83"/>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„Sveikatos stiprinimo programos, skirtos širdies ir kraujagyslių ligų bei cukrinio diabeto profilaktikai, ataskaitos“ (</w:t>
            </w:r>
            <w:hyperlink r:id="rId32">
              <w:r>
                <w:rPr>
                  <w:rStyle w:val="Hyperlink"/>
                  <w:rFonts w:cs="Times New Roman"/>
                  <w:szCs w:val="24"/>
                </w:rPr>
                <w:t>https://e-seimas.lrs.lt/portal/legalAct/lt/ TAD/b574b900481b11e4ba2fc5e712e90cd4/asr</w:t>
              </w:r>
            </w:hyperlink>
            <w:r>
              <w:rPr>
                <w:rFonts w:cs="Times New Roman"/>
                <w:szCs w:val="24"/>
              </w:rPr>
              <w:t xml:space="preserve">, </w:t>
            </w:r>
            <w:hyperlink r:id="rId33">
              <w:r>
                <w:rPr>
                  <w:rStyle w:val="Hyperlink"/>
                  <w:rFonts w:cs="Times New Roman"/>
                  <w:szCs w:val="24"/>
                </w:rPr>
                <w:t>https://www.hi.lt/uploads/Sveikatos%20stiprinimo%20centras/ SKL%20ataskaitos/ SSP_SKL_CD_2023_duomenu _suvestine_pagal_savivaldybes.pdf</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visų analitinių požymių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Ataskaita turi būti generuojama </w:t>
            </w:r>
            <w:bookmarkStart w:id="84" w:name="_Hlk177972953"/>
            <w:r>
              <w:rPr>
                <w:rFonts w:cs="Times New Roman"/>
                <w:szCs w:val="24"/>
              </w:rPr>
              <w:t xml:space="preserve">paslaugos duomenų ir </w:t>
            </w:r>
            <w:bookmarkEnd w:id="84"/>
            <w:r>
              <w:rPr>
                <w:rFonts w:cs="Times New Roman"/>
                <w:szCs w:val="24"/>
              </w:rPr>
              <w:t>paslaugos gavėjų analitinių požymių duomenų pagrindu, suteikiant galimybę įvesti trūkstamus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paslaugos gavėjų analitinių požymių sąraše. Jei sąrašas atfiltruotas, tai IT sprendimas turi eksportuoti tik atrinktus duomenis.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„Sveikatos stiprinimo programų ikimokyklinio ir mokyklinio amžiaus vaikų tėvams </w:t>
            </w:r>
            <w:r>
              <w:rPr>
                <w:rFonts w:cs="Times New Roman"/>
                <w:bCs/>
                <w:szCs w:val="24"/>
              </w:rPr>
              <w:t>„Neįtikėtini metai“</w:t>
            </w:r>
            <w:r>
              <w:rPr>
                <w:rFonts w:cs="Times New Roman"/>
                <w:szCs w:val="24"/>
              </w:rPr>
              <w:t xml:space="preserve"> ataskaitos“ (</w:t>
            </w:r>
            <w:hyperlink r:id="rId34">
              <w:r>
                <w:rPr>
                  <w:rStyle w:val="Hyperlink"/>
                  <w:rFonts w:cs="Times New Roman"/>
                  <w:szCs w:val="24"/>
                </w:rPr>
                <w:t>https://e-seimas.lrs.lt/portal/legalAct/lt/TAD/ a1d90172017c11eebc0bd16e3a4d3b97</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grupuojant pagal savivaldybes ir programą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„Socialinio recepto iniciatyvos vykdymo suvestinė ataskaita“ (</w:t>
            </w:r>
            <w:hyperlink r:id="rId35">
              <w:r>
                <w:rPr>
                  <w:rStyle w:val="Hyperlink"/>
                  <w:rFonts w:cs="Times New Roman"/>
                  <w:szCs w:val="24"/>
                </w:rPr>
                <w:t>https://e-seimas.lrs.lt/portal/legalAct/lt/ TAD/65d00fa18d3911edb55e9d42c1579bdf</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„Psichologinės gerovės ir </w:t>
            </w:r>
            <w:r>
              <w:rPr>
                <w:rFonts w:cs="Times New Roman"/>
                <w:bCs/>
                <w:szCs w:val="24"/>
              </w:rPr>
              <w:t>psichikos sveikatos</w:t>
            </w:r>
            <w:r>
              <w:rPr>
                <w:rFonts w:cs="Times New Roman"/>
                <w:szCs w:val="24"/>
              </w:rPr>
              <w:t xml:space="preserve"> stiprinimo paslaugų teikimo suvestinė ataskaita“ (</w:t>
            </w:r>
            <w:hyperlink r:id="rId36">
              <w:r>
                <w:rPr>
                  <w:rStyle w:val="Hyperlink"/>
                  <w:rFonts w:cs="Times New Roman"/>
                  <w:szCs w:val="24"/>
                </w:rPr>
                <w:t>https://e-seimas.lrs.lt/portal/legalAct/lt/TAD/ 979a1521d57c11ea8f4ce1816a470b26?jfwid=-yj5zr00nx</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„Mokyklų darbuotojų kompetencijos </w:t>
            </w:r>
            <w:r>
              <w:rPr>
                <w:rFonts w:cs="Times New Roman"/>
                <w:bCs/>
                <w:szCs w:val="24"/>
              </w:rPr>
              <w:t>psichikos sveikatos</w:t>
            </w:r>
            <w:r>
              <w:rPr>
                <w:rFonts w:cs="Times New Roman"/>
                <w:szCs w:val="24"/>
              </w:rPr>
              <w:t xml:space="preserve"> srityje didinimo suvestinė ataskaita“ (</w:t>
            </w:r>
            <w:hyperlink r:id="rId37">
              <w:r>
                <w:rPr>
                  <w:rStyle w:val="Hyperlink"/>
                  <w:rFonts w:cs="Times New Roman"/>
                  <w:szCs w:val="24"/>
                </w:rPr>
                <w:t>https://e-seimas.lrs.lt/portal/legalAct/lt/ TAD/0285e6606cde11e99684a7f33a9827ac/asr</w:t>
              </w:r>
            </w:hyperlink>
            <w:r>
              <w:rPr>
                <w:rFonts w:cs="Times New Roman"/>
                <w:szCs w:val="24"/>
              </w:rPr>
              <w:t xml:space="preserve">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realizuota galimybė sugeneruoti dvi ataskaitas „Bazinių </w:t>
            </w:r>
            <w:r>
              <w:rPr>
                <w:rFonts w:cs="Times New Roman"/>
                <w:bCs/>
                <w:szCs w:val="24"/>
              </w:rPr>
              <w:t xml:space="preserve">savižudybių </w:t>
            </w:r>
            <w:r>
              <w:rPr>
                <w:rFonts w:cs="Times New Roman"/>
                <w:szCs w:val="24"/>
              </w:rPr>
              <w:t>prevencijos mokymų vertinimo ataskaitos“ (</w:t>
            </w:r>
            <w:hyperlink r:id="rId38">
              <w:r>
                <w:rPr>
                  <w:rStyle w:val="Hyperlink"/>
                  <w:rFonts w:cs="Times New Roman"/>
                  <w:szCs w:val="24"/>
                </w:rPr>
                <w:t>https://e-seimas.lrs.lt/portal/legalAct/lt/TAD/f422f501129911ebbedbd456d2fb030d</w:t>
              </w:r>
            </w:hyperlink>
            <w:r>
              <w:rPr>
                <w:rFonts w:cs="Times New Roman"/>
                <w:szCs w:val="24"/>
              </w:rPr>
              <w:t>).</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sugeneruoti dvi ataskaitas „</w:t>
            </w:r>
            <w:r>
              <w:rPr>
                <w:rFonts w:cs="Times New Roman"/>
                <w:bCs/>
                <w:szCs w:val="24"/>
              </w:rPr>
              <w:t xml:space="preserve">Savižudybių </w:t>
            </w:r>
            <w:r>
              <w:rPr>
                <w:rFonts w:cs="Times New Roman"/>
                <w:szCs w:val="24"/>
              </w:rPr>
              <w:t>prevencijos koordinavimo savivaldybėse metų veiklos ataskaita ir planas“ (</w:t>
            </w:r>
            <w:hyperlink r:id="rId39">
              <w:r>
                <w:rPr>
                  <w:rStyle w:val="Hyperlink"/>
                  <w:rFonts w:cs="Times New Roman"/>
                  <w:szCs w:val="24"/>
                </w:rPr>
                <w:t>https://e-seimas.lrs.lt/portal/legalAct/lt/ TAD/25689912b18611ee8172b53a675305ab</w:t>
              </w:r>
            </w:hyperlink>
            <w:r>
              <w:rPr>
                <w:rFonts w:cs="Times New Roman"/>
                <w:szCs w:val="24"/>
              </w:rPr>
              <w:t xml:space="preserve">, </w:t>
            </w:r>
            <w:hyperlink r:id="rId40">
              <w:r>
                <w:rPr>
                  <w:rStyle w:val="Hyperlink"/>
                  <w:rFonts w:cs="Times New Roman"/>
                  <w:szCs w:val="24"/>
                </w:rPr>
                <w:t>https://www.hi.lt/uploads/Products/product_389/ Saviudybi_prevencijos_koordinavimo_savivaldybse _TA_gairs_(2024)_.pdf</w:t>
              </w:r>
            </w:hyperlink>
            <w:r>
              <w:rPr>
                <w:rFonts w:cs="Times New Roman"/>
                <w:szCs w:val="24"/>
              </w:rPr>
              <w:t xml:space="preserve"> ).</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Viena ataskaita turi būti skirta vienos savivaldybės visiems ataskaitos duomenims pateikti (VSB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Kita ataskaita turi būti skirta visų savivaldybių ataskaitos duomenims pateikti (HI lygis).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Ataskaita turi būti generuojama paslaugos duomenų ir paslaugoje užpildytų papildomos ataskaitos duomenų rinkinio duomenų pagrindu.</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Ataskaitą turi būti galima generuoti susijusios paslaugos peržiūroje ir ataskaitų sąraše. Turi būti galimybė filtruoti eksportuojamus duomenis pagal su Perkančiąja organizacija suderintus laukus.</w:t>
            </w:r>
          </w:p>
        </w:tc>
      </w:tr>
      <w:tr>
        <w:trPr/>
        <w:tc>
          <w:tcPr>
            <w:tcW w:w="1629"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500"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numatyta ir į pasiūlymo kaštus įskaičiuota galimybė pagal Perkančiosios organizacijos poreikius įgyvendinti dvi papildomas techninėje specifikacijoje neįvardintas ataskaitas, kurių reikalavimai būtų apibrėžiami įgyvendinant IT sprendimą.</w:t>
            </w:r>
          </w:p>
        </w:tc>
      </w:tr>
    </w:tbl>
    <w:p>
      <w:pPr>
        <w:pStyle w:val="Heading3"/>
        <w:numPr>
          <w:ilvl w:val="2"/>
          <w:numId w:val="35"/>
        </w:numPr>
        <w:rPr/>
      </w:pPr>
      <w:bookmarkStart w:id="85" w:name="_Toc191546224"/>
      <w:r>
        <w:rPr/>
        <w:t>Reikalavimai administravimui</w:t>
      </w:r>
      <w:bookmarkEnd w:id="85"/>
    </w:p>
    <w:p>
      <w:pPr>
        <w:pStyle w:val="Heading3"/>
        <w:numPr>
          <w:ilvl w:val="3"/>
          <w:numId w:val="35"/>
        </w:numPr>
        <w:rPr/>
      </w:pPr>
      <w:bookmarkStart w:id="86" w:name="_Toc191546225"/>
      <w:r>
        <w:rPr/>
        <w:t>Reikalavimai naudotojų ir jų teisių valdymui</w:t>
      </w:r>
      <w:bookmarkEnd w:id="8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bookmarkStart w:id="87" w:name="_Hlk177460447"/>
            <w:bookmarkEnd w:id="87"/>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naudotojams prisijungti per el. valdžios vartus (VIISP).</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valdyti naudotojus: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Kurti ir keisti naudotojų duomenis bei kiekvienam iš jų priskirti vieną arba daugiau rolių.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Šalinti naudotojus.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Keisti naudotojų būseną (aktyvus / neaktyvus).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cs="Times New Roman"/>
              </w:rPr>
              <w:t>Naudotojams, kurie turi VSB administratoriaus, VSB darbuotojo, VSB paslaugų vykdytojo, paslaugų uždarytojo roles, turi būti privaloma priskirti vieną ar daugiau savivaldybių.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realizuota galimybė valdyti naudotojų roles: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Kurti ir keisti naudotojų roles bei priskirti joms teises.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Šalinti naudotojų roles.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sukonfigūruotos šios naudotojų rolės: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Administratorius. Rolei turi būti suteiktos šios teisės:</w:t>
            </w:r>
          </w:p>
          <w:p>
            <w:pPr>
              <w:pStyle w:val="ListParagraph"/>
              <w:numPr>
                <w:ilvl w:val="0"/>
                <w:numId w:val="8"/>
              </w:numPr>
              <w:jc w:val="both"/>
              <w:rPr>
                <w:rFonts w:cs="Times New Roman"/>
                <w:szCs w:val="24"/>
              </w:rPr>
            </w:pPr>
            <w:bookmarkStart w:id="88" w:name="_Hlk177627193"/>
            <w:r>
              <w:rPr>
                <w:rFonts w:cs="Times New Roman"/>
                <w:szCs w:val="24"/>
              </w:rPr>
              <w:t>Peržiūrėti, kurti, keisti ir šalinti naudotojų roles.</w:t>
            </w:r>
          </w:p>
          <w:p>
            <w:pPr>
              <w:pStyle w:val="ListParagraph"/>
              <w:numPr>
                <w:ilvl w:val="0"/>
                <w:numId w:val="8"/>
              </w:numPr>
              <w:jc w:val="both"/>
              <w:rPr>
                <w:rFonts w:cs="Times New Roman"/>
                <w:szCs w:val="24"/>
              </w:rPr>
            </w:pPr>
            <w:bookmarkStart w:id="89" w:name="_Hlk177627193"/>
            <w:r>
              <w:rPr>
                <w:rFonts w:cs="Times New Roman"/>
                <w:szCs w:val="24"/>
              </w:rPr>
              <w:t>Peržiūrėti, kurti, keisti ir šalinti naudotojus</w:t>
            </w:r>
            <w:bookmarkEnd w:id="89"/>
            <w:r>
              <w:rPr>
                <w:rFonts w:cs="Times New Roman"/>
                <w:szCs w:val="24"/>
              </w:rPr>
              <w:t>.</w:t>
            </w:r>
          </w:p>
          <w:p>
            <w:pPr>
              <w:pStyle w:val="ListParagraph"/>
              <w:numPr>
                <w:ilvl w:val="0"/>
                <w:numId w:val="8"/>
              </w:numPr>
              <w:jc w:val="both"/>
              <w:rPr>
                <w:rFonts w:cs="Times New Roman"/>
                <w:szCs w:val="24"/>
              </w:rPr>
            </w:pPr>
            <w:bookmarkStart w:id="90" w:name="_Hlk177631912"/>
            <w:r>
              <w:rPr>
                <w:rFonts w:cs="Times New Roman"/>
                <w:szCs w:val="24"/>
              </w:rPr>
              <w:t>Keisti naudotojų būseną (aktyvus / neaktyvus).</w:t>
            </w:r>
            <w:bookmarkEnd w:id="90"/>
          </w:p>
          <w:p>
            <w:pPr>
              <w:pStyle w:val="ListParagraph"/>
              <w:numPr>
                <w:ilvl w:val="0"/>
                <w:numId w:val="8"/>
              </w:numPr>
              <w:spacing w:before="40" w:after="160"/>
              <w:contextualSpacing/>
              <w:jc w:val="both"/>
              <w:rPr>
                <w:rFonts w:cs="Times New Roman"/>
                <w:szCs w:val="24"/>
              </w:rPr>
            </w:pPr>
            <w:r>
              <w:rPr>
                <w:rFonts w:cs="Times New Roman"/>
                <w:szCs w:val="24"/>
              </w:rPr>
              <w:t>Kurti, keisti ir šalinti žinynų reikšmių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HI darbuotojas. Rolei turi būti suteiktos šios teisės:</w:t>
            </w:r>
          </w:p>
          <w:p>
            <w:pPr>
              <w:pStyle w:val="ListParagraph"/>
              <w:numPr>
                <w:ilvl w:val="0"/>
                <w:numId w:val="9"/>
              </w:numPr>
              <w:jc w:val="both"/>
              <w:rPr>
                <w:rFonts w:cs="Times New Roman"/>
                <w:szCs w:val="24"/>
              </w:rPr>
            </w:pPr>
            <w:r>
              <w:rPr>
                <w:rFonts w:cs="Times New Roman"/>
                <w:szCs w:val="24"/>
              </w:rPr>
              <w:t>Peržiūrėti, kurti, keisti, šalinti ir archyvuoti bazines paslaugas.</w:t>
            </w:r>
          </w:p>
          <w:p>
            <w:pPr>
              <w:pStyle w:val="ListParagraph"/>
              <w:numPr>
                <w:ilvl w:val="0"/>
                <w:numId w:val="9"/>
              </w:numPr>
              <w:jc w:val="both"/>
              <w:rPr>
                <w:rFonts w:cs="Times New Roman"/>
                <w:szCs w:val="24"/>
              </w:rPr>
            </w:pPr>
            <w:r>
              <w:rPr>
                <w:rFonts w:cs="Times New Roman"/>
                <w:szCs w:val="24"/>
              </w:rPr>
              <w:t>Tvirtinti bazines paslaugas.</w:t>
            </w:r>
          </w:p>
          <w:p>
            <w:pPr>
              <w:pStyle w:val="ListParagraph"/>
              <w:numPr>
                <w:ilvl w:val="0"/>
                <w:numId w:val="9"/>
              </w:numPr>
              <w:jc w:val="both"/>
              <w:rPr>
                <w:rFonts w:cs="Times New Roman"/>
                <w:szCs w:val="24"/>
              </w:rPr>
            </w:pPr>
            <w:r>
              <w:rPr>
                <w:rFonts w:cs="Times New Roman"/>
                <w:szCs w:val="24"/>
              </w:rPr>
              <w:t>Atšaukti bazinių paslaugų patvirtinimą.</w:t>
            </w:r>
          </w:p>
          <w:p>
            <w:pPr>
              <w:pStyle w:val="ListParagraph"/>
              <w:numPr>
                <w:ilvl w:val="0"/>
                <w:numId w:val="9"/>
              </w:numPr>
              <w:jc w:val="both"/>
              <w:rPr>
                <w:rFonts w:cs="Times New Roman"/>
                <w:szCs w:val="24"/>
              </w:rPr>
            </w:pPr>
            <w:bookmarkStart w:id="91" w:name="_Hlk177801935"/>
            <w:r>
              <w:rPr>
                <w:rFonts w:cs="Times New Roman"/>
                <w:szCs w:val="24"/>
              </w:rPr>
              <w:t>Peržiūrėti paslaugas.</w:t>
            </w:r>
            <w:bookmarkEnd w:id="91"/>
          </w:p>
          <w:p>
            <w:pPr>
              <w:pStyle w:val="ListParagraph"/>
              <w:numPr>
                <w:ilvl w:val="0"/>
                <w:numId w:val="9"/>
              </w:numPr>
              <w:jc w:val="both"/>
              <w:rPr>
                <w:rFonts w:cs="Times New Roman"/>
                <w:szCs w:val="24"/>
              </w:rPr>
            </w:pPr>
            <w:r>
              <w:rPr>
                <w:rFonts w:cs="Times New Roman"/>
                <w:szCs w:val="24"/>
              </w:rPr>
              <w:t>Peržiūrėti paslaugų vertinimo kriterijus.</w:t>
            </w:r>
          </w:p>
          <w:p>
            <w:pPr>
              <w:pStyle w:val="ListParagraph"/>
              <w:numPr>
                <w:ilvl w:val="0"/>
                <w:numId w:val="9"/>
              </w:numPr>
              <w:jc w:val="both"/>
              <w:rPr>
                <w:rFonts w:cs="Times New Roman"/>
                <w:szCs w:val="24"/>
              </w:rPr>
            </w:pPr>
            <w:r>
              <w:rPr>
                <w:rFonts w:cs="Times New Roman"/>
                <w:szCs w:val="24"/>
              </w:rPr>
              <w:t>Peržiūrėti SRDI.</w:t>
            </w:r>
          </w:p>
          <w:p>
            <w:pPr>
              <w:pStyle w:val="ListParagraph"/>
              <w:numPr>
                <w:ilvl w:val="0"/>
                <w:numId w:val="9"/>
              </w:numPr>
              <w:jc w:val="both"/>
              <w:rPr>
                <w:rFonts w:cs="Times New Roman"/>
                <w:szCs w:val="24"/>
              </w:rPr>
            </w:pPr>
            <w:r>
              <w:rPr>
                <w:rFonts w:cs="Times New Roman"/>
                <w:szCs w:val="24"/>
              </w:rPr>
              <w:t>Peržiūrėti paslaugos gavėjų analitinius požymius.</w:t>
            </w:r>
          </w:p>
          <w:p>
            <w:pPr>
              <w:pStyle w:val="ListParagraph"/>
              <w:numPr>
                <w:ilvl w:val="0"/>
                <w:numId w:val="9"/>
              </w:numPr>
              <w:jc w:val="both"/>
              <w:rPr>
                <w:rFonts w:cs="Times New Roman"/>
                <w:szCs w:val="24"/>
              </w:rPr>
            </w:pPr>
            <w:r>
              <w:rPr>
                <w:rFonts w:cs="Times New Roman"/>
                <w:szCs w:val="24"/>
              </w:rPr>
              <w:t>Peržiūrėti paslaugos papildomos ataskaitos duomenų rinkinio duomenis.</w:t>
            </w:r>
          </w:p>
          <w:p>
            <w:pPr>
              <w:pStyle w:val="ListParagraph"/>
              <w:numPr>
                <w:ilvl w:val="0"/>
                <w:numId w:val="9"/>
              </w:numPr>
              <w:jc w:val="both"/>
              <w:rPr>
                <w:rFonts w:cs="Times New Roman"/>
                <w:szCs w:val="24"/>
              </w:rPr>
            </w:pPr>
            <w:r>
              <w:rPr>
                <w:rFonts w:cs="Times New Roman"/>
                <w:szCs w:val="24"/>
              </w:rPr>
              <w:t>Peržiūrėti ataskaitas.</w:t>
            </w:r>
          </w:p>
          <w:p>
            <w:pPr>
              <w:pStyle w:val="ListParagraph"/>
              <w:numPr>
                <w:ilvl w:val="0"/>
                <w:numId w:val="9"/>
              </w:numPr>
              <w:jc w:val="both"/>
              <w:rPr>
                <w:rFonts w:cs="Times New Roman"/>
                <w:szCs w:val="24"/>
              </w:rPr>
            </w:pPr>
            <w:r>
              <w:rPr>
                <w:rFonts w:cs="Times New Roman"/>
                <w:szCs w:val="24"/>
              </w:rPr>
              <w:t>Generuoti ataskaitas ataskaitų sąraše.</w:t>
            </w:r>
          </w:p>
          <w:p>
            <w:pPr>
              <w:pStyle w:val="ListParagraph"/>
              <w:numPr>
                <w:ilvl w:val="0"/>
                <w:numId w:val="9"/>
              </w:numPr>
              <w:jc w:val="both"/>
              <w:rPr>
                <w:rFonts w:cs="Times New Roman"/>
                <w:szCs w:val="24"/>
              </w:rPr>
            </w:pPr>
            <w:r>
              <w:rPr>
                <w:rFonts w:cs="Times New Roman"/>
                <w:szCs w:val="24"/>
              </w:rPr>
              <w:t>Peržiūrėti, kurti, keisti ir šalinti paskirstymo bazes.</w:t>
            </w:r>
          </w:p>
          <w:p>
            <w:pPr>
              <w:pStyle w:val="ListParagraph"/>
              <w:numPr>
                <w:ilvl w:val="0"/>
                <w:numId w:val="9"/>
              </w:numPr>
              <w:spacing w:before="40" w:after="160"/>
              <w:contextualSpacing/>
              <w:jc w:val="both"/>
              <w:rPr>
                <w:rFonts w:cs="Times New Roman"/>
                <w:szCs w:val="24"/>
              </w:rPr>
            </w:pPr>
            <w:r>
              <w:rPr>
                <w:rFonts w:cs="Times New Roman"/>
                <w:szCs w:val="24"/>
              </w:rPr>
              <w:t>Peržiūrėti, kurti, keisti ir šalinti paskirstymo normas.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Kriterijų derintojas. Rolei turi būti suteiktos šios teisės:</w:t>
            </w:r>
          </w:p>
          <w:p>
            <w:pPr>
              <w:pStyle w:val="ListParagraph"/>
              <w:numPr>
                <w:ilvl w:val="0"/>
                <w:numId w:val="13"/>
              </w:numPr>
              <w:jc w:val="both"/>
              <w:rPr>
                <w:rFonts w:cs="Times New Roman"/>
                <w:szCs w:val="24"/>
              </w:rPr>
            </w:pPr>
            <w:r>
              <w:rPr>
                <w:rFonts w:cs="Times New Roman"/>
                <w:szCs w:val="24"/>
              </w:rPr>
              <w:t xml:space="preserve">Peržiūrėti </w:t>
            </w:r>
            <w:bookmarkStart w:id="92" w:name="_Hlk177801044"/>
            <w:r>
              <w:rPr>
                <w:rFonts w:cs="Times New Roman"/>
                <w:szCs w:val="24"/>
              </w:rPr>
              <w:t>paslaugų vertinimo kriterijus</w:t>
            </w:r>
            <w:bookmarkEnd w:id="92"/>
            <w:r>
              <w:rPr>
                <w:rFonts w:cs="Times New Roman"/>
                <w:szCs w:val="24"/>
              </w:rPr>
              <w:t>.</w:t>
            </w:r>
          </w:p>
          <w:p>
            <w:pPr>
              <w:pStyle w:val="ListParagraph"/>
              <w:numPr>
                <w:ilvl w:val="0"/>
                <w:numId w:val="13"/>
              </w:numPr>
              <w:jc w:val="both"/>
              <w:rPr>
                <w:rFonts w:cs="Times New Roman"/>
                <w:szCs w:val="24"/>
              </w:rPr>
            </w:pPr>
            <w:r>
              <w:rPr>
                <w:rFonts w:cs="Times New Roman"/>
                <w:szCs w:val="24"/>
              </w:rPr>
              <w:t>Pažymėti paslaugų vertinimo kriterijus suderintais.</w:t>
            </w:r>
          </w:p>
          <w:p>
            <w:pPr>
              <w:pStyle w:val="ListParagraph"/>
              <w:numPr>
                <w:ilvl w:val="0"/>
                <w:numId w:val="13"/>
              </w:numPr>
              <w:spacing w:before="40" w:after="160"/>
              <w:contextualSpacing/>
              <w:jc w:val="both"/>
              <w:rPr>
                <w:rFonts w:cs="Times New Roman"/>
                <w:szCs w:val="24"/>
              </w:rPr>
            </w:pPr>
            <w:r>
              <w:rPr>
                <w:rFonts w:cs="Times New Roman"/>
                <w:szCs w:val="24"/>
              </w:rPr>
              <w:t>Atmesti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Kriterijų tvirtintojas. Rolei turi būti suteiktos šios teisės:</w:t>
            </w:r>
          </w:p>
          <w:p>
            <w:pPr>
              <w:pStyle w:val="ListParagraph"/>
              <w:numPr>
                <w:ilvl w:val="0"/>
                <w:numId w:val="14"/>
              </w:numPr>
              <w:jc w:val="both"/>
              <w:rPr>
                <w:rFonts w:cs="Times New Roman"/>
                <w:szCs w:val="24"/>
              </w:rPr>
            </w:pPr>
            <w:r>
              <w:rPr>
                <w:rFonts w:cs="Times New Roman"/>
                <w:szCs w:val="24"/>
              </w:rPr>
              <w:t>Peržiūrėti paslaugų vertinimo kriterijus.</w:t>
            </w:r>
          </w:p>
          <w:p>
            <w:pPr>
              <w:pStyle w:val="ListParagraph"/>
              <w:numPr>
                <w:ilvl w:val="0"/>
                <w:numId w:val="14"/>
              </w:numPr>
              <w:jc w:val="both"/>
              <w:rPr>
                <w:rFonts w:cs="Times New Roman"/>
                <w:szCs w:val="24"/>
              </w:rPr>
            </w:pPr>
            <w:r>
              <w:rPr>
                <w:rFonts w:cs="Times New Roman"/>
                <w:szCs w:val="24"/>
              </w:rPr>
              <w:t>Tvirtinti paslaugų vertinimo kriterijus.</w:t>
            </w:r>
          </w:p>
          <w:p>
            <w:pPr>
              <w:pStyle w:val="ListParagraph"/>
              <w:numPr>
                <w:ilvl w:val="0"/>
                <w:numId w:val="14"/>
              </w:numPr>
              <w:spacing w:before="40" w:after="160"/>
              <w:contextualSpacing/>
              <w:jc w:val="both"/>
              <w:rPr>
                <w:rFonts w:cs="Times New Roman"/>
                <w:szCs w:val="24"/>
              </w:rPr>
            </w:pPr>
            <w:r>
              <w:rPr>
                <w:rFonts w:cs="Times New Roman"/>
                <w:szCs w:val="24"/>
              </w:rPr>
              <w:t>Atmesti paslaugų vertinimo kriterijus.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VSB administratorius. Rolei turi būti suteiktos šios teisės:</w:t>
            </w:r>
          </w:p>
          <w:p>
            <w:pPr>
              <w:pStyle w:val="ListParagraph"/>
              <w:numPr>
                <w:ilvl w:val="0"/>
                <w:numId w:val="10"/>
              </w:numPr>
              <w:jc w:val="both"/>
              <w:rPr>
                <w:rFonts w:cs="Times New Roman"/>
                <w:szCs w:val="24"/>
              </w:rPr>
            </w:pPr>
            <w:r>
              <w:rPr>
                <w:rFonts w:cs="Times New Roman"/>
                <w:szCs w:val="24"/>
              </w:rPr>
              <w:t>Peržiūrėti, kurti, keisti ir šalinti VSB administratoriui priskirtų savivaldybių naudotojus, kurių rolės: VSB darbuotojas, VSB paslaugos vykdytojas, Paslaugų uždarytojas.</w:t>
            </w:r>
          </w:p>
          <w:p>
            <w:pPr>
              <w:pStyle w:val="Normal"/>
              <w:spacing w:before="40" w:after="160"/>
              <w:jc w:val="both"/>
              <w:rPr>
                <w:rFonts w:cs="Times New Roman"/>
                <w:szCs w:val="24"/>
              </w:rPr>
            </w:pPr>
            <w:r>
              <w:rPr>
                <w:rFonts w:cs="Times New Roman"/>
                <w:szCs w:val="24"/>
              </w:rPr>
              <w:t>Jei VSB administratoriui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VSB darbuotojas. </w:t>
            </w:r>
            <w:bookmarkStart w:id="93" w:name="_Hlk177629885"/>
            <w:r>
              <w:rPr>
                <w:rFonts w:cs="Times New Roman"/>
                <w:szCs w:val="24"/>
              </w:rPr>
              <w:t>Rolei turi būti suteiktos šios teisės:</w:t>
            </w:r>
            <w:bookmarkEnd w:id="93"/>
          </w:p>
          <w:p>
            <w:pPr>
              <w:pStyle w:val="ListParagraph"/>
              <w:numPr>
                <w:ilvl w:val="0"/>
                <w:numId w:val="11"/>
              </w:numPr>
              <w:jc w:val="both"/>
              <w:rPr>
                <w:rFonts w:cs="Times New Roman"/>
                <w:szCs w:val="24"/>
              </w:rPr>
            </w:pPr>
            <w:bookmarkStart w:id="94" w:name="_Hlk178256933"/>
            <w:r>
              <w:rPr>
                <w:rFonts w:cs="Times New Roman"/>
                <w:szCs w:val="24"/>
              </w:rPr>
              <w:t>Peržiūrėti bazines paslaugas.</w:t>
            </w:r>
          </w:p>
          <w:p>
            <w:pPr>
              <w:pStyle w:val="ListParagraph"/>
              <w:numPr>
                <w:ilvl w:val="0"/>
                <w:numId w:val="11"/>
              </w:numPr>
              <w:jc w:val="both"/>
              <w:rPr>
                <w:rFonts w:cs="Times New Roman"/>
                <w:szCs w:val="24"/>
              </w:rPr>
            </w:pPr>
            <w:r>
              <w:rPr>
                <w:rFonts w:cs="Times New Roman"/>
                <w:szCs w:val="24"/>
              </w:rPr>
              <w:t>Peržiūrėti, kurti, keisti, šalinti ir archyvuoti naudotojui priskirtų savivaldybių paslaugas.</w:t>
            </w:r>
          </w:p>
          <w:p>
            <w:pPr>
              <w:pStyle w:val="ListParagraph"/>
              <w:numPr>
                <w:ilvl w:val="0"/>
                <w:numId w:val="11"/>
              </w:numPr>
              <w:jc w:val="both"/>
              <w:rPr>
                <w:rFonts w:cs="Times New Roman"/>
                <w:szCs w:val="24"/>
              </w:rPr>
            </w:pPr>
            <w:bookmarkStart w:id="95" w:name="_Hlk178082003"/>
            <w:r>
              <w:rPr>
                <w:rFonts w:cs="Times New Roman"/>
                <w:szCs w:val="24"/>
              </w:rPr>
              <w:t xml:space="preserve">Peržiūrėti </w:t>
            </w:r>
            <w:bookmarkStart w:id="96" w:name="_Hlk178068315"/>
            <w:r>
              <w:rPr>
                <w:rFonts w:cs="Times New Roman"/>
                <w:szCs w:val="24"/>
              </w:rPr>
              <w:t xml:space="preserve">ir pildyti naudotojui priskirtų savivaldybių </w:t>
            </w:r>
            <w:bookmarkEnd w:id="96"/>
            <w:r>
              <w:rPr>
                <w:rFonts w:cs="Times New Roman"/>
                <w:szCs w:val="24"/>
              </w:rPr>
              <w:t>paslaugų vertinimo kriterijų duomenis.</w:t>
            </w:r>
            <w:bookmarkEnd w:id="95"/>
          </w:p>
          <w:p>
            <w:pPr>
              <w:pStyle w:val="ListParagraph"/>
              <w:numPr>
                <w:ilvl w:val="0"/>
                <w:numId w:val="11"/>
              </w:numPr>
              <w:jc w:val="both"/>
              <w:rPr>
                <w:rFonts w:cs="Times New Roman"/>
                <w:szCs w:val="24"/>
              </w:rPr>
            </w:pPr>
            <w:r>
              <w:rPr>
                <w:rFonts w:cs="Times New Roman"/>
                <w:szCs w:val="24"/>
              </w:rPr>
              <w:t>Pateikti paslaugų vertinimo kriterijus patvirtinimui.</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paslaugų SRDI.</w:t>
            </w:r>
          </w:p>
          <w:p>
            <w:pPr>
              <w:pStyle w:val="ListParagraph"/>
              <w:numPr>
                <w:ilvl w:val="0"/>
                <w:numId w:val="11"/>
              </w:numPr>
              <w:jc w:val="both"/>
              <w:rPr>
                <w:rFonts w:cs="Times New Roman"/>
                <w:szCs w:val="24"/>
              </w:rPr>
            </w:pPr>
            <w:r>
              <w:rPr>
                <w:rFonts w:cs="Times New Roman"/>
                <w:szCs w:val="24"/>
              </w:rPr>
              <w:t>Peržiūrėti ir pildyti paslaugos gavėjų analitinius požymius.</w:t>
            </w:r>
          </w:p>
          <w:p>
            <w:pPr>
              <w:pStyle w:val="ListParagraph"/>
              <w:numPr>
                <w:ilvl w:val="0"/>
                <w:numId w:val="11"/>
              </w:numPr>
              <w:jc w:val="both"/>
              <w:rPr>
                <w:rFonts w:cs="Times New Roman"/>
                <w:szCs w:val="24"/>
              </w:rPr>
            </w:pPr>
            <w:r>
              <w:rPr>
                <w:rFonts w:cs="Times New Roman"/>
                <w:szCs w:val="24"/>
              </w:rPr>
              <w:t>Peržiūrėti ir pildyti paslaugos papildomos ataskaitos duomenų rinkinio duomenis.</w:t>
            </w:r>
          </w:p>
          <w:p>
            <w:pPr>
              <w:pStyle w:val="ListParagraph"/>
              <w:numPr>
                <w:ilvl w:val="0"/>
                <w:numId w:val="11"/>
              </w:numPr>
              <w:jc w:val="both"/>
              <w:rPr>
                <w:rFonts w:cs="Times New Roman"/>
                <w:szCs w:val="24"/>
              </w:rPr>
            </w:pPr>
            <w:r>
              <w:rPr>
                <w:rFonts w:cs="Times New Roman"/>
                <w:szCs w:val="24"/>
              </w:rPr>
              <w:t>Peržiūrėti ataskaitas.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programų sąmatų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darbo užmokesčio sąmatų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sąmatų vykdymo ataskaitų duomenis.</w:t>
            </w:r>
          </w:p>
          <w:p>
            <w:pPr>
              <w:pStyle w:val="ListParagraph"/>
              <w:numPr>
                <w:ilvl w:val="0"/>
                <w:numId w:val="11"/>
              </w:numPr>
              <w:jc w:val="both"/>
              <w:rPr>
                <w:rFonts w:cs="Times New Roman"/>
                <w:szCs w:val="24"/>
              </w:rPr>
            </w:pPr>
            <w:r>
              <w:rPr>
                <w:rFonts w:cs="Times New Roman"/>
                <w:szCs w:val="24"/>
              </w:rPr>
              <w:t>Peržiūrėti, kurti, keisti ir šalinti naudotojui priskirtų savivaldybių darbo užmokesčio sąmatų vykdymo ataskaitų duomenis.</w:t>
            </w:r>
          </w:p>
          <w:p>
            <w:pPr>
              <w:pStyle w:val="Normal"/>
              <w:spacing w:before="40" w:after="160"/>
              <w:jc w:val="both"/>
              <w:rPr>
                <w:rFonts w:cs="Times New Roman"/>
                <w:szCs w:val="24"/>
              </w:rPr>
            </w:pPr>
            <w:bookmarkStart w:id="97" w:name="_Hlk178256933"/>
            <w:r>
              <w:rPr>
                <w:rFonts w:cs="Times New Roman"/>
                <w:szCs w:val="24"/>
              </w:rPr>
              <w:t>Jei VSB darbuotojui priskirtos kelios savivaldybės, tai prisijungus prie IT sprendimo, jam turi būti privaloma nurodyti savivaldybę, su kurios duomenimis jis atliks veiksmus.</w:t>
            </w:r>
            <w:bookmarkEnd w:id="97"/>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VSB paslaugos vykdytojas. Rolei turi būti suteiktos šios teisės:</w:t>
            </w:r>
          </w:p>
          <w:p>
            <w:pPr>
              <w:pStyle w:val="ListParagraph"/>
              <w:numPr>
                <w:ilvl w:val="0"/>
                <w:numId w:val="37"/>
              </w:numPr>
              <w:jc w:val="both"/>
              <w:rPr>
                <w:rFonts w:cs="Times New Roman"/>
                <w:szCs w:val="24"/>
              </w:rPr>
            </w:pPr>
            <w:r>
              <w:rPr>
                <w:rFonts w:cs="Times New Roman"/>
                <w:szCs w:val="24"/>
              </w:rPr>
              <w:t>Peržiūrėti bazines paslaugas.</w:t>
            </w:r>
          </w:p>
          <w:p>
            <w:pPr>
              <w:pStyle w:val="ListParagraph"/>
              <w:numPr>
                <w:ilvl w:val="0"/>
                <w:numId w:val="37"/>
              </w:numPr>
              <w:jc w:val="both"/>
              <w:rPr>
                <w:rFonts w:cs="Times New Roman"/>
                <w:szCs w:val="24"/>
              </w:rPr>
            </w:pPr>
            <w:r>
              <w:rPr>
                <w:rFonts w:cs="Times New Roman"/>
                <w:szCs w:val="24"/>
              </w:rPr>
              <w:t>Peržiūrėti naudotojui priskirtų savivaldybių paslaugas.</w:t>
            </w:r>
          </w:p>
          <w:p>
            <w:pPr>
              <w:pStyle w:val="ListParagraph"/>
              <w:numPr>
                <w:ilvl w:val="0"/>
                <w:numId w:val="37"/>
              </w:numPr>
              <w:jc w:val="both"/>
              <w:rPr>
                <w:rFonts w:cs="Times New Roman"/>
                <w:szCs w:val="24"/>
              </w:rPr>
            </w:pPr>
            <w:r>
              <w:rPr>
                <w:rFonts w:cs="Times New Roman"/>
                <w:szCs w:val="24"/>
              </w:rPr>
              <w:t>Peržiūrėti ir pildyti naudotojui priskirtų savivaldybių paslaugų vertinimo kriterijų duomenis.</w:t>
            </w:r>
          </w:p>
          <w:p>
            <w:pPr>
              <w:pStyle w:val="ListParagraph"/>
              <w:numPr>
                <w:ilvl w:val="0"/>
                <w:numId w:val="37"/>
              </w:numPr>
              <w:jc w:val="both"/>
              <w:rPr>
                <w:rFonts w:cs="Times New Roman"/>
                <w:szCs w:val="24"/>
              </w:rPr>
            </w:pPr>
            <w:r>
              <w:rPr>
                <w:rFonts w:cs="Times New Roman"/>
                <w:szCs w:val="24"/>
              </w:rPr>
              <w:t>Pateikti paslaugų vertinimo kriterijus patvirtinimui.</w:t>
            </w:r>
          </w:p>
          <w:p>
            <w:pPr>
              <w:pStyle w:val="ListParagraph"/>
              <w:numPr>
                <w:ilvl w:val="0"/>
                <w:numId w:val="37"/>
              </w:numPr>
              <w:jc w:val="both"/>
              <w:rPr>
                <w:rFonts w:cs="Times New Roman"/>
                <w:szCs w:val="24"/>
              </w:rPr>
            </w:pPr>
            <w:r>
              <w:rPr>
                <w:rFonts w:cs="Times New Roman"/>
                <w:szCs w:val="24"/>
              </w:rPr>
              <w:t>Peržiūrėti, kurti, keisti ir šalinti naudotojui priskirtų savivaldybių paslaugų SRDI.</w:t>
            </w:r>
          </w:p>
          <w:p>
            <w:pPr>
              <w:pStyle w:val="ListParagraph"/>
              <w:numPr>
                <w:ilvl w:val="0"/>
                <w:numId w:val="37"/>
              </w:numPr>
              <w:jc w:val="both"/>
              <w:rPr>
                <w:rFonts w:cs="Times New Roman"/>
                <w:szCs w:val="24"/>
              </w:rPr>
            </w:pPr>
            <w:r>
              <w:rPr>
                <w:rFonts w:cs="Times New Roman"/>
                <w:szCs w:val="24"/>
              </w:rPr>
              <w:t>Peržiūrėti ir pildyti paslaugos gavėjų analitinius požymius.</w:t>
            </w:r>
          </w:p>
          <w:p>
            <w:pPr>
              <w:pStyle w:val="ListParagraph"/>
              <w:numPr>
                <w:ilvl w:val="0"/>
                <w:numId w:val="37"/>
              </w:numPr>
              <w:jc w:val="both"/>
              <w:rPr>
                <w:rFonts w:cs="Times New Roman"/>
                <w:szCs w:val="24"/>
              </w:rPr>
            </w:pPr>
            <w:r>
              <w:rPr>
                <w:rFonts w:cs="Times New Roman"/>
                <w:szCs w:val="24"/>
              </w:rPr>
              <w:t>Peržiūrėti ir pildyti paslaugos papildomos ataskaitos duomenų rinkinio duomenis.</w:t>
            </w:r>
          </w:p>
          <w:p>
            <w:pPr>
              <w:pStyle w:val="ListParagraph"/>
              <w:numPr>
                <w:ilvl w:val="0"/>
                <w:numId w:val="37"/>
              </w:numPr>
              <w:jc w:val="both"/>
              <w:rPr>
                <w:rFonts w:cs="Times New Roman"/>
                <w:szCs w:val="24"/>
              </w:rPr>
            </w:pPr>
            <w:r>
              <w:rPr>
                <w:rFonts w:cs="Times New Roman"/>
                <w:szCs w:val="24"/>
              </w:rPr>
              <w:t>Peržiūrėti ataskaitas.</w:t>
            </w:r>
          </w:p>
          <w:p>
            <w:pPr>
              <w:pStyle w:val="Normal"/>
              <w:spacing w:before="40" w:after="160"/>
              <w:jc w:val="both"/>
              <w:rPr>
                <w:rFonts w:cs="Times New Roman"/>
                <w:szCs w:val="24"/>
              </w:rPr>
            </w:pPr>
            <w:r>
              <w:rPr>
                <w:rFonts w:cs="Times New Roman"/>
                <w:szCs w:val="24"/>
              </w:rPr>
              <w:t>Jei VSB paslaugos vykdytojui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Paslaugų uždarytojas. Rolei turi būti suteiktos šios teisės:</w:t>
            </w:r>
          </w:p>
          <w:p>
            <w:pPr>
              <w:pStyle w:val="ListParagraph"/>
              <w:numPr>
                <w:ilvl w:val="0"/>
                <w:numId w:val="15"/>
              </w:numPr>
              <w:jc w:val="both"/>
              <w:rPr>
                <w:rFonts w:cs="Times New Roman"/>
                <w:szCs w:val="24"/>
              </w:rPr>
            </w:pPr>
            <w:r>
              <w:rPr>
                <w:rFonts w:cs="Times New Roman"/>
                <w:szCs w:val="24"/>
              </w:rPr>
              <w:t>Peržiūrėti naudotojui priskirtų savivaldybių paslaugas.</w:t>
            </w:r>
          </w:p>
          <w:p>
            <w:pPr>
              <w:pStyle w:val="ListParagraph"/>
              <w:numPr>
                <w:ilvl w:val="0"/>
                <w:numId w:val="15"/>
              </w:numPr>
              <w:jc w:val="both"/>
              <w:rPr>
                <w:rFonts w:cs="Times New Roman"/>
                <w:szCs w:val="24"/>
              </w:rPr>
            </w:pPr>
            <w:r>
              <w:rPr>
                <w:rFonts w:cs="Times New Roman"/>
                <w:szCs w:val="24"/>
              </w:rPr>
              <w:t>Pažymėti paslaugas suteiktomis.</w:t>
            </w:r>
          </w:p>
          <w:p>
            <w:pPr>
              <w:pStyle w:val="ListParagraph"/>
              <w:numPr>
                <w:ilvl w:val="0"/>
                <w:numId w:val="15"/>
              </w:numPr>
              <w:jc w:val="both"/>
              <w:rPr>
                <w:rFonts w:cs="Times New Roman"/>
                <w:szCs w:val="24"/>
              </w:rPr>
            </w:pPr>
            <w:r>
              <w:rPr>
                <w:rFonts w:cs="Times New Roman"/>
                <w:szCs w:val="24"/>
              </w:rPr>
              <w:t>Atšaukti paslaugų pažymėjimą suteiktomis.</w:t>
            </w:r>
          </w:p>
          <w:p>
            <w:pPr>
              <w:pStyle w:val="Normal"/>
              <w:spacing w:before="40" w:after="160"/>
              <w:jc w:val="both"/>
              <w:rPr>
                <w:rFonts w:cs="Times New Roman"/>
                <w:szCs w:val="24"/>
              </w:rPr>
            </w:pPr>
            <w:r>
              <w:rPr>
                <w:rFonts w:cs="Times New Roman"/>
                <w:szCs w:val="24"/>
              </w:rPr>
              <w:t>Jei Paslaugų uždarytojui priskirtos kelios savivaldybės, tai prisijungus prie IT sprendimo, jam turi būti privaloma nurodyti savivaldybę, su kurios duomenimis jis atliks veiksmus.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SAM darbuotojas. Rolei turi būti suteiktos šios teisės:</w:t>
            </w:r>
          </w:p>
          <w:p>
            <w:pPr>
              <w:pStyle w:val="ListParagraph"/>
              <w:numPr>
                <w:ilvl w:val="0"/>
                <w:numId w:val="12"/>
              </w:numPr>
              <w:jc w:val="both"/>
              <w:rPr>
                <w:rFonts w:cs="Times New Roman"/>
                <w:szCs w:val="24"/>
              </w:rPr>
            </w:pPr>
            <w:r>
              <w:rPr>
                <w:rFonts w:cs="Times New Roman"/>
                <w:szCs w:val="24"/>
              </w:rPr>
              <w:t>Peržiūrėti paskirstymo bazes.</w:t>
            </w:r>
          </w:p>
          <w:p>
            <w:pPr>
              <w:pStyle w:val="ListParagraph"/>
              <w:numPr>
                <w:ilvl w:val="0"/>
                <w:numId w:val="12"/>
              </w:numPr>
              <w:jc w:val="both"/>
              <w:rPr>
                <w:rFonts w:cs="Times New Roman"/>
                <w:szCs w:val="24"/>
              </w:rPr>
            </w:pPr>
            <w:r>
              <w:rPr>
                <w:rFonts w:cs="Times New Roman"/>
                <w:szCs w:val="24"/>
              </w:rPr>
              <w:t>Peržiūrėti paskirstymo normas.</w:t>
            </w:r>
          </w:p>
          <w:p>
            <w:pPr>
              <w:pStyle w:val="ListParagraph"/>
              <w:numPr>
                <w:ilvl w:val="0"/>
                <w:numId w:val="12"/>
              </w:numPr>
              <w:jc w:val="both"/>
              <w:rPr>
                <w:rFonts w:cs="Times New Roman"/>
                <w:szCs w:val="24"/>
              </w:rPr>
            </w:pPr>
            <w:r>
              <w:rPr>
                <w:rFonts w:cs="Times New Roman"/>
                <w:szCs w:val="24"/>
              </w:rPr>
              <w:t>Peržiūrėti, kurti, keisti ir šalinti dotacijų paskirstymus.</w:t>
            </w:r>
          </w:p>
          <w:p>
            <w:pPr>
              <w:pStyle w:val="ListParagraph"/>
              <w:numPr>
                <w:ilvl w:val="0"/>
                <w:numId w:val="12"/>
              </w:numPr>
              <w:jc w:val="both"/>
              <w:rPr>
                <w:rFonts w:cs="Times New Roman"/>
                <w:szCs w:val="24"/>
              </w:rPr>
            </w:pPr>
            <w:r>
              <w:rPr>
                <w:rFonts w:cs="Times New Roman"/>
                <w:szCs w:val="24"/>
              </w:rPr>
              <w:t>Peržiūrėti programų sąmatų duomenis.</w:t>
            </w:r>
          </w:p>
          <w:p>
            <w:pPr>
              <w:pStyle w:val="ListParagraph"/>
              <w:numPr>
                <w:ilvl w:val="0"/>
                <w:numId w:val="12"/>
              </w:numPr>
              <w:jc w:val="both"/>
              <w:rPr>
                <w:rFonts w:cs="Times New Roman"/>
                <w:szCs w:val="24"/>
              </w:rPr>
            </w:pPr>
            <w:r>
              <w:rPr>
                <w:rFonts w:cs="Times New Roman"/>
                <w:szCs w:val="24"/>
              </w:rPr>
              <w:t>Peržiūrėti darbo užmokesčio sąmatų duomenis.</w:t>
            </w:r>
          </w:p>
          <w:p>
            <w:pPr>
              <w:pStyle w:val="ListParagraph"/>
              <w:numPr>
                <w:ilvl w:val="0"/>
                <w:numId w:val="12"/>
              </w:numPr>
              <w:jc w:val="both"/>
              <w:rPr>
                <w:rFonts w:cs="Times New Roman"/>
                <w:szCs w:val="24"/>
              </w:rPr>
            </w:pPr>
            <w:r>
              <w:rPr>
                <w:rFonts w:cs="Times New Roman"/>
                <w:szCs w:val="24"/>
              </w:rPr>
              <w:t>Peržiūrėti sąmatų vykdymo ataskaitų duomenis.</w:t>
            </w:r>
          </w:p>
          <w:p>
            <w:pPr>
              <w:pStyle w:val="ListParagraph"/>
              <w:numPr>
                <w:ilvl w:val="0"/>
                <w:numId w:val="12"/>
              </w:numPr>
              <w:spacing w:before="40" w:after="160"/>
              <w:contextualSpacing/>
              <w:jc w:val="both"/>
              <w:rPr>
                <w:rFonts w:cs="Times New Roman"/>
                <w:szCs w:val="24"/>
              </w:rPr>
            </w:pPr>
            <w:r>
              <w:rPr>
                <w:rFonts w:cs="Times New Roman"/>
                <w:szCs w:val="24"/>
              </w:rPr>
              <w:t>Peržiūrėti darbo užmokesčio sąmatų vykdymo ataskaitų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1"/>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Neregistruoti naudotojai turi galėti pasiekti tik viešą IT sprendime skelbiamą turinį, aktualijas, naujienas, išskyrus galimybę peržiūrėti Paslaugos vertinimo kriterijų sąrašą (</w:t>
            </w:r>
            <w:r>
              <w:rPr>
                <w:rFonts w:cs="Times New Roman"/>
                <w:szCs w:val="24"/>
              </w:rPr>
              <w:fldChar w:fldCharType="begin"/>
            </w:r>
            <w:r>
              <w:rPr>
                <w:szCs w:val="24"/>
                <w:rFonts w:cs="Times New Roman"/>
              </w:rPr>
              <w:instrText xml:space="preserve"> REF _Ref178597739 \r \h </w:instrText>
            </w:r>
            <w:r>
              <w:rPr>
                <w:szCs w:val="24"/>
                <w:rFonts w:cs="Times New Roman"/>
              </w:rPr>
              <w:fldChar w:fldCharType="separate"/>
            </w:r>
            <w:r>
              <w:rPr>
                <w:szCs w:val="24"/>
                <w:rFonts w:cs="Times New Roman"/>
              </w:rPr>
              <w:t>FR-38</w:t>
            </w:r>
            <w:r>
              <w:rPr>
                <w:szCs w:val="24"/>
                <w:rFonts w:cs="Times New Roman"/>
              </w:rPr>
              <w:fldChar w:fldCharType="end"/>
            </w:r>
            <w:r>
              <w:rPr>
                <w:rFonts w:cs="Times New Roman"/>
                <w:szCs w:val="24"/>
              </w:rPr>
              <w:t>).</w:t>
            </w:r>
          </w:p>
        </w:tc>
      </w:tr>
    </w:tbl>
    <w:p>
      <w:pPr>
        <w:pStyle w:val="Heading3"/>
        <w:numPr>
          <w:ilvl w:val="3"/>
          <w:numId w:val="35"/>
        </w:numPr>
        <w:rPr/>
      </w:pPr>
      <w:bookmarkStart w:id="98" w:name="_Hlk177460447"/>
      <w:bookmarkStart w:id="99" w:name="_Toc191546226"/>
      <w:bookmarkEnd w:id="98"/>
      <w:r>
        <w:rPr/>
        <w:t>Reikalavimai žinynų tvarkymui</w:t>
      </w:r>
      <w:bookmarkEnd w:id="9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 xml:space="preserve">Turi būti įgyvendinti šie žinynai: Sritys, Visuomenės sveikatos paslaugų grupės, Savivaldybės, Tikslinės grupės, Bazinių paslaugų rūšys, Paslaugų vertinimo kriterijai, Paslaugos gavėjų analitiniai požymiai, Analitinių požymių duomenys, </w:t>
            </w:r>
            <w:bookmarkStart w:id="100" w:name="_Hlk177890703"/>
            <w:r>
              <w:rPr>
                <w:rFonts w:cs="Times New Roman"/>
                <w:szCs w:val="24"/>
              </w:rPr>
              <w:t>Papildomų ataskaitų duomenys</w:t>
            </w:r>
            <w:bookmarkEnd w:id="100"/>
            <w:r>
              <w:rPr>
                <w:rFonts w:cs="Times New Roman"/>
                <w:szCs w:val="24"/>
              </w:rPr>
              <w:t>, Paskirstymo bazės tipas, Išlaidų ekonominės klasifikacijos straipsniai ir kiti su Perkančiąja organizacija suderinti žinynai (esant poreikiui).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žinynams nurodyti su jais susijusių naudotojo sąsajos laukų pavadinimus.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kurti ir keisti žinynų reikšmes. Kuriamų žinynų reikšmių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kiekvienai žinynų reikšmei nustatyti galiojimo laikotarpį.</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pašalinti žinynų reikšmes, kurios neturi susijusių duomenų.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Visų žinynų reikšmėms turi būti privaloma nurodyti reikšmės pavadinimą.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Visuomenės sveikatos paslaugų grupės žinyno reikšmei turi būti privaloma nurodyti susijusią sričių žinyno reikšmę.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Savivaldybių žinyno reikšmei turi būti privaloma nurodyti savivaldybės kodą ir duomenų mainams reikalingus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nustatyti tikslinių grupių žinyno reikšmių hierarchinę struktūrą. Hierarchijos lygių skaičius neturi būti ribojamas.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Paslaugų vertinimo kriterijų žinyno reikšmei turi būti privaloma nurodyti apskaičiavimo būdą.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Paslaugos gavėjų analitinių požymių žinyno reikšmei turi būti privaloma nurodyti naudojamus analitinių požymių duomenis.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Papildomų ataskaitų duomenų žinyno reikšmė turi nurodyti papildomų ataskaitų duomenų pildymo formą, kuri gali būti priskirta bazinėms paslaugoms.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Išlaidų ekonominės klasifikacijos straipsnių žinyno reikšmei turi būti privaloma nurodyti kodą.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7"/>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Turi būti galimybė nustatyti išlaidų ekonominės klasifikacijos straipsnių žinyno reikšmių hierarchinę struktūrą. Hierarchijos lygių skaičius neturi būti ribojamas.</w:t>
            </w:r>
          </w:p>
        </w:tc>
      </w:tr>
    </w:tbl>
    <w:p>
      <w:pPr>
        <w:pStyle w:val="Heading2"/>
        <w:numPr>
          <w:ilvl w:val="1"/>
          <w:numId w:val="35"/>
        </w:numPr>
        <w:rPr>
          <w:b/>
        </w:rPr>
      </w:pPr>
      <w:bookmarkStart w:id="101" w:name="_Toc191546227"/>
      <w:r>
        <w:rPr>
          <w:b/>
        </w:rPr>
        <w:t>Nefunkciniai reikalavimai</w:t>
      </w:r>
      <w:bookmarkEnd w:id="101"/>
    </w:p>
    <w:p>
      <w:pPr>
        <w:pStyle w:val="Heading3"/>
        <w:numPr>
          <w:ilvl w:val="2"/>
          <w:numId w:val="35"/>
        </w:numPr>
        <w:rPr/>
      </w:pPr>
      <w:bookmarkStart w:id="102" w:name="_Toc191546228"/>
      <w:r>
        <w:rPr/>
        <w:t>Saugumo ir slaptumo (konfidencialumo) reikalavimai</w:t>
      </w:r>
      <w:bookmarkEnd w:id="102"/>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keepNext w:val="true"/>
              <w:spacing w:before="60" w:after="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rPr>
            </w:pPr>
            <w:r>
              <w:rPr>
                <w:rFonts w:eastAsia="Times New Roman" w:cs="Times New Roman"/>
              </w:rPr>
              <w:t>IT sprendimo kūrimas ir priežiūra, turi atitikti nustatytus valstybės IS kūrimo, plėtros, techninės priežiūros, informacijos saugos reikalavimus.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sukūręs sprendimą turi atlikti informacijos saugumo rizikos analizę. Informacijos saugumo rizikos analizės rezultatai turi būti pateikti informacijos saugumo rizikos analizės ataskaitoje.</w:t>
            </w:r>
          </w:p>
          <w:p>
            <w:pPr>
              <w:pStyle w:val="Normal"/>
              <w:jc w:val="both"/>
              <w:rPr>
                <w:rFonts w:eastAsia="Times New Roman" w:cs="Times New Roman"/>
                <w:szCs w:val="24"/>
              </w:rPr>
            </w:pPr>
            <w:r>
              <w:rPr>
                <w:rFonts w:eastAsia="Times New Roman" w:cs="Times New Roman"/>
                <w:szCs w:val="24"/>
              </w:rPr>
              <w:t xml:space="preserve">Rizikos vertinimo metu turi būti: </w:t>
            </w:r>
          </w:p>
          <w:p>
            <w:pPr>
              <w:pStyle w:val="ListParagraph"/>
              <w:numPr>
                <w:ilvl w:val="0"/>
                <w:numId w:val="12"/>
              </w:numPr>
              <w:jc w:val="both"/>
              <w:rPr>
                <w:rFonts w:eastAsia="Times New Roman" w:cs="Times New Roman"/>
                <w:szCs w:val="24"/>
              </w:rPr>
            </w:pPr>
            <w:r>
              <w:rPr>
                <w:rFonts w:cs="Times New Roman"/>
                <w:szCs w:val="24"/>
              </w:rPr>
              <w:t>nustatytos grėsmės ir pažeidžiamumai, galintys turėti įtakos sukurto IT spendimo informacijos saugumui (įskaitant kibernetinį saugumą);</w:t>
            </w:r>
          </w:p>
          <w:p>
            <w:pPr>
              <w:pStyle w:val="ListParagraph"/>
              <w:numPr>
                <w:ilvl w:val="0"/>
                <w:numId w:val="12"/>
              </w:numPr>
              <w:jc w:val="both"/>
              <w:rPr>
                <w:rFonts w:cs="Times New Roman"/>
                <w:szCs w:val="24"/>
              </w:rPr>
            </w:pPr>
            <w:r>
              <w:rPr>
                <w:rFonts w:cs="Times New Roman"/>
                <w:szCs w:val="24"/>
              </w:rPr>
              <w:t>atliktas grėsmių ir pažeidžiamumų įvertinimas;</w:t>
            </w:r>
          </w:p>
          <w:p>
            <w:pPr>
              <w:pStyle w:val="ListParagraph"/>
              <w:numPr>
                <w:ilvl w:val="0"/>
                <w:numId w:val="12"/>
              </w:numPr>
              <w:jc w:val="both"/>
              <w:rPr>
                <w:rFonts w:cs="Times New Roman"/>
                <w:szCs w:val="24"/>
              </w:rPr>
            </w:pPr>
            <w:r>
              <w:rPr>
                <w:rFonts w:cs="Times New Roman"/>
                <w:szCs w:val="24"/>
              </w:rPr>
              <w:t>įvertintos grėsmių tikimybės ir jų poveikis (pasekmės);</w:t>
            </w:r>
          </w:p>
          <w:p>
            <w:pPr>
              <w:pStyle w:val="ListParagraph"/>
              <w:numPr>
                <w:ilvl w:val="0"/>
                <w:numId w:val="12"/>
              </w:numPr>
              <w:jc w:val="both"/>
              <w:rPr>
                <w:rFonts w:cs="Times New Roman"/>
                <w:szCs w:val="24"/>
              </w:rPr>
            </w:pPr>
            <w:r>
              <w:rPr>
                <w:rFonts w:cs="Times New Roman"/>
                <w:szCs w:val="24"/>
              </w:rPr>
              <w:t>nustatytas rizikos lygis;</w:t>
            </w:r>
          </w:p>
          <w:p>
            <w:pPr>
              <w:pStyle w:val="ListParagraph"/>
              <w:numPr>
                <w:ilvl w:val="0"/>
                <w:numId w:val="12"/>
              </w:numPr>
              <w:jc w:val="both"/>
              <w:rPr>
                <w:rFonts w:cs="Times New Roman"/>
                <w:szCs w:val="24"/>
              </w:rPr>
            </w:pPr>
            <w:r>
              <w:rPr>
                <w:rFonts w:cs="Times New Roman"/>
                <w:szCs w:val="24"/>
              </w:rPr>
              <w:t>įvertintos rizikos ir parinktos rizikos valdymo priemonės.</w:t>
            </w:r>
          </w:p>
          <w:p>
            <w:pPr>
              <w:pStyle w:val="Normal"/>
              <w:jc w:val="both"/>
              <w:rPr>
                <w:rFonts w:eastAsia="Times New Roman" w:cs="Times New Roman"/>
              </w:rPr>
            </w:pPr>
            <w:r>
              <w:rPr>
                <w:rFonts w:eastAsia="Times New Roman" w:cs="Times New Roman"/>
              </w:rPr>
              <w:t>Rizikų vertinimo ataskaitoje turi būti aprašyta:</w:t>
            </w:r>
          </w:p>
          <w:p>
            <w:pPr>
              <w:pStyle w:val="ListParagraph"/>
              <w:numPr>
                <w:ilvl w:val="0"/>
                <w:numId w:val="12"/>
              </w:numPr>
              <w:jc w:val="both"/>
              <w:rPr>
                <w:rFonts w:cs="Times New Roman"/>
                <w:szCs w:val="24"/>
              </w:rPr>
            </w:pPr>
            <w:r>
              <w:rPr>
                <w:rFonts w:cs="Times New Roman"/>
                <w:szCs w:val="24"/>
              </w:rPr>
              <w:t>rizikos vertinimo apimtis (objektas);</w:t>
            </w:r>
          </w:p>
          <w:p>
            <w:pPr>
              <w:pStyle w:val="ListParagraph"/>
              <w:numPr>
                <w:ilvl w:val="0"/>
                <w:numId w:val="12"/>
              </w:numPr>
              <w:jc w:val="both"/>
              <w:rPr>
                <w:rFonts w:cs="Times New Roman"/>
                <w:szCs w:val="24"/>
              </w:rPr>
            </w:pPr>
            <w:r>
              <w:rPr>
                <w:rFonts w:cs="Times New Roman"/>
                <w:szCs w:val="24"/>
              </w:rPr>
              <w:t>nurodyta metodika, kuria vadovaujantis buvo atliktas informacijos saugumo rizikos vertinimas;</w:t>
            </w:r>
          </w:p>
          <w:p>
            <w:pPr>
              <w:pStyle w:val="ListParagraph"/>
              <w:numPr>
                <w:ilvl w:val="0"/>
                <w:numId w:val="12"/>
              </w:numPr>
              <w:jc w:val="both"/>
              <w:rPr>
                <w:rFonts w:cs="Times New Roman"/>
                <w:szCs w:val="24"/>
              </w:rPr>
            </w:pPr>
            <w:r>
              <w:rPr>
                <w:rFonts w:cs="Times New Roman"/>
                <w:szCs w:val="24"/>
              </w:rPr>
              <w:t>grėsmės ir pažeidžiamumai bei jų įvertinimas;</w:t>
            </w:r>
          </w:p>
          <w:p>
            <w:pPr>
              <w:pStyle w:val="ListParagraph"/>
              <w:numPr>
                <w:ilvl w:val="0"/>
                <w:numId w:val="12"/>
              </w:numPr>
              <w:jc w:val="both"/>
              <w:rPr>
                <w:rFonts w:cs="Times New Roman"/>
                <w:szCs w:val="24"/>
              </w:rPr>
            </w:pPr>
            <w:r>
              <w:rPr>
                <w:rFonts w:cs="Times New Roman"/>
                <w:szCs w:val="24"/>
              </w:rPr>
              <w:t>grėsmių tikimybės (turi būti išdėstytos prioriteto tvarka pagal svarbą, kuri nustatoma atsižvelgiant į atliktą rizikos vertinimą);</w:t>
            </w:r>
          </w:p>
          <w:p>
            <w:pPr>
              <w:pStyle w:val="ListParagraph"/>
              <w:numPr>
                <w:ilvl w:val="0"/>
                <w:numId w:val="12"/>
              </w:numPr>
              <w:jc w:val="both"/>
              <w:rPr>
                <w:rFonts w:cs="Times New Roman"/>
                <w:szCs w:val="24"/>
              </w:rPr>
            </w:pPr>
            <w:r>
              <w:rPr>
                <w:rFonts w:cs="Times New Roman"/>
                <w:szCs w:val="24"/>
              </w:rPr>
              <w:t>įvertintas grėsmių poveikis (pasekmės);</w:t>
            </w:r>
          </w:p>
          <w:p>
            <w:pPr>
              <w:pStyle w:val="ListParagraph"/>
              <w:numPr>
                <w:ilvl w:val="0"/>
                <w:numId w:val="12"/>
              </w:numPr>
              <w:jc w:val="both"/>
              <w:rPr>
                <w:rFonts w:cs="Times New Roman"/>
                <w:szCs w:val="24"/>
              </w:rPr>
            </w:pPr>
            <w:r>
              <w:rPr>
                <w:rFonts w:cs="Times New Roman"/>
                <w:szCs w:val="24"/>
              </w:rPr>
              <w:t>rizikų nustatymas (pateikiama detali rizikų vertinimo lentelė);</w:t>
            </w:r>
          </w:p>
          <w:p>
            <w:pPr>
              <w:pStyle w:val="ListParagraph"/>
              <w:numPr>
                <w:ilvl w:val="0"/>
                <w:numId w:val="12"/>
              </w:numPr>
              <w:jc w:val="both"/>
              <w:rPr>
                <w:rFonts w:cs="Times New Roman"/>
                <w:szCs w:val="24"/>
              </w:rPr>
            </w:pPr>
            <w:r>
              <w:rPr>
                <w:rFonts w:cs="Times New Roman"/>
                <w:szCs w:val="24"/>
              </w:rPr>
              <w:t>priimtinos ir nepriimtinos rizikos sąrašas;</w:t>
            </w:r>
          </w:p>
          <w:p>
            <w:pPr>
              <w:pStyle w:val="ListParagraph"/>
              <w:numPr>
                <w:ilvl w:val="0"/>
                <w:numId w:val="12"/>
              </w:numPr>
              <w:jc w:val="both"/>
              <w:rPr>
                <w:rFonts w:cs="Times New Roman"/>
                <w:szCs w:val="24"/>
              </w:rPr>
            </w:pPr>
            <w:r>
              <w:rPr>
                <w:rFonts w:cs="Times New Roman"/>
                <w:szCs w:val="24"/>
              </w:rPr>
              <w:t>liekamosios rizikos sąrašas;</w:t>
            </w:r>
          </w:p>
          <w:p>
            <w:pPr>
              <w:pStyle w:val="ListParagraph"/>
              <w:numPr>
                <w:ilvl w:val="0"/>
                <w:numId w:val="12"/>
              </w:numPr>
              <w:spacing w:before="40" w:after="160"/>
              <w:contextualSpacing/>
              <w:jc w:val="both"/>
              <w:rPr>
                <w:rFonts w:cs="Times New Roman"/>
                <w:szCs w:val="24"/>
              </w:rPr>
            </w:pPr>
            <w:r>
              <w:rPr>
                <w:rFonts w:cs="Times New Roman"/>
                <w:szCs w:val="24"/>
              </w:rPr>
              <w:t>rizikos valdymo priemonės, pašalinančios riziką arba sumažinančios riziką iki priimtino lygio.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highlight w:val="yellow"/>
              </w:rPr>
            </w:pPr>
            <w:r>
              <w:rPr>
                <w:rFonts w:eastAsia="Times New Roman" w:cs="Times New Roman"/>
                <w:szCs w:val="24"/>
              </w:rPr>
              <w:t>Tiekėjui teikiama informacija tik tokios apimties, kuri būtina paslaugai atlikti. Tiekėjas turi imtis visų teisinių, techninių ir organizacinių priemonių gautai informacijai apsaugoti.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kern w:val="0"/>
                <w:szCs w:val="24"/>
                <w:lang w:eastAsia="en-US"/>
              </w:rPr>
            </w:pPr>
            <w:r>
              <w:rPr>
                <w:rFonts w:eastAsia="Times New Roman" w:cs="Times New Roman"/>
                <w:kern w:val="0"/>
                <w:szCs w:val="24"/>
                <w:lang w:eastAsia="en-US"/>
              </w:rPr>
              <w:t>Kiekvienas naudotojas turi būti unikaliai identifikuojamas. Naudotojų kūrimas ir autorizavimas turi apimti:</w:t>
            </w:r>
          </w:p>
          <w:p>
            <w:pPr>
              <w:pStyle w:val="ListParagraph"/>
              <w:numPr>
                <w:ilvl w:val="0"/>
                <w:numId w:val="12"/>
              </w:numPr>
              <w:jc w:val="both"/>
              <w:rPr>
                <w:rFonts w:cs="Times New Roman"/>
                <w:szCs w:val="24"/>
              </w:rPr>
            </w:pPr>
            <w:r>
              <w:rPr>
                <w:rFonts w:eastAsia="Times New Roman" w:cs="Times New Roman"/>
                <w:kern w:val="0"/>
                <w:szCs w:val="24"/>
                <w:lang w:eastAsia="en-US"/>
              </w:rPr>
              <w:t xml:space="preserve">vidinių naudotojų </w:t>
            </w:r>
            <w:r>
              <w:rPr>
                <w:rFonts w:cs="Times New Roman"/>
                <w:szCs w:val="24"/>
              </w:rPr>
              <w:t>kūrimą</w:t>
            </w:r>
            <w:r>
              <w:rPr>
                <w:rFonts w:eastAsia="Times New Roman" w:cs="Times New Roman"/>
                <w:kern w:val="0"/>
                <w:szCs w:val="24"/>
                <w:lang w:eastAsia="en-US"/>
              </w:rPr>
              <w:t>;</w:t>
            </w:r>
          </w:p>
          <w:p>
            <w:pPr>
              <w:pStyle w:val="ListParagraph"/>
              <w:numPr>
                <w:ilvl w:val="0"/>
                <w:numId w:val="12"/>
              </w:numPr>
              <w:spacing w:before="40" w:after="160"/>
              <w:contextualSpacing/>
              <w:jc w:val="both"/>
              <w:rPr>
                <w:rFonts w:cs="Times New Roman"/>
                <w:szCs w:val="24"/>
              </w:rPr>
            </w:pPr>
            <w:r>
              <w:rPr>
                <w:rFonts w:eastAsia="Times New Roman" w:cs="Times New Roman"/>
                <w:kern w:val="0"/>
                <w:szCs w:val="24"/>
                <w:lang w:eastAsia="en-US"/>
              </w:rPr>
              <w:t>naudotojų teisių reikalingų konkrečioms funkcijoms bei duomenų tvarkymui nustatymą.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eastAsia="Times New Roman" w:cs="Times New Roman"/>
                <w:szCs w:val="24"/>
              </w:rPr>
              <w:t>Sistema turi fiksuoti duomenis apie naudotojų vykdomus veiksmus, nurodant naudotojo identifikatorių ir įvykio ar vykdyto veiksmo laiką. Visi audituojami duomenys turi būti suderinti su Perkančiąja organizacija projektavimo etape. Žurnalinių įrašų duomenys turi būti saugomi ne toje pačioje duomenų bazėje, kurioje yra žurnalizuojami patys veiksmai, arba turi būti galimybė duomenis automatiškai perkelti į kitą duomenų bazę. Šie duomenys turi būti pašalinti po termino nustatyto pagrindinio Sistemos administratoriaus.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Sistemos greitaveika (neatsižvelgiant į naudotojo darbo vietos ribojus ir tinklo parametrus) turi būti ne mažesnė nei:</w:t>
            </w:r>
          </w:p>
          <w:p>
            <w:pPr>
              <w:pStyle w:val="ListParagraph"/>
              <w:numPr>
                <w:ilvl w:val="0"/>
                <w:numId w:val="12"/>
              </w:numPr>
              <w:jc w:val="both"/>
              <w:rPr>
                <w:rFonts w:cs="Times New Roman"/>
                <w:szCs w:val="24"/>
              </w:rPr>
            </w:pPr>
            <w:r>
              <w:rPr>
                <w:rFonts w:cs="Times New Roman"/>
                <w:szCs w:val="24"/>
              </w:rPr>
              <w:t>Detalaus lango (su visais norimais objektais) atidarymas turi trukti ne ilgiau nei 2 sekundes;</w:t>
            </w:r>
          </w:p>
          <w:p>
            <w:pPr>
              <w:pStyle w:val="ListParagraph"/>
              <w:numPr>
                <w:ilvl w:val="0"/>
                <w:numId w:val="12"/>
              </w:numPr>
              <w:jc w:val="both"/>
              <w:rPr>
                <w:rFonts w:cs="Times New Roman"/>
                <w:szCs w:val="24"/>
              </w:rPr>
            </w:pPr>
            <w:r>
              <w:rPr>
                <w:rFonts w:cs="Times New Roman"/>
                <w:szCs w:val="24"/>
              </w:rPr>
              <w:t xml:space="preserve">Duomenų išsaugojimo operacija po keitimo turi trukti ne ilgiau nei 1 sekundę; </w:t>
            </w:r>
          </w:p>
          <w:p>
            <w:pPr>
              <w:pStyle w:val="ListParagraph"/>
              <w:numPr>
                <w:ilvl w:val="0"/>
                <w:numId w:val="12"/>
              </w:numPr>
              <w:jc w:val="both"/>
              <w:rPr>
                <w:rFonts w:cs="Times New Roman"/>
                <w:szCs w:val="24"/>
              </w:rPr>
            </w:pPr>
            <w:r>
              <w:rPr>
                <w:rFonts w:cs="Times New Roman"/>
                <w:szCs w:val="24"/>
              </w:rPr>
              <w:t>Navigacija tarp skirtingų Sistemos naudotojo sąsajos langų (tiek naujo lango atidarymas, tiek lango pakeitimas) turi trukti ne ilgiau kaip 2 sekundes;</w:t>
            </w:r>
          </w:p>
          <w:p>
            <w:pPr>
              <w:pStyle w:val="ListParagraph"/>
              <w:numPr>
                <w:ilvl w:val="0"/>
                <w:numId w:val="12"/>
              </w:numPr>
              <w:spacing w:before="40" w:after="160"/>
              <w:contextualSpacing/>
              <w:jc w:val="both"/>
              <w:rPr>
                <w:rFonts w:cs="Times New Roman"/>
                <w:szCs w:val="24"/>
              </w:rPr>
            </w:pPr>
            <w:r>
              <w:rPr>
                <w:rFonts w:eastAsia="Times New Roman" w:cs="Times New Roman"/>
                <w:szCs w:val="24"/>
              </w:rPr>
              <w:t>Sąrašo reikšmių pateikimas (konkretaus žinyno reikšmių) turi trukti ne ilgiau nei 1 sekundę.</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sprendime turi būti numatyta apsauga nuo kenkėjiško kodo įkėlimo į aplikaciją (pvz., apribota galimybė įkelti rinkmenas su plėtiniais .com, .exe, .bat ir pan.).</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t>IT sprendimas ar atskiros jo dalys turi būti diegiamos tik visiškai jas išbandžius testavimo aplinkoje ir įsitikinus, kad diegiama programinė įranga yra be kenksmingo programinio kodo, neautorizuotos prieigos galimybių ir (ar) kitų pažeidžiamumų.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Tablenumber"/>
              <w:numPr>
                <w:ilvl w:val="0"/>
                <w:numId w:val="45"/>
              </w:numPr>
              <w:spacing w:before="0" w:after="0"/>
              <w:contextualSpacing w:val="false"/>
              <w:rPr>
                <w:sz w:val="24"/>
              </w:rPr>
            </w:pPr>
            <w:r>
              <w:rPr>
                <w:sz w:val="24"/>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IT sprendimas tiek, kiek jis susijęs su asmens duomenų tvarkymu, turi atitikti Bendrojo duomenų apsaugos reglamento 25 straipsnyje įtvirtintus pritaikytosios duomenų apsaugos ir standartizuotosios duomenų apsaugos principus ir sudaryti sąlygas tvarkant asmens duomenis naudojantis IT sprendimu įgyvendinti Bendrojo duomenų apsaugos reglamento reikalavimus.</w:t>
            </w:r>
          </w:p>
        </w:tc>
      </w:tr>
    </w:tbl>
    <w:p>
      <w:pPr>
        <w:pStyle w:val="Heading3"/>
        <w:numPr>
          <w:ilvl w:val="2"/>
          <w:numId w:val="35"/>
        </w:numPr>
        <w:rPr/>
      </w:pPr>
      <w:bookmarkStart w:id="103" w:name="_Toc191546229"/>
      <w:r>
        <w:rPr/>
        <w:t>Ergonominiai reikalavimai</w:t>
      </w:r>
      <w:bookmarkEnd w:id="103"/>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sąsaja turi būti pateikiama lietuvių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Atvaizduojant kalendorių, jame numatytos nedarbo dienos turi atitikti Lietuvoje aktualias nedarbo dienas.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Datos atvaizdavimas turi būti realizuotas Lietuvoje aktualiu formatu MMMM-MM-DD.</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Naudotojo sąsaja turi būti realizuota remiantis Web sprendimo (angl. </w:t>
            </w:r>
            <w:r>
              <w:rPr>
                <w:rFonts w:eastAsia="Times New Roman" w:cs="Times New Roman"/>
                <w:i/>
                <w:szCs w:val="24"/>
              </w:rPr>
              <w:t>Web based</w:t>
            </w:r>
            <w:r>
              <w:rPr>
                <w:rFonts w:eastAsia="Times New Roman" w:cs="Times New Roman"/>
                <w:szCs w:val="24"/>
              </w:rPr>
              <w:t>) principais ir prieinama standartinėse interneto naršyklėse (suderinta su Microsoft Edge, Mozilla Firefox, Google Chrome, Safari ir lygiaverčių naršyklių naujausiomis versijomis).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Naudotojo sąsaja turi būti tinkamai atvaizduojama įvairios raiškos ekranuose, t. y. turi būti realizuojama taikant prisitaikančio dizaino (angl. </w:t>
            </w:r>
            <w:r>
              <w:rPr>
                <w:rFonts w:eastAsia="Times New Roman" w:cs="Times New Roman"/>
                <w:i/>
                <w:szCs w:val="24"/>
              </w:rPr>
              <w:t>Responsive design</w:t>
            </w:r>
            <w:r>
              <w:rPr>
                <w:rFonts w:eastAsia="Times New Roman" w:cs="Times New Roman"/>
                <w:szCs w:val="24"/>
              </w:rPr>
              <w:t>) principus.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highlight w:val="yellow"/>
              </w:rPr>
            </w:pPr>
            <w:r>
              <w:rPr>
                <w:rFonts w:eastAsia="Times New Roman" w:cs="Times New Roman"/>
                <w:szCs w:val="24"/>
              </w:rPr>
              <w:t>Naudotojo sąsaja turi būti pateikiama pilnai (neprarandant IT sprendimo teikiamo funkcionalumo) tiek mobiliesiems įrenginiams skirtose, tiek standartinėse naršyklėse.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Sistemos naudotojo sąsaja turi būti nuosekli visuose kuriamuose funkciniuose komponentuose.</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Sistemoje neturi būti puslapių, kuriuose negalima naudoti naudotojo įprastos naršyklės navigacijos įrankių ir parinkčių (angl. </w:t>
            </w:r>
            <w:r>
              <w:rPr>
                <w:rFonts w:eastAsia="Times New Roman" w:cs="Times New Roman"/>
                <w:i/>
                <w:szCs w:val="24"/>
              </w:rPr>
              <w:t>Navigation options</w:t>
            </w:r>
            <w:r>
              <w:rPr>
                <w:rFonts w:eastAsia="Times New Roman" w:cs="Times New Roman"/>
                <w:szCs w:val="24"/>
              </w:rPr>
              <w:t>). Pvz., neturi būti puslapių, kurie deaktyvuoja naršyklės mygtuką „Atgal“.</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sprendimas turi užtikrinti situacijų, kurias sukėlė neteisingi naudotojo veiksmai, valdymą. Naudotojui atlikus nekorektiškus veiksmus arba įkėlus neteisingus duomenis, naudotojui turi būti rodomi atitinkami klaidų pranešimai. Klaidų pranešimai turi pateikti pakankamai informacijos tolimesniems naudotojo veiksmams.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sąsajos kūrimo procesas turi būti vykdomas vadovaujantis metodika ir gerąją praktika: Viešųjų ir administracinių elektroninių paslaugų patogumo naudotojams Informacinės plėtros komiteto skelbiamais metodiniais dokumentais: „E. paslaugų tinkamumo naudotojams metodika" ir „Tinkamumo problemų sprendimo gairės“, LST EN ISO 9241 serijos standartais: „Žmogaus ir sistemos sąveikos ergonomika. 110 dalis. Dialogo principai(LST EN ISO 9241-110:2020)“; „Žmogaus ir sistemos sąveikos ergonomika. 210 dalis. į žmogų orientuotas sąveikiųjų sistemų projektavimas (LST EN ISO ISO 9241-210:2019)“.</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Kuriant naudotojo sąsają, turi būti vadovaujamasi Neįgaliesiems pritaikytų interneto tinklalapių kūrimo ir testavimo metodinės rekomendacijomis, patvirtintomis Informacinės visuomenės plėtros komiteto prie Lietuvos Respublikos susisiekimo ministerijos direktoriaus 2004 m. kovo 31 d. įsakymu Nr. T-40 „Dėl Neįgaliesiems pritaikytų valstybės ir savivaldybių institucijų ir įstaigų interneto svetainių kūrimo, testavimo ir įvertinimo metodines rekomendacijų patvirtinimo“ (2013 m. gegužės 23 d. įsakymo Nr. T-72 redakcija). Neįgaliesiems skirta naudotojo sąsaja turi atitikti Pasaulinio saityno konsorciumo (angl. </w:t>
            </w:r>
            <w:r>
              <w:rPr>
                <w:rFonts w:eastAsia="Times New Roman" w:cs="Times New Roman"/>
                <w:i/>
                <w:szCs w:val="24"/>
              </w:rPr>
              <w:t>World Wide Web Consortium</w:t>
            </w:r>
            <w:r>
              <w:rPr>
                <w:rFonts w:eastAsia="Times New Roman" w:cs="Times New Roman"/>
                <w:szCs w:val="24"/>
              </w:rPr>
              <w:t>) parengtus saityno turinio pritaikymo neįgaliesiems reikalavimus: Web Content Accessibility Guidelines, WCAG 2.1 ne žemesniu nei AA lygiu.</w:t>
            </w:r>
          </w:p>
        </w:tc>
      </w:tr>
    </w:tbl>
    <w:p>
      <w:pPr>
        <w:pStyle w:val="Heading3"/>
        <w:numPr>
          <w:ilvl w:val="2"/>
          <w:numId w:val="35"/>
        </w:numPr>
        <w:rPr/>
      </w:pPr>
      <w:bookmarkStart w:id="104" w:name="_Toc191546230"/>
      <w:r>
        <w:rPr/>
        <w:t>Atitikimo tarptautiniams ir geros praktikos standartams reikalavimai</w:t>
      </w:r>
      <w:bookmarkEnd w:id="104"/>
    </w:p>
    <w:p>
      <w:pPr>
        <w:pStyle w:val="Normal"/>
        <w:jc w:val="both"/>
        <w:rPr/>
      </w:pPr>
      <w:r>
        <w:rPr/>
        <w:t>Kuriant naujus funkcionalumus turi remtis tokiais teisės aktais ir gerosios praktikos standartais: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rPr>
              <w:t>Teisės aktai:</w:t>
            </w:r>
          </w:p>
          <w:p>
            <w:pPr>
              <w:pStyle w:val="ListParagraph"/>
              <w:numPr>
                <w:ilvl w:val="0"/>
                <w:numId w:val="12"/>
              </w:numPr>
              <w:jc w:val="both"/>
              <w:rPr>
                <w:rFonts w:eastAsia="Times New Roman" w:cs="Times New Roman"/>
              </w:rPr>
            </w:pPr>
            <w:r>
              <w:rPr>
                <w:rFonts w:eastAsia="Times New Roman" w:cs="Times New Roman"/>
              </w:rPr>
              <w:t>Reglamentu (ES) 2016/679;</w:t>
            </w:r>
          </w:p>
          <w:p>
            <w:pPr>
              <w:pStyle w:val="ListParagraph"/>
              <w:numPr>
                <w:ilvl w:val="0"/>
                <w:numId w:val="12"/>
              </w:numPr>
              <w:jc w:val="both"/>
              <w:rPr>
                <w:rFonts w:eastAsia="Times New Roman" w:cs="Times New Roman"/>
              </w:rPr>
            </w:pPr>
            <w:r>
              <w:rPr>
                <w:rFonts w:eastAsia="Times New Roman" w:cs="Times New Roman"/>
              </w:rPr>
              <w:t>Lietuvos Respublikos kibernetinio saugumo įstatymas;</w:t>
            </w:r>
          </w:p>
          <w:p>
            <w:pPr>
              <w:pStyle w:val="ListParagraph"/>
              <w:numPr>
                <w:ilvl w:val="0"/>
                <w:numId w:val="12"/>
              </w:numPr>
              <w:jc w:val="both"/>
              <w:rPr>
                <w:rFonts w:eastAsia="Times New Roman" w:cs="Times New Roman"/>
              </w:rPr>
            </w:pPr>
            <w:r>
              <w:rPr>
                <w:rFonts w:cs="Times New Roman"/>
              </w:rPr>
              <w:t>Organizacinių ir techninių kibernetinio saugumo reikalavimų, taikomų kibernetinio saugumo subjektams, aprašas, patvirtintas Lietuvos Respublikos Vyriausybės 2018 m. rugpjūčio 5 d. nutarimu Nr. 818 „Dėl Lietuvos Respublikos kibernetinio saugumo įstatymo įgyvendinimo“.</w:t>
            </w:r>
          </w:p>
          <w:p>
            <w:pPr>
              <w:pStyle w:val="Normal"/>
              <w:jc w:val="both"/>
              <w:rPr>
                <w:rFonts w:cs="Times New Roman"/>
              </w:rPr>
            </w:pPr>
            <w:r>
              <w:rPr>
                <w:rFonts w:eastAsia="Times New Roman" w:cs="Times New Roman"/>
              </w:rPr>
              <w:t xml:space="preserve"> </w:t>
            </w:r>
          </w:p>
          <w:p>
            <w:pPr>
              <w:pStyle w:val="ListParagraph"/>
              <w:numPr>
                <w:ilvl w:val="0"/>
                <w:numId w:val="12"/>
              </w:numPr>
              <w:jc w:val="both"/>
              <w:rPr>
                <w:rFonts w:cs="Times New Roman"/>
              </w:rPr>
            </w:pPr>
            <w:r>
              <w:rPr>
                <w:rFonts w:eastAsia="Times New Roman" w:cs="Times New Roman"/>
              </w:rPr>
              <w:t xml:space="preserve">Bendrųjų elektroninės informacijos saugos reikalavimų aprašas, </w:t>
            </w:r>
            <w:r>
              <w:rPr>
                <w:rFonts w:cs="Times New Roman"/>
              </w:rPr>
              <w:t>patvirtintas Lietuvos Respublikos Vyriausybės 2013 m. liepos 24 d. nutarimu Nr. 716 „Dėl Bendrųjų elektroninės informacijos saugos reikalavimų aprašo ir Saugos dokumentų turinio gairių aprašo patvirtinimo“;</w:t>
            </w:r>
          </w:p>
          <w:p>
            <w:pPr>
              <w:pStyle w:val="ListParagraph"/>
              <w:numPr>
                <w:ilvl w:val="0"/>
                <w:numId w:val="12"/>
              </w:numPr>
              <w:jc w:val="both"/>
              <w:rPr/>
            </w:pPr>
            <w:r>
              <w:rPr>
                <w:rFonts w:eastAsia="Times New Roman" w:cs="Times New Roman"/>
                <w:szCs w:val="24"/>
                <w:lang w:val="lt-LT"/>
              </w:rPr>
              <w:t xml:space="preserve">Visuomenės sveikatos stiprinimo paslaugų valdymo tobulinimo poreikiams gerinti informacinių technologijų sprendimo duomenų saugos nuostatai, patvirtinti Higienos instituto direktoriaus įsakymu </w:t>
            </w:r>
            <w:r>
              <w:rPr/>
              <w:t>„Dėl Visuomenės sveikatos stiprinimo paslaugų valdymo tobulinimo poreikiams gerinti informacinių technologijų sprendimo atnaujinimo, Visuomenės sveikatos stiprinimo paslaugų valdymo tobulinimo poreikiams gerinti informacinės sistemos nuostatų ir Visuomenės sveikatos stiprinimo paslaugų valdymo tobulinimo poreikiams gerinti informacinės sistemos duomenų saugos nuostatų patvirtinimo“;</w:t>
            </w:r>
          </w:p>
          <w:p>
            <w:pPr>
              <w:pStyle w:val="ListParagraph"/>
              <w:jc w:val="both"/>
              <w:rPr>
                <w:rFonts w:eastAsia="Times New Roman" w:cs="Times New Roman"/>
              </w:rPr>
            </w:pPr>
            <w:r>
              <w:rPr>
                <w:rFonts w:eastAsia="Times New Roman" w:cs="Times New Roman"/>
                <w:szCs w:val="24"/>
                <w:lang w:val="lt-LT"/>
              </w:rPr>
              <w:t xml:space="preserve">Visuomenės sveikatos stiprinimo paslaugų valdymo tobulinimo poreikiams gerinti informacinių technologijų sprendimo saugaus elektroninės informacijos tvarkymo taisyklės ir Visuomenės sveikatos stiprinimo paslaugų valdymo tobulinimo poreikiams gerinti informacinių technologijų sprendimo naudotojų administravimo taisyklės, patvirtintos Higienos instituto direktoriaus 2023 m. lapkričio 10 d. įsakymu Nr. V-131 </w:t>
            </w:r>
            <w:r>
              <w:rPr>
                <w:rFonts w:cs="Times New Roman"/>
              </w:rPr>
              <w:t xml:space="preserve">„Dėl </w:t>
            </w:r>
            <w:r>
              <w:rPr>
                <w:rFonts w:eastAsia="Times New Roman" w:cs="Times New Roman"/>
                <w:szCs w:val="24"/>
                <w:lang w:val="lt-LT"/>
              </w:rPr>
              <w:t>Visuomenės sveikatos stiprinimo paslaugų valdymo tobulinimo poreikiams gerinti informacinių technologijų sprendimo  saugaus elektroninės informacijos tvarkymo taisyklių, Visuomenės sveikatos stiprinimo paslaugų valdymo tobulinimo poreikiams gerinti informacinių technologijų sprendimo veiklos tęstinumo valdymo plano, Visuomenės sveikatos stiprinimo paslaugų valdymo tobulinimo poreikiams gerinti informacinių technologijų sprendimo naudotojų administravimo taisyklių patvirtinimo</w:t>
            </w:r>
            <w:r>
              <w:rPr>
                <w:rFonts w:cs="Times New Roman"/>
              </w:rPr>
              <w:t>“.</w:t>
            </w:r>
          </w:p>
          <w:p>
            <w:pPr>
              <w:pStyle w:val="ListParagraph"/>
              <w:spacing w:before="40" w:after="160"/>
              <w:contextualSpacing/>
              <w:jc w:val="both"/>
              <w:rPr>
                <w:rFonts w:eastAsia="Times New Roman" w:cs="Times New Roman"/>
              </w:rPr>
            </w:pPr>
            <w:r>
              <w:rPr>
                <w:rFonts w:eastAsia="Times New Roman" w:cs="Times New Roman"/>
              </w:rPr>
              <w:t xml:space="preserve">Diegėjas turi užtikrinti, kad teikiamos Paslaugos atitinka Organizacinių ir techninių kibernetinio saugumo reikalavimų, taikomų kibernetinio saugumo subjektams, apraše, patvirtintame Lietuvos Respublikos Vyriausybės 2018 m. rugpjūčio 13 d. nutarimu Nr. 818 „Dėl Lietuvos Respublikos kibernetinio saugumo įstatymo įgyvendinimo“, ir kituose išvardintuose teisės aktuose nurodytus reikalavimus. Teikiant Paslaugas bus vadovaujamasi saugaus projektavimo ir kodavimo (angl. </w:t>
            </w:r>
            <w:r>
              <w:rPr>
                <w:rFonts w:eastAsia="Times New Roman" w:cs="Times New Roman"/>
                <w:i/>
                <w:iCs/>
              </w:rPr>
              <w:t>Secure Coding</w:t>
            </w:r>
            <w:r>
              <w:rPr>
                <w:rFonts w:eastAsia="Times New Roman" w:cs="Times New Roman"/>
              </w:rPr>
              <w:t xml:space="preserve">) praktika ir metodais (The Open Web Application Security Project (OWASP) Secure Coding Practices, programinės įrangos saugos užtikrinimo standartu (angl. </w:t>
            </w:r>
            <w:r>
              <w:rPr>
                <w:rFonts w:eastAsia="Times New Roman" w:cs="Times New Roman"/>
                <w:i/>
                <w:iCs/>
              </w:rPr>
              <w:t>Application Security Verification Standard</w:t>
            </w:r>
            <w:r>
              <w:rPr>
                <w:rFonts w:eastAsia="Times New Roman" w:cs="Times New Roman"/>
              </w:rPr>
              <w:t>) ar lygiaverčius), o atliekant patikrinimus (testavimus) bus remiamasi Open Web Application Security Project (OWASP) Testing Guide v4, Penetration Testing Execution Standard (PTES), Open Source Security Testing Methodology Manual (OSSTMM), Information Systems Security Assessment Framework (ISSAF), SANS, NIST SP 800-30 ar lygiavertėmis saugumo patikrinimo metodikomis, siekiant užtikrinti, kad Paslaugų rezultatai neturėtų saugumo spragų.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Sukurta programinė įranga turi atitikti tarptautinius saugumo standartus LST ISO/IEC 27002, LST ISO/IEC 27001 ar lygiaverčius standartus.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Naudotojo sąsaja bus kuriama laikantis LST EN ISO 9241 standartų šeimos ergonomikos reikalavimų ir rekomendacijų.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ind w:right="113"/>
              <w:jc w:val="both"/>
              <w:rPr>
                <w:rFonts w:ascii="Times New Roman" w:hAnsi="Times New Roman" w:eastAsia="Times New Roman" w:cs="Times New Roman"/>
                <w:sz w:val="24"/>
                <w:szCs w:val="24"/>
                <w:lang w:val="lt-LT"/>
              </w:rPr>
            </w:pPr>
            <w:r>
              <w:rPr>
                <w:rFonts w:eastAsia="Times New Roman" w:cs="Times New Roman" w:ascii="Times New Roman" w:hAnsi="Times New Roman"/>
                <w:sz w:val="24"/>
                <w:szCs w:val="24"/>
                <w:lang w:val="lt-LT"/>
              </w:rPr>
              <w:t>Taikomi analizės ir projektavimo standartai:</w:t>
            </w:r>
          </w:p>
          <w:p>
            <w:pPr>
              <w:pStyle w:val="ListParagraph"/>
              <w:numPr>
                <w:ilvl w:val="0"/>
                <w:numId w:val="12"/>
              </w:numPr>
              <w:spacing w:before="40" w:after="160"/>
              <w:contextualSpacing/>
              <w:jc w:val="both"/>
              <w:rPr/>
            </w:pPr>
            <w:r>
              <w:rPr>
                <w:rFonts w:eastAsia="Times New Roman" w:cs="Times New Roman"/>
                <w:szCs w:val="24"/>
              </w:rPr>
              <w:t xml:space="preserve">Diegėjo rengiamuose IT sprendimo analizės ir projektavimo dokumentuose, veiklos procesų schemų, modelių, duomenų bazių schemų, programinių komponentų sąsajų schemų ir kitų esybių sąsajų schemų projektavimui bus naudojama ne žemesnė kaip 2.0 UML standarto (angl. </w:t>
            </w:r>
            <w:r>
              <w:rPr>
                <w:rFonts w:eastAsia="Times New Roman" w:cs="Times New Roman"/>
                <w:i/>
                <w:szCs w:val="24"/>
              </w:rPr>
              <w:t>Unified Modeling Language</w:t>
            </w:r>
            <w:r>
              <w:rPr>
                <w:rFonts w:eastAsia="Times New Roman" w:cs="Times New Roman"/>
                <w:szCs w:val="24"/>
              </w:rPr>
              <w:t>) versija.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TableParagraph"/>
              <w:ind w:right="113"/>
              <w:jc w:val="both"/>
              <w:rPr>
                <w:rFonts w:ascii="Times New Roman" w:hAnsi="Times New Roman" w:eastAsia="Times New Roman" w:cs="Times New Roman"/>
                <w:sz w:val="24"/>
                <w:szCs w:val="24"/>
                <w:lang w:val="lt-LT"/>
              </w:rPr>
            </w:pPr>
            <w:r>
              <w:rPr>
                <w:rFonts w:eastAsia="Times New Roman" w:cs="Times New Roman" w:ascii="Times New Roman" w:hAnsi="Times New Roman"/>
                <w:sz w:val="24"/>
                <w:szCs w:val="24"/>
                <w:lang w:val="lt-LT"/>
              </w:rPr>
              <w:t>IT sprendimo puslapių formavimui taikytini standartai:</w:t>
            </w:r>
          </w:p>
          <w:p>
            <w:pPr>
              <w:pStyle w:val="ListParagraph"/>
              <w:numPr>
                <w:ilvl w:val="0"/>
                <w:numId w:val="12"/>
              </w:numPr>
              <w:jc w:val="both"/>
              <w:rPr>
                <w:rFonts w:eastAsia="Times New Roman" w:cs="Times New Roman"/>
                <w:szCs w:val="24"/>
              </w:rPr>
            </w:pPr>
            <w:r>
              <w:rPr>
                <w:rFonts w:eastAsia="Times New Roman" w:cs="Times New Roman"/>
                <w:szCs w:val="24"/>
              </w:rPr>
              <w:t xml:space="preserve">Bus naudojama ne žemesnė kaip HTML5 (angl. </w:t>
            </w:r>
            <w:r>
              <w:rPr>
                <w:rFonts w:eastAsia="Times New Roman" w:cs="Times New Roman"/>
                <w:i/>
                <w:szCs w:val="24"/>
              </w:rPr>
              <w:t>Hypertext Markup Language</w:t>
            </w:r>
            <w:r>
              <w:rPr>
                <w:rFonts w:eastAsia="Times New Roman" w:cs="Times New Roman"/>
                <w:szCs w:val="24"/>
              </w:rPr>
              <w:t>) versija.</w:t>
            </w:r>
          </w:p>
          <w:p>
            <w:pPr>
              <w:pStyle w:val="ListParagraph"/>
              <w:numPr>
                <w:ilvl w:val="0"/>
                <w:numId w:val="12"/>
              </w:numPr>
              <w:spacing w:before="40" w:after="160"/>
              <w:contextualSpacing/>
              <w:jc w:val="both"/>
              <w:rPr/>
            </w:pPr>
            <w:r>
              <w:rPr>
                <w:rFonts w:eastAsia="Times New Roman" w:cs="Times New Roman"/>
                <w:szCs w:val="24"/>
              </w:rPr>
              <w:t xml:space="preserve">Bus naudojama ne žemesnė kaip 3 lygio CSS3 (angl. </w:t>
            </w:r>
            <w:r>
              <w:rPr>
                <w:rFonts w:eastAsia="Times New Roman" w:cs="Times New Roman"/>
                <w:i/>
                <w:szCs w:val="24"/>
              </w:rPr>
              <w:t>Cascading Style Sheets Language</w:t>
            </w:r>
            <w:r>
              <w:rPr>
                <w:rFonts w:eastAsia="Times New Roman" w:cs="Times New Roman"/>
                <w:szCs w:val="24"/>
              </w:rPr>
              <w:t>).</w:t>
            </w:r>
          </w:p>
        </w:tc>
      </w:tr>
    </w:tbl>
    <w:p>
      <w:pPr>
        <w:pStyle w:val="Heading3"/>
        <w:numPr>
          <w:ilvl w:val="2"/>
          <w:numId w:val="35"/>
        </w:numPr>
        <w:rPr/>
      </w:pPr>
      <w:bookmarkStart w:id="105" w:name="_Toc191546231"/>
      <w:r>
        <w:rPr/>
        <w:t>Reikalavimai techninėms priemonėms, veikimo charakteristikoms, papildomai programinei įrangai, realizavimo technologijoms</w:t>
      </w:r>
      <w:bookmarkEnd w:id="105"/>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IT sprendimas turi būti technologiškai funkcionalus pagal principą „24 valandos per dieną, 7 dienos per savaitę, 365 dienos per metus“. Turi būti užtikrintas informacinės sistemos prieinamumas ne mažiau kaip 99 proc. laiko visą parą.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sprendime turi būti išlaikomas ne mažesnis kaip pagal trijų lygių programų architektūros modelis (duomenų bazės, lygis, aplikacijų lygis, naudotojo sąsajos lygis).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Aplikacijų lygis turi būti realizuotas tarnybinėse stotyse. Naudotojo kompiuteriui turi tekti tik grafinio atvaizdavimo uždavinys. Vaizdavimo lygmuo turi sąveikauti su veiklos logikos lygmeniu naudojantis API pranešimais.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IT sprendime tvarkomų duomenų įrašų skaičius neturi būti ribojamas programinės įrangos atžvilgiu.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Bendrų žinynų duomenys IT sprendime turi būti įvedami vieną kartą, t. y., negali būti dubliuojami nei vieno žinyno duomenys.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 xml:space="preserve">IT sprendime neturi būti įkoduotų (angl. </w:t>
            </w:r>
            <w:r>
              <w:rPr>
                <w:rFonts w:cs="Times New Roman"/>
                <w:i/>
                <w:iCs/>
                <w:color w:themeColor="text1" w:val="000000"/>
                <w:szCs w:val="24"/>
              </w:rPr>
              <w:t>Hard Coded</w:t>
            </w:r>
            <w:r>
              <w:rPr>
                <w:rFonts w:cs="Times New Roman"/>
                <w:color w:themeColor="text1" w:val="000000"/>
                <w:szCs w:val="24"/>
              </w:rPr>
              <w:t>) duomenų.</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IT sprendimo aplinkos (vystymo, testavimo ir darbinė aplinkos) turi būti atskiros viena nuo kitos.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color w:themeColor="text1" w:val="000000"/>
                <w:szCs w:val="24"/>
              </w:rPr>
              <w:t>IT sprendimo architektūriniai komponentai turi būti stabilūs ir plačiai naudojami praktikoje. Tiekėjas negali siūlyti naudoti programinių komponentų versijų, kurios yra testavimo stadijoje, pažymėti „beta“ ar kitais tai pažyminčiais būdais.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Jeigu Tiekėjas siūlo naudoti atviro kodo komponentus, jie turi būti ne kartą pritaikyti veikiančiose sistemose, turėti aktyvią bendruomenę, būti sukurti laikantis standartų ir turėti aktyvų vystymą bei priežiūrą, diegėjas privalo užtikrinti tokių komponentų palaikymą sutartu laikotarpiu.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Sukurtos programinės įrangos išeities tekstai Perkančiajai organizacijai turi būti perduoti kompiliavimui paruoštų rinkmenų paketų forma USB (ar kitoje su Perkančiąja organizacija suderintoje) laikmenoje, nurodant standartines kompiliavimo priemones ir kompiliavimo eigą. Nuorodų į interneto puslapius, iš kurių galima parsisiųsti kompiliavimo kodo elementus, gali būti pateikiamos, tačiau vieno tokių nuorodų pateikimas nėra laikomas šio reikalavimo įgyvendinimu.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IT sprendimo programinės įrangos išeities tekstai turi būti su išsamiais komentarais ir atitikti gerąsias programinio kodo formatavimo, kintamųjų bei funkcijų įvardinimo praktikas įskaitant, tačiau neapsiribojant praktika, kai pagal pavadinimą galima suprasti programinio kodo elemento paskirtį ir praktiką, kai kodo formatavimas leidžia suprasti kodo struktūrą.</w:t>
            </w:r>
          </w:p>
        </w:tc>
      </w:tr>
    </w:tbl>
    <w:p>
      <w:pPr>
        <w:pStyle w:val="Heading3"/>
        <w:numPr>
          <w:ilvl w:val="2"/>
          <w:numId w:val="35"/>
        </w:numPr>
        <w:rPr/>
      </w:pPr>
      <w:bookmarkStart w:id="106" w:name="_Toc191546232"/>
      <w:r>
        <w:rPr/>
        <w:t>Reikalavimai licencinei programinei įrangai</w:t>
      </w:r>
      <w:bookmarkEnd w:id="10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Licencinės programinės įrangos licencijavimo tvarka turi būti nuolatinio galiojimo (be jokių galiojimo apribojimų laike) bei gali būti ribojama tik naudotojų skaičiumi, o ne techninės įrangos parametrais, konkurentinėmis sesijomis ar kitais būdais. Licencijų naudojimas turi būti suderintas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Siūlant licencinę programinę įrangą, jos įsigijimo ir ne mažiau kaip 3 metų (skaičiuojant nuo testavimo etapo pabaigos) gamintojo užtikrinto palaikymo kaina turi būti įskaičiuota į pasiūlymo kainą.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Diegėjas turi garantuoti nuostolių atlyginimą Perkančiajai organizacijai dėl bet kokių reikalavimų, kylančių dėl autorių teisių, patentų, licencijų ar prekių (paslaugų) ženklų naudojimo, susijusio su sukurtos programinės įrangos naudojimu, išskyrus atvejus, kai toks pažeidimas atsiranda dėl Perkančiosios organizacijos kaltės.</w:t>
            </w:r>
          </w:p>
        </w:tc>
      </w:tr>
    </w:tbl>
    <w:p>
      <w:pPr>
        <w:pStyle w:val="Normal"/>
        <w:rPr/>
      </w:pPr>
      <w:r>
        <w:rPr/>
      </w:r>
    </w:p>
    <w:p>
      <w:pPr>
        <w:pStyle w:val="Heading3"/>
        <w:numPr>
          <w:ilvl w:val="2"/>
          <w:numId w:val="35"/>
        </w:numPr>
        <w:rPr/>
      </w:pPr>
      <w:bookmarkStart w:id="107" w:name="_Toc191546233"/>
      <w:r>
        <w:rPr/>
        <w:t>Reikalavimai techninei dokumentacijai</w:t>
      </w:r>
      <w:bookmarkEnd w:id="107"/>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Visa Tiekėjo rengiama dokumentacija turi būti parengta lietuvių kalba, vadovaujantis bendrinės lietuvių kalbos taisyklėmis (išskyrus techninius dokumentus, kuriuose dalis informacijos gali būti pateikiama anglų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 xml:space="preserve">Dokumentų galutinės versijos turi būti pateiktos formatu: redagavimui tinkamu elektroniniu (.doc, .docx, .pdf arba kitu su Perkančiąja organizacija suderintu formatu) formatu.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Visa parengta dokumentacija turi atitikti informatikos inžinerijos gerąją praktiką: turi būti numeruoti dokumentų skyriai ir poskyriai, pateikta informacija ir duomenys gali būti lengvai randami ir unikaliai identifikuojami, rengiamos diagramos turi atitikti pasirinktos notacijos reikalavimus ir būti aprašytos tekstu.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color w:themeColor="text1" w:themeTint="a6" w:val="000000"/>
                <w:szCs w:val="24"/>
                <w:lang w:eastAsia="ar-SA"/>
              </w:rPr>
              <w:t>Sutarties vykdymo metu Tiekėjas prieš pradėdamas rengti sutarties vykdymo rezultatus (dokumentus) preliminarų jų turinį ir formą turi suderinti su Perkančiąja organizacija.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cs="Times New Roman"/>
                <w:szCs w:val="24"/>
              </w:rPr>
              <w:t>Derinimui skirtos dokumentų versijos turi būti pateikiamos el. formatu el. paštu ar kitomis su Perkančiąja organizacija suderintomis el. ryšio priemonėmis.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cs="Times New Roman"/>
                <w:szCs w:val="24"/>
              </w:rPr>
            </w:pPr>
            <w:r>
              <w:rPr>
                <w:rFonts w:cs="Times New Roman"/>
                <w:szCs w:val="24"/>
              </w:rPr>
              <w:t>Rezultatai pateikiami peržiūrai, vertinami ir derinami vadovaujantis tokiomis bendromis taisyklėmis:</w:t>
            </w:r>
          </w:p>
          <w:p>
            <w:pPr>
              <w:pStyle w:val="ListParagraph"/>
              <w:numPr>
                <w:ilvl w:val="0"/>
                <w:numId w:val="12"/>
              </w:numPr>
              <w:jc w:val="both"/>
              <w:rPr>
                <w:rFonts w:cs="Times New Roman"/>
                <w:szCs w:val="24"/>
              </w:rPr>
            </w:pPr>
            <w:r>
              <w:rPr>
                <w:rFonts w:cs="Times New Roman"/>
                <w:szCs w:val="24"/>
              </w:rPr>
              <w:t>pateiktos derinimui rezultatų formos ir turinio suderinimas turi būti atliktas per 3 darbo dienas nuo rezultatų pateikimo, nebent būtų susitarta dėl kitokio rezultatų derinimo termino;</w:t>
            </w:r>
          </w:p>
          <w:p>
            <w:pPr>
              <w:pStyle w:val="ListParagraph"/>
              <w:numPr>
                <w:ilvl w:val="0"/>
                <w:numId w:val="12"/>
              </w:numPr>
              <w:jc w:val="both"/>
              <w:rPr>
                <w:rFonts w:cs="Times New Roman"/>
                <w:szCs w:val="24"/>
              </w:rPr>
            </w:pPr>
            <w:r>
              <w:rPr>
                <w:rFonts w:cs="Times New Roman"/>
                <w:szCs w:val="24"/>
              </w:rPr>
              <w:t>dokumentas iki 100 psl. apimties turi būti peržiūrimas ir pastabos pateikiamos ne daugiau kaip per 5 d. d., didesnės apimties dokumentai turi būti peržiūrimi ne daugiau kaip per 10 d. d. Šalių sutarimu gali būti suderinami ir kiti dokumentų peržiūros ir derinimo terminai;</w:t>
            </w:r>
          </w:p>
          <w:p>
            <w:pPr>
              <w:pStyle w:val="ListParagraph"/>
              <w:numPr>
                <w:ilvl w:val="0"/>
                <w:numId w:val="12"/>
              </w:numPr>
              <w:jc w:val="both"/>
              <w:rPr>
                <w:rFonts w:cs="Times New Roman"/>
                <w:szCs w:val="24"/>
              </w:rPr>
            </w:pPr>
            <w:r>
              <w:rPr>
                <w:rFonts w:cs="Times New Roman"/>
                <w:szCs w:val="24"/>
              </w:rPr>
              <w:t>derinamo dokumento peržiūros ir pastabų teikimo terminas pradedamas skaičiuoti kitą dieną nuo dokumento gavimo Perkančiojoje organizacijoje;</w:t>
            </w:r>
          </w:p>
          <w:p>
            <w:pPr>
              <w:pStyle w:val="ListParagraph"/>
              <w:numPr>
                <w:ilvl w:val="0"/>
                <w:numId w:val="12"/>
              </w:numPr>
              <w:jc w:val="both"/>
              <w:rPr>
                <w:rFonts w:cs="Times New Roman"/>
                <w:szCs w:val="24"/>
              </w:rPr>
            </w:pPr>
            <w:r>
              <w:rPr>
                <w:rFonts w:cs="Times New Roman"/>
                <w:szCs w:val="24"/>
              </w:rPr>
              <w:t>atliekant pakartotinę rezultato peržiūrą, teikiamos pastabos ir komentarai dėl anksčiau pateiktų pastabų ir komentarų, t. y. tikrinama, ar tinkamai atsižvelgta į pastabas ir komentarus, ir teikiamos pastabos tik tai daliai į kurią neatsižvelgta. Atliekant pakartotinę peržiūrą turi būti įvertinta ir tai, kokią įtaką pataisymai daro dokumento turinio vientisumui, ar neiššaukia prieštaravimų su dokumente fiksuotomis nuostatomis;</w:t>
            </w:r>
          </w:p>
          <w:p>
            <w:pPr>
              <w:pStyle w:val="ListParagraph"/>
              <w:numPr>
                <w:ilvl w:val="0"/>
                <w:numId w:val="12"/>
              </w:numPr>
              <w:jc w:val="both"/>
              <w:rPr>
                <w:rFonts w:cs="Times New Roman"/>
                <w:szCs w:val="24"/>
              </w:rPr>
            </w:pPr>
            <w:r>
              <w:rPr>
                <w:rFonts w:cs="Times New Roman"/>
                <w:szCs w:val="24"/>
              </w:rPr>
              <w:t>teikiamos pastabos ir komentarai turi būti nedviprasmiški ir konkretūs nurodantys konkretų neatitikimą ir jo pataisymo būdą;</w:t>
            </w:r>
          </w:p>
          <w:p>
            <w:pPr>
              <w:pStyle w:val="ListParagraph"/>
              <w:numPr>
                <w:ilvl w:val="0"/>
                <w:numId w:val="12"/>
              </w:numPr>
              <w:spacing w:before="40" w:after="160"/>
              <w:contextualSpacing/>
              <w:jc w:val="both"/>
              <w:rPr/>
            </w:pPr>
            <w:r>
              <w:rPr>
                <w:rFonts w:cs="Times New Roman"/>
                <w:szCs w:val="24"/>
              </w:rPr>
              <w:t>po dokumentų pataisymo turi būti vykdomas pakartotinis dokumentų derinimas vadovaujantis tomis pačiomis nuostatomis kaip ir pirminio derinimo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Turi būti parengta ir pateikta ši dokumentacija:</w:t>
            </w:r>
          </w:p>
          <w:p>
            <w:pPr>
              <w:pStyle w:val="ListParagraph"/>
              <w:numPr>
                <w:ilvl w:val="0"/>
                <w:numId w:val="12"/>
              </w:numPr>
              <w:jc w:val="both"/>
              <w:rPr>
                <w:rFonts w:cs="Times New Roman"/>
                <w:szCs w:val="24"/>
              </w:rPr>
            </w:pPr>
            <w:r>
              <w:rPr>
                <w:rFonts w:cs="Times New Roman"/>
                <w:szCs w:val="24"/>
              </w:rPr>
              <w:t>Sutarties vykdymo reglamentas, kuriame turi būti nurodyti Projekto tikslai, etapų apimtys ir rezultatai, darbų atlikimo grafikas, komunikavimo principai, papildomų paslaugų, pakeitimų dėl nenumatytų reikalavimų užsakymo ir įgyvendinimo procedūra, tarpinių ir galutinių rezultatų priėmimo kriterijai ir visa kita Projekto vykdymui ir pokyčių valdymui aktuali informacija.</w:t>
            </w:r>
          </w:p>
          <w:p>
            <w:pPr>
              <w:pStyle w:val="ListParagraph"/>
              <w:numPr>
                <w:ilvl w:val="0"/>
                <w:numId w:val="12"/>
              </w:numPr>
              <w:jc w:val="both"/>
              <w:rPr>
                <w:rFonts w:cs="Times New Roman"/>
                <w:szCs w:val="24"/>
              </w:rPr>
            </w:pPr>
            <w:r>
              <w:rPr>
                <w:rFonts w:cs="Times New Roman"/>
                <w:szCs w:val="24"/>
              </w:rPr>
              <w:t xml:space="preserve">Detalios analizės ataskaita, kurioje turi būti išanalizuoti ir detalizuoti funkciniai ir nefunkciniai Techninės specifikacijos reikalavimai bei kiti Perkančiosios organizacijos išsakyti poreikiai, parengti panaudos atvejai (angl. </w:t>
            </w:r>
            <w:r>
              <w:rPr>
                <w:rFonts w:cs="Times New Roman"/>
                <w:i/>
                <w:szCs w:val="24"/>
              </w:rPr>
              <w:t>use case</w:t>
            </w:r>
            <w:r>
              <w:rPr>
                <w:rFonts w:cs="Times New Roman"/>
                <w:szCs w:val="24"/>
              </w:rPr>
              <w:t xml:space="preserve">), kurie pateikiami panaudos atvejų diagramomis pagal UML (angl. </w:t>
            </w:r>
            <w:r>
              <w:rPr>
                <w:rFonts w:cs="Times New Roman"/>
                <w:i/>
                <w:szCs w:val="24"/>
              </w:rPr>
              <w:t>Unified Modeling Language</w:t>
            </w:r>
            <w:r>
              <w:rPr>
                <w:rFonts w:cs="Times New Roman"/>
                <w:szCs w:val="24"/>
              </w:rPr>
              <w:t>) notaciją ir detalizuojami aprašant kiekvieno naudojimo atvejo vykdymo žingsnius (pagrindinę eigą, alternatyvią eigą, išimtinę eigą) ir kitus apribojimus. Sudėtingesni panaudos atvejai ar jų grupės turi būti detalizuojami naudojant procesų modeliavimo diagramas (UML, BPMN (</w:t>
            </w:r>
            <w:r>
              <w:rPr>
                <w:rFonts w:cs="Times New Roman"/>
                <w:i/>
                <w:szCs w:val="24"/>
              </w:rPr>
              <w:t>Business Process Model and Notation</w:t>
            </w:r>
            <w:r>
              <w:rPr>
                <w:rFonts w:cs="Times New Roman"/>
                <w:szCs w:val="24"/>
              </w:rPr>
              <w:t xml:space="preserve">) ar lygiavertes diagramas). Turi būti pateikti pastarųjų diagramų struktūrizuoti aprašai. </w:t>
            </w:r>
          </w:p>
          <w:p>
            <w:pPr>
              <w:pStyle w:val="ListParagraph"/>
              <w:numPr>
                <w:ilvl w:val="0"/>
                <w:numId w:val="12"/>
              </w:numPr>
              <w:jc w:val="both"/>
              <w:rPr>
                <w:rFonts w:cs="Times New Roman"/>
                <w:szCs w:val="24"/>
              </w:rPr>
            </w:pPr>
            <w:r>
              <w:rPr>
                <w:rFonts w:cs="Times New Roman"/>
                <w:szCs w:val="24"/>
              </w:rPr>
              <w:t xml:space="preserve">Detalūs projektavimo dokumentai, kuriuose turi būti pateikta detalios analizės ataskaitose aprašytų reikalavimų realizacija. Realizacija turi būti pateikta aprašant panaudos atvejus (angl. </w:t>
            </w:r>
            <w:r>
              <w:rPr>
                <w:rFonts w:cs="Times New Roman"/>
                <w:i/>
                <w:szCs w:val="24"/>
              </w:rPr>
              <w:t>use case</w:t>
            </w:r>
            <w:r>
              <w:rPr>
                <w:rFonts w:cs="Times New Roman"/>
                <w:szCs w:val="24"/>
              </w:rPr>
              <w:t>) arba parengta kitu su Perkančiąja organizacija suderintu būdu. Dokumentai turi apimti (įskaitant, bet neapsiribojant):</w:t>
            </w:r>
          </w:p>
          <w:p>
            <w:pPr>
              <w:pStyle w:val="ListParagraph"/>
              <w:numPr>
                <w:ilvl w:val="1"/>
                <w:numId w:val="46"/>
              </w:numPr>
              <w:ind w:hanging="360" w:left="1440" w:right="113"/>
              <w:jc w:val="both"/>
              <w:rPr>
                <w:rFonts w:cs="Times New Roman"/>
                <w:szCs w:val="24"/>
              </w:rPr>
            </w:pPr>
            <w:r>
              <w:rPr>
                <w:rFonts w:cs="Times New Roman"/>
                <w:szCs w:val="24"/>
              </w:rPr>
              <w:t xml:space="preserve">Detalizuotų reikalavimų realizavimo aprašymą (pateikiant detalias nuorodas į Sistemos funkcijas, kurių pagalba bus įvykdoma vienokia ar kitokia funkcija ar veiksmas, Sistemos ekraninis vaizdas, taikomos taisyklės ar apribojimai bei kita susijusi informacija). Iš pateiktos informacijos turi būti aišku, kaip bus realizuojamas kiekvienas kuriamai programinei įrangai keliamas reikalavimas ir galutinis sprendimas; </w:t>
            </w:r>
          </w:p>
          <w:p>
            <w:pPr>
              <w:pStyle w:val="ListParagraph"/>
              <w:numPr>
                <w:ilvl w:val="1"/>
                <w:numId w:val="46"/>
              </w:numPr>
              <w:ind w:hanging="360" w:left="1440" w:right="113"/>
              <w:jc w:val="both"/>
              <w:rPr>
                <w:rFonts w:cs="Times New Roman"/>
                <w:szCs w:val="24"/>
              </w:rPr>
            </w:pPr>
            <w:r>
              <w:rPr>
                <w:rFonts w:cs="Times New Roman"/>
                <w:szCs w:val="24"/>
              </w:rPr>
              <w:t>Detalizuotas Sistemos logines schemas, susiejant visus kuriamus panaudos atvejus su konkrečiais moduliais ar komponentais;</w:t>
            </w:r>
          </w:p>
          <w:p>
            <w:pPr>
              <w:pStyle w:val="ListParagraph"/>
              <w:numPr>
                <w:ilvl w:val="1"/>
                <w:numId w:val="46"/>
              </w:numPr>
              <w:ind w:hanging="360" w:left="1440" w:right="113"/>
              <w:jc w:val="both"/>
              <w:rPr>
                <w:rFonts w:cs="Times New Roman"/>
                <w:szCs w:val="24"/>
              </w:rPr>
            </w:pPr>
            <w:r>
              <w:rPr>
                <w:rFonts w:cs="Times New Roman"/>
                <w:szCs w:val="24"/>
              </w:rPr>
              <w:t xml:space="preserve">Parametrų aprašymus. Turi būti pateiktas konfigūracijos parametrų, nustatančių Sistemos veikimą pagal realius veiklos procesus bei užtikrinančių atitiktį visiems jai keliamiems reikalavimams, aprašymas; </w:t>
            </w:r>
          </w:p>
          <w:p>
            <w:pPr>
              <w:pStyle w:val="ListParagraph"/>
              <w:numPr>
                <w:ilvl w:val="1"/>
                <w:numId w:val="46"/>
              </w:numPr>
              <w:ind w:hanging="360" w:left="1440" w:right="113"/>
              <w:jc w:val="both"/>
              <w:rPr>
                <w:rFonts w:cs="Times New Roman"/>
                <w:szCs w:val="24"/>
              </w:rPr>
            </w:pPr>
            <w:r>
              <w:rPr>
                <w:rFonts w:cs="Times New Roman"/>
                <w:szCs w:val="24"/>
              </w:rPr>
              <w:t xml:space="preserve">Duomenų bazės struktūros ir modelio aprašymą; </w:t>
            </w:r>
          </w:p>
          <w:p>
            <w:pPr>
              <w:pStyle w:val="ListParagraph"/>
              <w:numPr>
                <w:ilvl w:val="1"/>
                <w:numId w:val="46"/>
              </w:numPr>
              <w:ind w:hanging="360" w:left="1440" w:right="113"/>
              <w:jc w:val="both"/>
              <w:rPr>
                <w:rFonts w:cs="Times New Roman"/>
                <w:szCs w:val="24"/>
              </w:rPr>
            </w:pPr>
            <w:r>
              <w:rPr>
                <w:rFonts w:cs="Times New Roman"/>
                <w:szCs w:val="24"/>
              </w:rPr>
              <w:t xml:space="preserve">Sąsajų tarp sistemų (angl. </w:t>
            </w:r>
            <w:r>
              <w:rPr>
                <w:rFonts w:cs="Times New Roman"/>
                <w:i/>
                <w:szCs w:val="24"/>
              </w:rPr>
              <w:t>interface</w:t>
            </w:r>
            <w:r>
              <w:rPr>
                <w:rFonts w:cs="Times New Roman"/>
                <w:szCs w:val="24"/>
              </w:rPr>
              <w:t>) ir jų valdymo bei funkcinių sričių aprašymus.</w:t>
            </w:r>
          </w:p>
          <w:p>
            <w:pPr>
              <w:pStyle w:val="ListParagraph"/>
              <w:numPr>
                <w:ilvl w:val="0"/>
                <w:numId w:val="12"/>
              </w:numPr>
              <w:jc w:val="both"/>
              <w:rPr>
                <w:rFonts w:cs="Times New Roman"/>
                <w:szCs w:val="24"/>
              </w:rPr>
            </w:pPr>
            <w:r>
              <w:rPr>
                <w:rFonts w:cs="Times New Roman"/>
                <w:szCs w:val="24"/>
              </w:rPr>
              <w:t>Konstravimo etapo metu turės būti parengta programinės įrangos konstravimo ataskaita, kurioje turės būti pateikiama:</w:t>
            </w:r>
          </w:p>
          <w:p>
            <w:pPr>
              <w:pStyle w:val="ListParagraph"/>
              <w:numPr>
                <w:ilvl w:val="1"/>
                <w:numId w:val="46"/>
              </w:numPr>
              <w:ind w:hanging="360" w:left="1440" w:right="113"/>
              <w:jc w:val="both"/>
              <w:rPr>
                <w:rFonts w:cs="Times New Roman"/>
                <w:szCs w:val="24"/>
              </w:rPr>
            </w:pPr>
            <w:r>
              <w:rPr>
                <w:rFonts w:cs="Times New Roman"/>
                <w:szCs w:val="24"/>
              </w:rPr>
              <w:t>Realizuotų sprendimų apibendrinantis aprašymas;</w:t>
            </w:r>
          </w:p>
          <w:p>
            <w:pPr>
              <w:pStyle w:val="ListParagraph"/>
              <w:numPr>
                <w:ilvl w:val="1"/>
                <w:numId w:val="46"/>
              </w:numPr>
              <w:ind w:hanging="360" w:left="1440" w:right="113"/>
              <w:jc w:val="both"/>
              <w:rPr>
                <w:rFonts w:cs="Times New Roman"/>
                <w:szCs w:val="24"/>
              </w:rPr>
            </w:pPr>
            <w:r>
              <w:rPr>
                <w:rFonts w:cs="Times New Roman"/>
                <w:szCs w:val="24"/>
              </w:rPr>
              <w:t>Realizuotų reikalavimų ir procesų aprašymas,</w:t>
            </w:r>
          </w:p>
          <w:p>
            <w:pPr>
              <w:pStyle w:val="ListParagraph"/>
              <w:numPr>
                <w:ilvl w:val="1"/>
                <w:numId w:val="46"/>
              </w:numPr>
              <w:ind w:hanging="360" w:left="1440" w:right="113"/>
              <w:jc w:val="both"/>
              <w:rPr>
                <w:rFonts w:cs="Times New Roman"/>
                <w:szCs w:val="24"/>
              </w:rPr>
            </w:pPr>
            <w:r>
              <w:rPr>
                <w:rFonts w:cs="Times New Roman"/>
                <w:szCs w:val="24"/>
              </w:rPr>
              <w:t>Techninės realizacijos aprašymas (apimantis reikalavimų techniniam sprendimui detalizaciją);</w:t>
            </w:r>
          </w:p>
          <w:p>
            <w:pPr>
              <w:pStyle w:val="ListParagraph"/>
              <w:numPr>
                <w:ilvl w:val="1"/>
                <w:numId w:val="46"/>
              </w:numPr>
              <w:ind w:hanging="360" w:left="1440" w:right="113"/>
              <w:jc w:val="both"/>
              <w:rPr>
                <w:rFonts w:cs="Times New Roman"/>
                <w:szCs w:val="24"/>
              </w:rPr>
            </w:pPr>
            <w:r>
              <w:rPr>
                <w:rFonts w:cs="Times New Roman"/>
                <w:szCs w:val="24"/>
              </w:rPr>
              <w:t>Vidinio testavimo rezultatų aprašymas;</w:t>
            </w:r>
          </w:p>
          <w:p>
            <w:pPr>
              <w:pStyle w:val="ListParagraph"/>
              <w:numPr>
                <w:ilvl w:val="1"/>
                <w:numId w:val="46"/>
              </w:numPr>
              <w:ind w:hanging="360" w:left="1440" w:right="113"/>
              <w:jc w:val="both"/>
              <w:rPr>
                <w:rFonts w:cs="Times New Roman"/>
                <w:szCs w:val="24"/>
              </w:rPr>
            </w:pPr>
            <w:r>
              <w:rPr>
                <w:rFonts w:cs="Times New Roman"/>
                <w:szCs w:val="24"/>
              </w:rPr>
              <w:t>Kita aktuali informacija.</w:t>
            </w:r>
          </w:p>
          <w:p>
            <w:pPr>
              <w:pStyle w:val="ListParagraph"/>
              <w:numPr>
                <w:ilvl w:val="0"/>
                <w:numId w:val="12"/>
              </w:numPr>
              <w:jc w:val="both"/>
              <w:rPr>
                <w:rFonts w:cs="Times New Roman"/>
                <w:szCs w:val="24"/>
              </w:rPr>
            </w:pPr>
            <w:r>
              <w:rPr>
                <w:rFonts w:cs="Times New Roman"/>
                <w:szCs w:val="24"/>
              </w:rPr>
              <w:t>Testavimo dokumentacija, apimanti šiuos dokumentus:</w:t>
            </w:r>
          </w:p>
          <w:p>
            <w:pPr>
              <w:pStyle w:val="ListParagraph"/>
              <w:numPr>
                <w:ilvl w:val="1"/>
                <w:numId w:val="46"/>
              </w:numPr>
              <w:ind w:hanging="360" w:left="1440" w:right="113"/>
              <w:jc w:val="both"/>
              <w:rPr>
                <w:rFonts w:cs="Times New Roman"/>
                <w:szCs w:val="24"/>
              </w:rPr>
            </w:pPr>
            <w:r>
              <w:rPr>
                <w:rFonts w:cs="Times New Roman"/>
                <w:szCs w:val="24"/>
              </w:rPr>
              <w:t>Testavimo planas ir metodika;</w:t>
            </w:r>
          </w:p>
          <w:p>
            <w:pPr>
              <w:pStyle w:val="ListParagraph"/>
              <w:numPr>
                <w:ilvl w:val="1"/>
                <w:numId w:val="46"/>
              </w:numPr>
              <w:ind w:hanging="360" w:left="1440" w:right="113"/>
              <w:jc w:val="both"/>
              <w:rPr>
                <w:rFonts w:cs="Times New Roman"/>
                <w:szCs w:val="24"/>
              </w:rPr>
            </w:pPr>
            <w:r>
              <w:rPr>
                <w:rFonts w:cs="Times New Roman"/>
                <w:szCs w:val="24"/>
              </w:rPr>
              <w:t>Testavimo scenarijai;</w:t>
            </w:r>
          </w:p>
          <w:p>
            <w:pPr>
              <w:pStyle w:val="ListParagraph"/>
              <w:numPr>
                <w:ilvl w:val="1"/>
                <w:numId w:val="46"/>
              </w:numPr>
              <w:ind w:hanging="360" w:left="1440" w:right="113"/>
              <w:jc w:val="both"/>
              <w:rPr>
                <w:rFonts w:cs="Times New Roman"/>
                <w:szCs w:val="24"/>
              </w:rPr>
            </w:pPr>
            <w:r>
              <w:rPr>
                <w:rFonts w:cs="Times New Roman"/>
                <w:szCs w:val="24"/>
              </w:rPr>
              <w:t>Testavimo ir pakartotinio testavimo ataskaitos.</w:t>
            </w:r>
          </w:p>
          <w:p>
            <w:pPr>
              <w:pStyle w:val="ListParagraph"/>
              <w:numPr>
                <w:ilvl w:val="0"/>
                <w:numId w:val="12"/>
              </w:numPr>
              <w:jc w:val="both"/>
              <w:rPr>
                <w:rFonts w:cs="Times New Roman"/>
                <w:szCs w:val="24"/>
              </w:rPr>
            </w:pPr>
            <w:r>
              <w:rPr>
                <w:rFonts w:cs="Times New Roman"/>
                <w:szCs w:val="24"/>
              </w:rPr>
              <w:t>Mokymų dokumentacija, apimanti mokymų planą, administratorių ir naudotojų vadovus, pagalbos vadovus (tik el. formatu) ir mokymų medžiagą.</w:t>
            </w:r>
          </w:p>
          <w:p>
            <w:pPr>
              <w:pStyle w:val="ListParagraph"/>
              <w:numPr>
                <w:ilvl w:val="0"/>
                <w:numId w:val="12"/>
              </w:numPr>
              <w:jc w:val="both"/>
              <w:rPr>
                <w:rFonts w:cs="Times New Roman"/>
                <w:szCs w:val="24"/>
              </w:rPr>
            </w:pPr>
            <w:r>
              <w:rPr>
                <w:rFonts w:cs="Times New Roman"/>
                <w:szCs w:val="24"/>
              </w:rPr>
              <w:t>Diegimo planas ir diegimo ataskaita.</w:t>
            </w:r>
          </w:p>
          <w:p>
            <w:pPr>
              <w:pStyle w:val="ListParagraph"/>
              <w:numPr>
                <w:ilvl w:val="0"/>
                <w:numId w:val="12"/>
              </w:numPr>
              <w:jc w:val="both"/>
              <w:rPr>
                <w:rFonts w:cs="Times New Roman"/>
                <w:szCs w:val="24"/>
              </w:rPr>
            </w:pPr>
            <w:r>
              <w:rPr>
                <w:rFonts w:cs="Times New Roman"/>
                <w:szCs w:val="24"/>
              </w:rPr>
              <w:t>Bandomosios eksploatacijos planas ir ataskaita.</w:t>
            </w:r>
          </w:p>
          <w:p>
            <w:pPr>
              <w:pStyle w:val="ListParagraph"/>
              <w:numPr>
                <w:ilvl w:val="0"/>
                <w:numId w:val="12"/>
              </w:numPr>
              <w:spacing w:before="40" w:after="160"/>
              <w:contextualSpacing/>
              <w:jc w:val="both"/>
              <w:rPr/>
            </w:pPr>
            <w:r>
              <w:rPr>
                <w:rFonts w:cs="Times New Roman"/>
                <w:szCs w:val="24"/>
              </w:rPr>
              <w:t>Garantinio aptarnavimo reglamentas.</w:t>
            </w:r>
          </w:p>
        </w:tc>
      </w:tr>
    </w:tbl>
    <w:p>
      <w:pPr>
        <w:pStyle w:val="Heading3"/>
        <w:numPr>
          <w:ilvl w:val="2"/>
          <w:numId w:val="35"/>
        </w:numPr>
        <w:rPr/>
      </w:pPr>
      <w:bookmarkStart w:id="108" w:name="_Toc191546234"/>
      <w:r>
        <w:rPr/>
        <w:t>Reikalavimai naudotojų mokymams</w:t>
      </w:r>
      <w:bookmarkEnd w:id="10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mokymų etapo pradžios Tiekėjas turi parengti mokymų planą, kuriame turi būti pateikiama:</w:t>
            </w:r>
          </w:p>
          <w:p>
            <w:pPr>
              <w:pStyle w:val="ListParagraph"/>
              <w:numPr>
                <w:ilvl w:val="0"/>
                <w:numId w:val="12"/>
              </w:numPr>
              <w:jc w:val="both"/>
              <w:rPr>
                <w:rFonts w:cs="Times New Roman"/>
                <w:szCs w:val="24"/>
              </w:rPr>
            </w:pPr>
            <w:r>
              <w:rPr>
                <w:rFonts w:cs="Times New Roman"/>
                <w:szCs w:val="24"/>
              </w:rPr>
              <w:t>Mokymų tvarkaraštis, aprašantis kada ir kaip bus atliekami mokymai;</w:t>
            </w:r>
          </w:p>
          <w:p>
            <w:pPr>
              <w:pStyle w:val="ListParagraph"/>
              <w:numPr>
                <w:ilvl w:val="0"/>
                <w:numId w:val="12"/>
              </w:numPr>
              <w:jc w:val="both"/>
              <w:rPr>
                <w:rFonts w:cs="Times New Roman"/>
                <w:szCs w:val="24"/>
              </w:rPr>
            </w:pPr>
            <w:r>
              <w:rPr>
                <w:rFonts w:cs="Times New Roman"/>
                <w:szCs w:val="24"/>
              </w:rPr>
              <w:t>Mokymų programa (temos ir jų aprašymas);</w:t>
            </w:r>
          </w:p>
          <w:p>
            <w:pPr>
              <w:pStyle w:val="ListParagraph"/>
              <w:numPr>
                <w:ilvl w:val="0"/>
                <w:numId w:val="12"/>
              </w:numPr>
              <w:spacing w:before="40" w:after="160"/>
              <w:contextualSpacing/>
              <w:jc w:val="both"/>
              <w:rPr/>
            </w:pPr>
            <w:r>
              <w:rPr>
                <w:rFonts w:cs="Times New Roman"/>
                <w:szCs w:val="24"/>
              </w:rPr>
              <w:t>Įrankiai, medžiaga (informacija) ir praktinės mokymo kurso darbų užduotys, kurios bus naudojamos mokymų įgyvendinimo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rPr>
            </w:pPr>
            <w:r>
              <w:rPr>
                <w:rFonts w:eastAsia="Times New Roman" w:cs="Times New Roman"/>
              </w:rPr>
              <w:t>Tiekėjas, mokymų plane nustatyta tvarka, turi įvykdyti mokymus (vieno užsiėmimo metu dalyvauti turi ne daugiau kaip 20 naudotojų (Perkančiosios organizacijos darbuotojų, SAM darbuotojų, VSB darbuotojų, Perkančiosios organizacijos administratorių)).</w:t>
            </w:r>
          </w:p>
          <w:p>
            <w:pPr>
              <w:pStyle w:val="Normal"/>
              <w:spacing w:before="40" w:after="160"/>
              <w:jc w:val="both"/>
              <w:rPr>
                <w:rFonts w:eastAsia="Times New Roman" w:cs="Times New Roman"/>
              </w:rPr>
            </w:pPr>
            <w:r>
              <w:rPr>
                <w:rFonts w:eastAsia="Times New Roman" w:cs="Times New Roman"/>
              </w:rPr>
              <w:t>Viso turi būti apmokyta iki 120 naudotojų suskirstant juos į grupes atitinkančias mokymo temą.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vykdomi nuotoliniu būdu (nebent su Perkančiąja organizacija yra suderinama kitaip).</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įrašomi, įrašai pateikiami Perkančiajai organizacijai.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vedami lietuvių kalba.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Mokymai turi būti vykdomi Perkančiosios organizacijos darbo valandomis.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5"/>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turi užregistruoti visus mokymuose dalyvavusius asmenis ir pateikti mokymų dalyvių sąrašą Perkančiajai organizacijai.</w:t>
            </w:r>
          </w:p>
        </w:tc>
      </w:tr>
    </w:tbl>
    <w:p>
      <w:pPr>
        <w:pStyle w:val="CentrBoldm"/>
        <w:tabs>
          <w:tab w:val="clear" w:pos="720"/>
          <w:tab w:val="left" w:pos="1701" w:leader="none"/>
          <w:tab w:val="left" w:pos="2250" w:leader="none"/>
        </w:tabs>
        <w:ind w:left="5040"/>
        <w:jc w:val="left"/>
        <w:rPr>
          <w:rFonts w:ascii="Times New Roman" w:hAnsi="Times New Roman"/>
          <w:b w:val="false"/>
        </w:rPr>
      </w:pPr>
      <w:r>
        <w:rPr>
          <w:rFonts w:ascii="Times New Roman" w:hAnsi="Times New Roman"/>
          <w:b w:val="false"/>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1"/>
        <w:numPr>
          <w:ilvl w:val="0"/>
          <w:numId w:val="35"/>
        </w:numPr>
        <w:rPr>
          <w:b/>
          <w:bCs/>
        </w:rPr>
      </w:pPr>
      <w:bookmarkStart w:id="109" w:name="_Toc191546235"/>
      <w:r>
        <w:rPr>
          <w:b/>
          <w:bCs/>
        </w:rPr>
        <w:t>Teisinės ir organizacinės sąlygos</w:t>
      </w:r>
      <w:bookmarkEnd w:id="109"/>
    </w:p>
    <w:p>
      <w:pPr>
        <w:pStyle w:val="Normal"/>
        <w:rPr/>
      </w:pPr>
      <w:r>
        <w:rPr/>
      </w:r>
    </w:p>
    <w:p>
      <w:pPr>
        <w:pStyle w:val="Normal"/>
        <w:rPr>
          <w:szCs w:val="24"/>
        </w:rPr>
      </w:pPr>
      <w:r>
        <w:rPr>
          <w:szCs w:val="24"/>
        </w:rPr>
        <w:t>Kuriant IT sprendimą turi būti vadovaujamasi šiais teisės aktais bei IT sprendimas turi atitikti šiuose teisės aktuose keliamus reikalavimus:</w:t>
      </w:r>
    </w:p>
    <w:p>
      <w:pPr>
        <w:pStyle w:val="ListParagraph"/>
        <w:numPr>
          <w:ilvl w:val="1"/>
          <w:numId w:val="35"/>
        </w:numPr>
        <w:shd w:val="clear" w:color="auto" w:fill="FFFFFF" w:themeFill="background1"/>
        <w:jc w:val="both"/>
        <w:rPr>
          <w:rFonts w:ascii="Arial" w:hAnsi="Arial" w:cs="Arial" w:asciiTheme="majorBidi" w:cstheme="majorBidi" w:hAnsiTheme="majorBidi"/>
          <w:color w:themeColor="text1" w:themeTint="a6" w:val="000000"/>
        </w:rPr>
      </w:pPr>
      <w:r>
        <w:rPr>
          <w:rFonts w:cs="Arial" w:ascii="Arial" w:hAnsi="Arial" w:asciiTheme="majorBidi" w:cstheme="majorBidi" w:hAnsiTheme="majorBidi"/>
          <w:color w:themeColor="text1" w:val="000000"/>
        </w:rPr>
        <w:t>2016 m. balandžio 27 d. Europos Parlamento ir Tarybos reglamentu (ES) 2016/679 dėl fizinių asmenų apsaugos tvarkant asmens duomenis ir dėl laisvo tokių duomenų judėjimo ir kuriuo panaikinama Direktyva 95/46/EB (Bendrasis duomenų apsaugos reglamentas);</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valstybės informacinių išteklių valdymo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švietimo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visuomenės sveikatos priežiūros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visuomenės sveikatos stebėsenos (monitoringo)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kibernetinio saugumo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asmens duomenų teisinės apsaugos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teisės gauti informaciją ir duomenų pakartotinio naudojimo įstatymu;</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Vyriausybės 2023 m. liepos 19 d. nutarimu Nr. 576 „Dėl Valstybės informacinių išteklių svarbos vertinimo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Vyriausybės 2013 m. vasario 27 d. nutarimu Nr. 180 „Dėl Valstybės informacinių sistemų steigimo, kūrimo, modernizavimo ir likvidavimo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Vyriausybės 2013 m. liepos 24 d. nutarimu Nr. 716 „Dėl Bendrųjų elektroninės informacijos saugos reikalavimų aprašo ir Saugos dokumentų turinio gairių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Vyriausybės 2018 m. rugpjūčio 13 d. nutarimu Nr. 818 „Dėl Lietuvos Respublikos kibernetinio saugumo įstatymo įgyvendinimo“;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2014 m. lapkričio 10 d. įsakymu Nr. V-1154 „Dėl Valstybės biudžeto specialios tikslinės dotacijos, skiriamos savivaldybių biudžetams Sveikatos apsaugos ministerijos kuruojamoms valstybinėms (valstybės perduotoms savivaldybėms) visuomenės sveikatos priežiūros funkcijoms vykdyti, planavimo, paskirstymo, naudojimo ir atsiskaitymo už ją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2013 m. spalio 11 d. įsakymu Nr. V-932 „Dėl Specialios tikslinės dotacijos, skirtos valstybinėms (valstybės perduotoms savivaldybėms) visuomenės sveikatos priežiūros funkcijoms vykdyti, poreikio apskaičiavimo  metodikos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ir Lietuvos Respublikos švietimo ir mokslo ministro 2005 m. gruodžio 30 d. įsakymu Nr. V-1035/ISAK-2680 „Dėl sveikatos priežiūros mokykloje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2011 m. lapkričio 11 d. įsakymu V-964 „Dėl Vaikų maitinimo organizavimo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2014 m. rugsėjo 22 d. įsakymu Nr. V-979 „Dėl sveikatos stiprinimo programos, skirtos širdies ir kraujagyslių ligų bei cukrinio diabeto profilaktikai, organizavimo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2023 m. sausio 5 d. įsakymu Nr. V-18 „Dėl socialinio recepto iniciatyvos vykdymo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2022 m. balandžio 21 d. įsakymu Nr. V-796 „Dėl sveikatos stiprinimo programų ikimokyklinio ir mokyklinio amžiaus vaikų tėvams „Neįtikėtini metai“ organizavimo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2019 m. balandžio 30 d. įsakymu Nr. V-523 „Dėl mokyklų darbuotojų kompetencijos psichikos sveikatos srityje didinimo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2020 m. liepos 31 d. įsakymu Nr. V-1733 „Dėl psichologinės gerovės ir psichikos sveikatos stiprinimo paslaugų teikimo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2020 m. spalio 19 d. įsakymu Nr. V-2298 „Dėl savižudybių prevencijos mokymų instruktorių veiklos ir bazinių savižudybių prevencijos mokymų organizavimo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2024 m. sausio 12 d. įsakymu Nr. V-32 „Dėl Savižudybių prevencijos koordinavimo savivaldybėse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Lietuvos Respublikos sveikatos apsaugos ministro 2019 m. gegužės 17 d. įsakymu Nr. V-590 „Dėl darbuotojų kompetencijos psichikos sveikatos srityje didinimo tvarkos aprašo patvirtinimo“;</w:t>
      </w:r>
    </w:p>
    <w:p>
      <w:pPr>
        <w:pStyle w:val="ListParagraph"/>
        <w:numPr>
          <w:ilvl w:val="1"/>
          <w:numId w:val="35"/>
        </w:numPr>
        <w:shd w:val="clear" w:color="auto" w:fill="FFFFFF"/>
        <w:jc w:val="both"/>
        <w:rPr>
          <w:rFonts w:ascii="Arial" w:hAnsi="Arial" w:cs="Arial" w:asciiTheme="majorBidi" w:cstheme="majorBidi" w:hAnsiTheme="majorBidi"/>
          <w:color w:themeColor="text1" w:themeTint="a6" w:val="000000"/>
          <w:szCs w:val="24"/>
        </w:rPr>
      </w:pPr>
      <w:r>
        <w:rPr>
          <w:rFonts w:cs="Arial" w:ascii="Arial" w:hAnsi="Arial" w:asciiTheme="majorBidi" w:cstheme="majorBidi" w:hAnsiTheme="majorBidi"/>
          <w:color w:themeColor="text1" w:themeTint="a6" w:val="000000"/>
          <w:szCs w:val="24"/>
        </w:rPr>
        <w:t>Valstybės skaitmeninių sprendimų agentūros direktoriaus 2013 m. kovo 25 d. įsakymu Nr. T-36 „Dėl Duomenų teikimo formatų ir standartų rekomendacijų patvirtinimo“;</w:t>
      </w:r>
    </w:p>
    <w:p>
      <w:pPr>
        <w:pStyle w:val="ListParagraph"/>
        <w:numPr>
          <w:ilvl w:val="1"/>
          <w:numId w:val="35"/>
        </w:numPr>
        <w:shd w:val="clear" w:color="auto" w:fill="FFFFFF" w:themeFill="background1"/>
        <w:jc w:val="both"/>
        <w:rPr>
          <w:rFonts w:ascii="Arial" w:hAnsi="Arial" w:cs="Arial" w:asciiTheme="majorBidi" w:cstheme="majorBidi" w:hAnsiTheme="majorBidi"/>
          <w:color w:themeColor="text1" w:themeTint="a6" w:val="000000"/>
        </w:rPr>
      </w:pPr>
      <w:r>
        <w:rPr>
          <w:rFonts w:cs="Arial" w:ascii="Arial" w:hAnsi="Arial" w:asciiTheme="majorBidi" w:cstheme="majorBidi" w:hAnsiTheme="majorBidi"/>
          <w:color w:themeColor="text1" w:val="000000"/>
        </w:rPr>
        <w:t>Lietuvos Respublikos sveikatos apsaugos ministro 2018 m. sausio 23 d. įsakymu Nr. 70 „Dėl rekomenduojamų visuomenės sveikatos specialistų pareigybių steigimo savivaldybėse“;</w:t>
      </w:r>
    </w:p>
    <w:p>
      <w:pPr>
        <w:pStyle w:val="ListParagraph"/>
        <w:numPr>
          <w:ilvl w:val="1"/>
          <w:numId w:val="35"/>
        </w:numPr>
        <w:shd w:val="clear" w:color="auto" w:fill="FFFFFF" w:themeFill="background1"/>
        <w:jc w:val="both"/>
        <w:rPr/>
      </w:pPr>
      <w:r>
        <w:rPr/>
        <w:t>Higienos instituto direktoriaus įsakymo projektu „Dėl Visuomenės sveikatos stiprinimo paslaugų valdymo tobulinimo poreikiams gerinti informacinių technologijų sprendimo atnaujinimo, Visuomenės sveikatos stiprinimo paslaugų valdymo tobulinimo poreikiams gerinti informacinės sistemos nuostatų ir Visuomenės sveikatos stiprinimo paslaugų valdymo tobulinimo poreikiams gerinti informacinės sistemos duomenų saugos nuostatų patvirtinimo“;</w:t>
      </w:r>
    </w:p>
    <w:p>
      <w:pPr>
        <w:pStyle w:val="ListParagraph"/>
        <w:numPr>
          <w:ilvl w:val="1"/>
          <w:numId w:val="35"/>
        </w:numPr>
        <w:shd w:val="clear" w:color="auto" w:fill="FFFFFF" w:themeFill="background1"/>
        <w:jc w:val="both"/>
        <w:rPr>
          <w:rFonts w:ascii="Arial" w:hAnsi="Arial" w:cs="Arial" w:asciiTheme="majorBidi" w:cstheme="majorBidi" w:hAnsiTheme="majorBidi"/>
          <w:color w:themeColor="text1" w:themeTint="a6" w:val="000000"/>
        </w:rPr>
      </w:pPr>
      <w:r>
        <w:rPr>
          <w:rFonts w:eastAsia="Times New Roman" w:cs="Times New Roman"/>
          <w:szCs w:val="24"/>
          <w:lang w:val="lt-LT"/>
        </w:rPr>
        <w:t xml:space="preserve">Higienos instituto direktoriaus 2023 m. lapkričio 10 d. įsakymu Nr. V-131 </w:t>
      </w:r>
      <w:r>
        <w:rPr>
          <w:rFonts w:cs="Times New Roman"/>
        </w:rPr>
        <w:t xml:space="preserve">„Dėl </w:t>
      </w:r>
      <w:r>
        <w:rPr>
          <w:rFonts w:eastAsia="Times New Roman" w:cs="Times New Roman"/>
          <w:szCs w:val="24"/>
          <w:lang w:val="lt-LT"/>
        </w:rPr>
        <w:t>Visuomenės sveikatos stiprinimo paslaugų valdymo tobulinimo poreikiams gerinti informacinių technologijų sprendimo  saugaus elektroninės informacijos tvarkymo taisyklių, Visuomenės sveikatos stiprinimo paslaugų valdymo tobulinimo poreikiams gerinti informacinių technologijų sprendimo veiklos tęstinumo valdymo plano, Visuomenės sveikatos stiprinimo paslaugų valdymo tobulinimo poreikiams gerinti informacinių technologijų sprendimo naudotojų administravimo taisyklių patvirtinimo</w:t>
      </w:r>
      <w:r>
        <w:rPr>
          <w:rFonts w:cs="Times New Roman"/>
        </w:rPr>
        <w:t>“</w:t>
      </w:r>
      <w:r>
        <w:rPr>
          <w:rFonts w:cs="Arial" w:ascii="Arial" w:hAnsi="Arial" w:asciiTheme="majorBidi" w:cstheme="majorBidi" w:hAnsiTheme="majorBidi"/>
          <w:color w:themeColor="text1" w:val="000000"/>
        </w:rPr>
        <w:t>.</w:t>
      </w:r>
    </w:p>
    <w:p>
      <w:pPr>
        <w:pStyle w:val="ListParagraph"/>
        <w:numPr>
          <w:ilvl w:val="1"/>
          <w:numId w:val="35"/>
        </w:numPr>
        <w:jc w:val="both"/>
        <w:rPr>
          <w:szCs w:val="24"/>
        </w:rPr>
      </w:pPr>
      <w:r>
        <w:rPr>
          <w:szCs w:val="24"/>
        </w:rPr>
        <w:t xml:space="preserve">Lietuvos Respublikos sveikatos apsaugos ministro 2018 m. rugsėjo 7 d. įsakymu </w:t>
      </w:r>
    </w:p>
    <w:p>
      <w:pPr>
        <w:pStyle w:val="ListParagraph"/>
        <w:numPr>
          <w:ilvl w:val="1"/>
          <w:numId w:val="35"/>
        </w:numPr>
        <w:jc w:val="both"/>
        <w:rPr>
          <w:szCs w:val="24"/>
        </w:rPr>
      </w:pPr>
      <w:r>
        <w:rPr>
          <w:szCs w:val="24"/>
        </w:rPr>
        <w:t>Nr. V-989 „Dėl Priklausomybės konsultavimo paslaugų rizikingai ir žalingai alkoholį vartojantiems asmenims teikimo tvarkos aprašo patvirtinimo“;</w:t>
      </w:r>
    </w:p>
    <w:p>
      <w:pPr>
        <w:pStyle w:val="ListParagraph"/>
        <w:numPr>
          <w:ilvl w:val="1"/>
          <w:numId w:val="35"/>
        </w:numPr>
        <w:jc w:val="both"/>
        <w:rPr>
          <w:szCs w:val="24"/>
        </w:rPr>
      </w:pPr>
      <w:r>
        <w:rPr>
          <w:szCs w:val="24"/>
        </w:rPr>
        <w:t>Lietuvos Respublikos sveikatos apsaugos ministro ir Lietuvos Respublikos švietimo, mokslo ir sporto ministro 2018 m. sausio 18 d. įsakymu Nr. V-60/V-39 „Dėl Ankstyvosios intervencijos programos vykdymo tvarkos aprašo patvirtinimo“;</w:t>
      </w:r>
    </w:p>
    <w:p>
      <w:pPr>
        <w:pStyle w:val="ListParagraph"/>
        <w:numPr>
          <w:ilvl w:val="1"/>
          <w:numId w:val="35"/>
        </w:numPr>
        <w:jc w:val="both"/>
        <w:rPr>
          <w:szCs w:val="24"/>
        </w:rPr>
      </w:pPr>
      <w:r>
        <w:rPr>
          <w:szCs w:val="24"/>
        </w:rPr>
        <w:t xml:space="preserve">Lietuvos Respublikos sveikatos apsaugos ministro 2020 m. spalio 22 d. įsakymu </w:t>
      </w:r>
    </w:p>
    <w:p>
      <w:pPr>
        <w:pStyle w:val="ListParagraph"/>
        <w:numPr>
          <w:ilvl w:val="1"/>
          <w:numId w:val="35"/>
        </w:numPr>
        <w:jc w:val="both"/>
        <w:rPr>
          <w:szCs w:val="24"/>
        </w:rPr>
      </w:pPr>
      <w:r>
        <w:rPr>
          <w:szCs w:val="24"/>
        </w:rPr>
        <w:t>Nr. V-2330 „Dėl Sveikos mitybos ir sveikatinamojo fizinio aktyvumo skatinimo tvarkos aprašo patvirtinimo“;</w:t>
      </w:r>
    </w:p>
    <w:p>
      <w:pPr>
        <w:pStyle w:val="ListParagraph"/>
        <w:numPr>
          <w:ilvl w:val="1"/>
          <w:numId w:val="35"/>
        </w:numPr>
        <w:jc w:val="both"/>
        <w:rPr>
          <w:szCs w:val="24"/>
        </w:rPr>
      </w:pPr>
      <w:r>
        <w:rPr>
          <w:szCs w:val="24"/>
        </w:rPr>
        <w:t>Lietuvos Respublikos sveikatos apsaugos ministro ir Lietuvos Respublikos švietimo, mokslo ir sporto ministro 2019 m. gegužės 31 d. įsakymu Nr. V-651/V-665 „Dėl mokyklų pripažinimo Sveikatą stiprinančiomis mokyklomis ir Aktyviomis mokyklomis tvarkos aprašo patvirtinimo“;</w:t>
      </w:r>
    </w:p>
    <w:p>
      <w:pPr>
        <w:pStyle w:val="ListParagraph"/>
        <w:numPr>
          <w:ilvl w:val="1"/>
          <w:numId w:val="35"/>
        </w:numPr>
        <w:jc w:val="both"/>
        <w:rPr>
          <w:szCs w:val="24"/>
        </w:rPr>
      </w:pPr>
      <w:r>
        <w:rPr>
          <w:szCs w:val="24"/>
        </w:rPr>
        <w:t xml:space="preserve">Lietuvos Respublikos sveikatos apsaugos ministro 2014 m. sausio 22 d. įsakymu </w:t>
      </w:r>
    </w:p>
    <w:p>
      <w:pPr>
        <w:pStyle w:val="ListParagraph"/>
        <w:numPr>
          <w:ilvl w:val="1"/>
          <w:numId w:val="35"/>
        </w:numPr>
        <w:jc w:val="both"/>
        <w:rPr>
          <w:szCs w:val="24"/>
        </w:rPr>
      </w:pPr>
      <w:r>
        <w:rPr>
          <w:szCs w:val="24"/>
        </w:rPr>
        <w:t>Nr. V-50 „Dėl maisto produktų ženklinimo simboliu „Rakto skylutė“;</w:t>
      </w:r>
    </w:p>
    <w:p>
      <w:pPr>
        <w:pStyle w:val="ListParagraph"/>
        <w:numPr>
          <w:ilvl w:val="1"/>
          <w:numId w:val="35"/>
        </w:numPr>
        <w:jc w:val="both"/>
        <w:rPr>
          <w:szCs w:val="24"/>
        </w:rPr>
      </w:pPr>
      <w:r>
        <w:rPr>
          <w:szCs w:val="24"/>
        </w:rPr>
        <w:t xml:space="preserve">Lietuvos Respublikos sveikatos apsaugos ministro 2021 m. sausio 22 d. įsakymu </w:t>
      </w:r>
    </w:p>
    <w:p>
      <w:pPr>
        <w:pStyle w:val="ListParagraph"/>
        <w:numPr>
          <w:ilvl w:val="1"/>
          <w:numId w:val="35"/>
        </w:numPr>
        <w:jc w:val="both"/>
        <w:rPr>
          <w:szCs w:val="24"/>
        </w:rPr>
      </w:pPr>
      <w:r>
        <w:rPr>
          <w:szCs w:val="24"/>
        </w:rPr>
        <w:t>Nr. V-119 „Dėl Sveikatinamojo fizinio aktyvumo skatinimo mokymų, skirtų vyresnio amžiaus asmenims, vykdymo savivaldybių visuomenės sveikatos biuruose, tvarkos aprašo patvirtinimo“;</w:t>
      </w:r>
    </w:p>
    <w:p>
      <w:pPr>
        <w:pStyle w:val="ListParagraph"/>
        <w:numPr>
          <w:ilvl w:val="1"/>
          <w:numId w:val="35"/>
        </w:numPr>
        <w:jc w:val="both"/>
        <w:rPr>
          <w:szCs w:val="24"/>
        </w:rPr>
      </w:pPr>
      <w:r>
        <w:rPr>
          <w:szCs w:val="24"/>
        </w:rPr>
        <w:t>Nuostatais;</w:t>
      </w:r>
    </w:p>
    <w:p>
      <w:pPr>
        <w:pStyle w:val="ListParagraph"/>
        <w:numPr>
          <w:ilvl w:val="1"/>
          <w:numId w:val="35"/>
        </w:numPr>
        <w:jc w:val="both"/>
        <w:rPr>
          <w:szCs w:val="24"/>
        </w:rPr>
      </w:pPr>
      <w:r>
        <w:rPr>
          <w:szCs w:val="24"/>
        </w:rPr>
        <w:t>kitais teisės aktais, reglamentuojančiais valstybės informacinių sistemų veiklą ir visuomenės sveikatos priežiūros paslaugų teikimą.</w:t>
      </w:r>
    </w:p>
    <w:p>
      <w:pPr>
        <w:pStyle w:val="Normal"/>
        <w:rPr>
          <w:szCs w:val="24"/>
        </w:rPr>
      </w:pPr>
      <w:r>
        <w:rPr>
          <w:szCs w:val="24"/>
        </w:rPr>
      </w:r>
    </w:p>
    <w:p>
      <w:pPr>
        <w:pStyle w:val="Normal"/>
        <w:rPr>
          <w:szCs w:val="24"/>
        </w:rPr>
      </w:pPr>
      <w:r>
        <w:rPr>
          <w:szCs w:val="24"/>
        </w:rPr>
      </w:r>
    </w:p>
    <w:p>
      <w:pPr>
        <w:pStyle w:val="Normal"/>
        <w:rPr>
          <w:szCs w:val="24"/>
        </w:rPr>
      </w:pPr>
      <w:r>
        <w:rPr>
          <w:szCs w:val="24"/>
        </w:rPr>
      </w:r>
    </w:p>
    <w:p>
      <w:pPr>
        <w:pStyle w:val="Heading1"/>
        <w:numPr>
          <w:ilvl w:val="0"/>
          <w:numId w:val="35"/>
        </w:numPr>
        <w:rPr>
          <w:b/>
        </w:rPr>
      </w:pPr>
      <w:bookmarkStart w:id="110" w:name="_Toc191546236"/>
      <w:r>
        <w:rPr>
          <w:b/>
        </w:rPr>
        <w:t>IT sprendimo kūrimo (tobulinimo) valdymas</w:t>
      </w:r>
      <w:bookmarkEnd w:id="110"/>
    </w:p>
    <w:p>
      <w:pPr>
        <w:pStyle w:val="Heading2"/>
        <w:numPr>
          <w:ilvl w:val="1"/>
          <w:numId w:val="35"/>
        </w:numPr>
        <w:rPr>
          <w:b/>
        </w:rPr>
      </w:pPr>
      <w:bookmarkStart w:id="111" w:name="_Toc191546237"/>
      <w:r>
        <w:rPr>
          <w:b/>
        </w:rPr>
        <w:t>IT sprendimo kūrimo (tobulinimo) vykdymo tvarka</w:t>
      </w:r>
      <w:bookmarkEnd w:id="111"/>
    </w:p>
    <w:p>
      <w:pPr>
        <w:pStyle w:val="Normal"/>
        <w:rPr/>
      </w:pPr>
      <w:r>
        <w:rPr/>
      </w:r>
    </w:p>
    <w:p>
      <w:pPr>
        <w:pStyle w:val="Normal"/>
        <w:jc w:val="both"/>
        <w:rPr/>
      </w:pPr>
      <w:r>
        <w:rPr/>
        <w:t>Atsižvelgiant į IT sprendimo specifiką ir apimtį bei siekiant sėkmingo Projekto tikslų įgyvendinimo bus taikoma tokia projekto vykdymo organizacinė struktūra, kuri leistų operatyviai derinti ir priimti sprendimus, susijusius su projekto valdymu ir užtikrintų jų kokybę.</w:t>
      </w:r>
    </w:p>
    <w:p>
      <w:pPr>
        <w:pStyle w:val="Normal"/>
        <w:rPr/>
      </w:pPr>
      <w:r>
        <w:rPr/>
        <w:t>Projekto įgyvendinimo struktūrą sudaro:</w:t>
      </w:r>
    </w:p>
    <w:p>
      <w:pPr>
        <w:pStyle w:val="Normal"/>
        <w:rPr/>
      </w:pPr>
      <w:r>
        <w:rPr/>
        <w:t>Projekto priežiūros komisija (toliau – PPK);</w:t>
      </w:r>
    </w:p>
    <w:p>
      <w:pPr>
        <w:pStyle w:val="Normal"/>
        <w:rPr/>
      </w:pPr>
      <w:r>
        <w:rPr/>
        <w:t>Projekto darbo grupė (administravimo ir valdymo grupė);</w:t>
      </w:r>
    </w:p>
    <w:p>
      <w:pPr>
        <w:pStyle w:val="Normal"/>
        <w:rPr/>
      </w:pPr>
      <w:r>
        <w:rPr/>
        <w:t>Paslaugų teikėjo projekto darbo grupė;</w:t>
      </w:r>
    </w:p>
    <w:p>
      <w:pPr>
        <w:pStyle w:val="Normal"/>
        <w:rPr/>
      </w:pPr>
      <w:r>
        <w:rPr/>
        <w:t>Suinteresuotos šalys.</w:t>
      </w:r>
    </w:p>
    <w:p>
      <w:pPr>
        <w:pStyle w:val="Normal"/>
        <w:rPr/>
      </w:pPr>
      <w:r>
        <w:rPr/>
        <w:t>Projekto valdymo organizacinė struktūra pavaizduota toliau esančiame paveiksle.</w:t>
      </w:r>
    </w:p>
    <w:p>
      <w:pPr>
        <w:pStyle w:val="Normal"/>
        <w:rPr>
          <w:highlight w:val="red"/>
        </w:rPr>
      </w:pPr>
      <w:r>
        <w:rPr/>
        <w:drawing>
          <wp:inline distT="0" distB="0" distL="0" distR="0">
            <wp:extent cx="4643755" cy="2601595"/>
            <wp:effectExtent l="0" t="0" r="0" b="0"/>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41"/>
                    <a:stretch>
                      <a:fillRect/>
                    </a:stretch>
                  </pic:blipFill>
                  <pic:spPr bwMode="auto">
                    <a:xfrm>
                      <a:off x="0" y="0"/>
                      <a:ext cx="4643755" cy="2601595"/>
                    </a:xfrm>
                    <a:prstGeom prst="rect">
                      <a:avLst/>
                    </a:prstGeom>
                  </pic:spPr>
                </pic:pic>
              </a:graphicData>
            </a:graphic>
          </wp:inline>
        </w:drawing>
      </w:r>
    </w:p>
    <w:p>
      <w:pPr>
        <w:pStyle w:val="Normal"/>
        <w:rPr/>
      </w:pPr>
      <w:r>
        <w:rPr/>
        <w:fldChar w:fldCharType="begin"/>
      </w:r>
      <w:r>
        <w:rPr/>
        <w:instrText xml:space="preserve"> SEQ Pav \* ARABIC </w:instrText>
      </w:r>
      <w:r>
        <w:rPr/>
        <w:fldChar w:fldCharType="separate"/>
      </w:r>
      <w:r>
        <w:rPr/>
        <w:t>13</w:t>
      </w:r>
      <w:r>
        <w:rPr/>
        <w:fldChar w:fldCharType="end"/>
      </w:r>
      <w:r>
        <w:rPr/>
        <w:t xml:space="preserve"> </w:t>
      </w:r>
      <w:r>
        <w:rPr/>
        <w:t>pav. Projekto valdymo organizacinė struktūra.</w:t>
      </w:r>
    </w:p>
    <w:p>
      <w:pPr>
        <w:pStyle w:val="Normal"/>
        <w:jc w:val="both"/>
        <w:rPr>
          <w:i/>
          <w:i/>
        </w:rPr>
      </w:pPr>
      <w:r>
        <w:rPr/>
        <w:fldChar w:fldCharType="begin"/>
      </w:r>
      <w:r>
        <w:rPr/>
        <w:instrText xml:space="preserve"> SEQ Lentelė \* ARABIC </w:instrText>
      </w:r>
      <w:r>
        <w:rPr/>
        <w:fldChar w:fldCharType="separate"/>
      </w:r>
      <w:r>
        <w:rPr/>
        <w:t>15</w:t>
      </w:r>
      <w:r>
        <w:rPr/>
        <w:fldChar w:fldCharType="end"/>
      </w:r>
      <w:r>
        <w:rPr>
          <w:i/>
        </w:rPr>
        <w:t xml:space="preserve"> </w:t>
      </w:r>
      <w:r>
        <w:rPr>
          <w:i/>
        </w:rPr>
        <w:t>lentelė. Organizacinės struktūros sudėtis ir funkcijos</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501"/>
        <w:gridCol w:w="2598"/>
        <w:gridCol w:w="4031"/>
      </w:tblGrid>
      <w:tr>
        <w:trPr>
          <w:tblHeader w:val="true"/>
        </w:trPr>
        <w:tc>
          <w:tcPr>
            <w:tcW w:w="250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Organizacinės struktūros vieneto pavadinimas</w:t>
            </w:r>
          </w:p>
        </w:tc>
        <w:tc>
          <w:tcPr>
            <w:tcW w:w="2598"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Organizacinės struktūros vieneto sudėtis</w:t>
            </w:r>
          </w:p>
        </w:tc>
        <w:tc>
          <w:tcPr>
            <w:tcW w:w="4031" w:type="dxa"/>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Normal"/>
              <w:spacing w:before="40" w:after="160"/>
              <w:jc w:val="both"/>
              <w:rPr>
                <w:b/>
              </w:rPr>
            </w:pPr>
            <w:r>
              <w:rPr>
                <w:b/>
              </w:rPr>
              <w:t>Atliekamos funkcijos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Priežiūros komisija</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HI vadovybė</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7"/>
              </w:numPr>
              <w:spacing w:lineRule="auto" w:line="240" w:before="40" w:after="0"/>
              <w:jc w:val="both"/>
              <w:rPr>
                <w:bCs/>
              </w:rPr>
            </w:pPr>
            <w:r>
              <w:rPr>
                <w:bCs/>
              </w:rPr>
              <w:t>Sprendimų dėl projekto apimties priėmimas;</w:t>
            </w:r>
          </w:p>
          <w:p>
            <w:pPr>
              <w:pStyle w:val="Normal"/>
              <w:numPr>
                <w:ilvl w:val="0"/>
                <w:numId w:val="47"/>
              </w:numPr>
              <w:spacing w:lineRule="auto" w:line="240" w:before="40" w:after="0"/>
              <w:jc w:val="both"/>
              <w:rPr>
                <w:bCs/>
              </w:rPr>
            </w:pPr>
            <w:r>
              <w:rPr>
                <w:bCs/>
              </w:rPr>
              <w:t>Projekto vykdymo kontrolė;</w:t>
            </w:r>
          </w:p>
          <w:p>
            <w:pPr>
              <w:pStyle w:val="Normal"/>
              <w:numPr>
                <w:ilvl w:val="0"/>
                <w:numId w:val="47"/>
              </w:numPr>
              <w:spacing w:lineRule="auto" w:line="240" w:before="40" w:after="0"/>
              <w:jc w:val="both"/>
              <w:rPr>
                <w:bCs/>
              </w:rPr>
            </w:pPr>
            <w:r>
              <w:rPr>
                <w:bCs/>
              </w:rPr>
              <w:t>Projekto galutinių rezultatų peržiūra ir tvirtinimas;</w:t>
            </w:r>
          </w:p>
          <w:p>
            <w:pPr>
              <w:pStyle w:val="Normal"/>
              <w:spacing w:lineRule="auto" w:line="240" w:before="40" w:after="0"/>
              <w:jc w:val="both"/>
              <w:rPr/>
            </w:pPr>
            <w:r>
              <w:rPr/>
              <w:t>Prioritetų nustatymas ir reikiamų resursų Projekto vykdymui skyrimas.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Administravimo ir</w:t>
            </w:r>
          </w:p>
          <w:p>
            <w:pPr>
              <w:pStyle w:val="Normal"/>
              <w:spacing w:before="40" w:after="160"/>
              <w:jc w:val="both"/>
              <w:rPr>
                <w:bCs/>
              </w:rPr>
            </w:pPr>
            <w:r>
              <w:rPr>
                <w:bCs/>
              </w:rPr>
              <w:t>vykdymo grupė</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HI, tiekėjų ekspertai, kiti ekspertai pagal poreikį</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8"/>
              </w:numPr>
              <w:spacing w:lineRule="auto" w:line="240" w:before="40" w:after="0"/>
              <w:jc w:val="both"/>
              <w:rPr>
                <w:bCs/>
              </w:rPr>
            </w:pPr>
            <w:r>
              <w:rPr>
                <w:bCs/>
              </w:rPr>
              <w:t>Informacijos Teikėjų darbo grupių nariams teikimas;</w:t>
            </w:r>
          </w:p>
          <w:p>
            <w:pPr>
              <w:pStyle w:val="Normal"/>
              <w:numPr>
                <w:ilvl w:val="0"/>
                <w:numId w:val="48"/>
              </w:numPr>
              <w:spacing w:lineRule="auto" w:line="240" w:before="40" w:after="0"/>
              <w:jc w:val="both"/>
              <w:rPr>
                <w:bCs/>
              </w:rPr>
            </w:pPr>
            <w:r>
              <w:rPr>
                <w:bCs/>
              </w:rPr>
              <w:t>Informacijos rengimas ir teikimas PPK;</w:t>
            </w:r>
          </w:p>
          <w:p>
            <w:pPr>
              <w:pStyle w:val="Normal"/>
              <w:numPr>
                <w:ilvl w:val="0"/>
                <w:numId w:val="48"/>
              </w:numPr>
              <w:spacing w:lineRule="auto" w:line="240" w:before="40" w:after="0"/>
              <w:jc w:val="both"/>
              <w:rPr>
                <w:bCs/>
              </w:rPr>
            </w:pPr>
            <w:r>
              <w:rPr>
                <w:bCs/>
              </w:rPr>
              <w:t>Projekto suinteresuotų šalių koordinavimas;</w:t>
            </w:r>
          </w:p>
          <w:p>
            <w:pPr>
              <w:pStyle w:val="Normal"/>
              <w:numPr>
                <w:ilvl w:val="0"/>
                <w:numId w:val="48"/>
              </w:numPr>
              <w:spacing w:lineRule="auto" w:line="240" w:before="40" w:after="0"/>
              <w:jc w:val="both"/>
              <w:rPr>
                <w:bCs/>
              </w:rPr>
            </w:pPr>
            <w:r>
              <w:rPr>
                <w:bCs/>
              </w:rPr>
              <w:t>Rezultatų atitikties reikalavimams užtikrinimas;</w:t>
            </w:r>
          </w:p>
          <w:p>
            <w:pPr>
              <w:pStyle w:val="Normal"/>
              <w:numPr>
                <w:ilvl w:val="0"/>
                <w:numId w:val="48"/>
              </w:numPr>
              <w:spacing w:lineRule="auto" w:line="240" w:before="40" w:after="0"/>
              <w:jc w:val="both"/>
              <w:rPr>
                <w:bCs/>
              </w:rPr>
            </w:pPr>
            <w:r>
              <w:rPr>
                <w:bCs/>
              </w:rPr>
              <w:t>Tarpinių ir galutinių rezultatų peržiūra ir tvirtinimas;</w:t>
            </w:r>
          </w:p>
          <w:p>
            <w:pPr>
              <w:pStyle w:val="Normal"/>
              <w:numPr>
                <w:ilvl w:val="0"/>
                <w:numId w:val="48"/>
              </w:numPr>
              <w:spacing w:lineRule="auto" w:line="240" w:before="40" w:after="0"/>
              <w:jc w:val="both"/>
              <w:rPr>
                <w:bCs/>
              </w:rPr>
            </w:pPr>
            <w:r>
              <w:rPr>
                <w:bCs/>
              </w:rPr>
              <w:t>Veiklos sprendimų dėl Projekto įgyvendinimo apimties priėmimas;</w:t>
            </w:r>
          </w:p>
          <w:p>
            <w:pPr>
              <w:pStyle w:val="Normal"/>
              <w:numPr>
                <w:ilvl w:val="0"/>
                <w:numId w:val="48"/>
              </w:numPr>
              <w:spacing w:lineRule="auto" w:line="240" w:before="40" w:after="0"/>
              <w:jc w:val="both"/>
              <w:rPr>
                <w:bCs/>
              </w:rPr>
            </w:pPr>
            <w:r>
              <w:rPr>
                <w:bCs/>
              </w:rPr>
              <w:t>Projekto metu iškilusių problemų sprendimas.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Techninės priežiūros paslaugų teikėjas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Techninės priežiūros paslaugas teikiančio</w:t>
            </w:r>
          </w:p>
          <w:p>
            <w:pPr>
              <w:pStyle w:val="Normal"/>
              <w:spacing w:before="40" w:after="160"/>
              <w:jc w:val="both"/>
              <w:rPr>
                <w:bCs/>
              </w:rPr>
            </w:pPr>
            <w:r>
              <w:rPr>
                <w:bCs/>
              </w:rPr>
              <w:t>paslaugų tiekėjo atsakingi specialistai</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49"/>
              </w:numPr>
              <w:spacing w:lineRule="auto" w:line="240" w:before="40" w:after="0"/>
              <w:jc w:val="both"/>
              <w:rPr>
                <w:bCs/>
              </w:rPr>
            </w:pPr>
            <w:r>
              <w:rPr>
                <w:bCs/>
              </w:rPr>
              <w:t>Projekto techninė priežiūra;</w:t>
            </w:r>
          </w:p>
          <w:p>
            <w:pPr>
              <w:pStyle w:val="Normal"/>
              <w:numPr>
                <w:ilvl w:val="0"/>
                <w:numId w:val="49"/>
              </w:numPr>
              <w:spacing w:lineRule="auto" w:line="240" w:before="40" w:after="0"/>
              <w:jc w:val="both"/>
              <w:rPr>
                <w:bCs/>
              </w:rPr>
            </w:pPr>
            <w:r>
              <w:rPr>
                <w:bCs/>
              </w:rPr>
              <w:t>Informacijos apie iškilusias problemas teikimas ir jų sprendimų inicijavimas.</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Sukūrimo ir</w:t>
            </w:r>
          </w:p>
          <w:p>
            <w:pPr>
              <w:pStyle w:val="Normal"/>
              <w:spacing w:before="40" w:after="160"/>
              <w:jc w:val="both"/>
              <w:rPr>
                <w:bCs/>
              </w:rPr>
            </w:pPr>
            <w:r>
              <w:rPr>
                <w:bCs/>
              </w:rPr>
              <w:t>įdiegimo tiekėjas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IT sprendimo sukūrimo ir įdiegimo paslaugas teiksiančio paslaugų tiekėjo atsakingi specialistai</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0"/>
              </w:numPr>
              <w:spacing w:lineRule="auto" w:line="240" w:before="40" w:after="0"/>
              <w:jc w:val="both"/>
              <w:rPr>
                <w:bCs/>
              </w:rPr>
            </w:pPr>
            <w:r>
              <w:rPr>
                <w:bCs/>
              </w:rPr>
              <w:t xml:space="preserve">Numatytų Projekto veiklų (Iniciavimo, analizės, projektavimo, konstravimo ir diegimo, testavimo bei bandomosios eksploatacijos) vykdymas; </w:t>
            </w:r>
          </w:p>
          <w:p>
            <w:pPr>
              <w:pStyle w:val="Normal"/>
              <w:numPr>
                <w:ilvl w:val="0"/>
                <w:numId w:val="50"/>
              </w:numPr>
              <w:spacing w:lineRule="auto" w:line="240" w:before="40" w:after="0"/>
              <w:jc w:val="both"/>
              <w:rPr>
                <w:bCs/>
              </w:rPr>
            </w:pPr>
            <w:r>
              <w:rPr>
                <w:bCs/>
              </w:rPr>
              <w:t>Atskaitomybė ir veiklos derinimas su techninės priežiūros vykdytoju ir projekto darbo grupe;</w:t>
            </w:r>
          </w:p>
          <w:p>
            <w:pPr>
              <w:pStyle w:val="Normal"/>
              <w:numPr>
                <w:ilvl w:val="0"/>
                <w:numId w:val="50"/>
              </w:numPr>
              <w:spacing w:lineRule="auto" w:line="240" w:before="40" w:after="0"/>
              <w:jc w:val="both"/>
              <w:rPr>
                <w:bCs/>
              </w:rPr>
            </w:pPr>
            <w:r>
              <w:rPr>
                <w:bCs/>
              </w:rPr>
              <w:t>Diegiamo IT sprendimo veikimo suderinimas su projekto darbo grupe.</w:t>
            </w:r>
          </w:p>
        </w:tc>
      </w:tr>
      <w:tr>
        <w:trPr/>
        <w:tc>
          <w:tcPr>
            <w:tcW w:w="250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Suinteresuotosios šalys</w:t>
            </w:r>
          </w:p>
        </w:tc>
        <w:tc>
          <w:tcPr>
            <w:tcW w:w="2598"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Cs/>
              </w:rPr>
            </w:pPr>
            <w:r>
              <w:rPr>
                <w:bCs/>
              </w:rPr>
              <w:t>VDI, kitos pagal poreikį</w:t>
            </w:r>
          </w:p>
        </w:tc>
        <w:tc>
          <w:tcPr>
            <w:tcW w:w="4031"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1"/>
              </w:numPr>
              <w:spacing w:lineRule="auto" w:line="240" w:before="40" w:after="0"/>
              <w:jc w:val="both"/>
              <w:rPr>
                <w:bCs/>
              </w:rPr>
            </w:pPr>
            <w:r>
              <w:rPr>
                <w:bCs/>
              </w:rPr>
              <w:t>Informacijos, susijusios su IT sprendimu, teikimas.</w:t>
            </w:r>
          </w:p>
        </w:tc>
      </w:tr>
    </w:tbl>
    <w:p>
      <w:pPr>
        <w:pStyle w:val="Normal"/>
        <w:jc w:val="both"/>
        <w:rPr>
          <w:i/>
          <w:i/>
        </w:rPr>
      </w:pPr>
      <w:r>
        <w:rPr>
          <w:i/>
        </w:rPr>
      </w:r>
    </w:p>
    <w:p>
      <w:pPr>
        <w:pStyle w:val="Heading2"/>
        <w:numPr>
          <w:ilvl w:val="1"/>
          <w:numId w:val="35"/>
        </w:numPr>
        <w:rPr>
          <w:b/>
        </w:rPr>
      </w:pPr>
      <w:bookmarkStart w:id="112" w:name="_Toc191546238"/>
      <w:r>
        <w:rPr>
          <w:b/>
        </w:rPr>
        <w:t>Pasirinktas kūrimo (tobulinimo) būdas</w:t>
      </w:r>
      <w:bookmarkEnd w:id="112"/>
    </w:p>
    <w:p>
      <w:pPr>
        <w:pStyle w:val="Normal"/>
        <w:rPr/>
      </w:pPr>
      <w:r>
        <w:rPr/>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sprendimo diegimas turės būti vykdomas iteraciniu metodu. Iteracijos gali būti vykdomos lygiagrečiai.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Inicijavimo etape Tiekėjas turės pasiūlyti ir su Perkančiąja organizacija suderinti funkcionalumus, kurie bus įgyvendinami kiekvienos iteracijos metu.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Kiekvieną iteraciją turi sudaryti etapai, nurodyti </w:t>
            </w:r>
            <w:r>
              <w:rPr>
                <w:rFonts w:eastAsia="Times New Roman" w:cs="Times New Roman"/>
                <w:szCs w:val="24"/>
              </w:rPr>
              <w:fldChar w:fldCharType="begin"/>
            </w:r>
            <w:r>
              <w:rPr>
                <w:szCs w:val="24"/>
                <w:rFonts w:eastAsia="Times New Roman" w:cs="Times New Roman"/>
              </w:rPr>
              <w:instrText xml:space="preserve"> REF ITsprendimodiegimoetapai \h </w:instrText>
            </w:r>
            <w:r>
              <w:rPr>
                <w:szCs w:val="24"/>
                <w:rFonts w:eastAsia="Times New Roman" w:cs="Times New Roman"/>
              </w:rPr>
              <w:fldChar w:fldCharType="separate"/>
            </w:r>
            <w:r>
              <w:rPr>
                <w:szCs w:val="24"/>
                <w:rFonts w:eastAsia="Times New Roman" w:cs="Times New Roman"/>
              </w:rPr>
              <w:t>16</w:t>
            </w:r>
            <w:r>
              <w:rPr>
                <w:szCs w:val="24"/>
                <w:rFonts w:eastAsia="Times New Roman" w:cs="Times New Roman"/>
              </w:rPr>
              <w:fldChar w:fldCharType="end"/>
            </w:r>
            <w:r>
              <w:rPr>
                <w:rFonts w:eastAsia="Times New Roman" w:cs="Times New Roman"/>
                <w:szCs w:val="24"/>
              </w:rPr>
              <w:t xml:space="preserve"> lentelėje. Etapai negali viršyti minėtoje lentelėje nurodytų trukmių.</w:t>
            </w:r>
          </w:p>
        </w:tc>
      </w:tr>
    </w:tbl>
    <w:p>
      <w:pPr>
        <w:pStyle w:val="Normal"/>
        <w:rPr/>
      </w:pPr>
      <w:r>
        <w:rPr/>
      </w:r>
    </w:p>
    <w:p>
      <w:pPr>
        <w:pStyle w:val="Heading2"/>
        <w:numPr>
          <w:ilvl w:val="1"/>
          <w:numId w:val="35"/>
        </w:numPr>
        <w:rPr>
          <w:b/>
        </w:rPr>
      </w:pPr>
      <w:bookmarkStart w:id="113" w:name="_Toc191546239"/>
      <w:r>
        <w:rPr>
          <w:b/>
        </w:rPr>
        <w:t>Finansavimo šaltiniai ir finansavimo tvarka</w:t>
      </w:r>
      <w:bookmarkEnd w:id="113"/>
    </w:p>
    <w:p>
      <w:pPr>
        <w:pStyle w:val="Normal"/>
        <w:rPr>
          <w:highlight w:val="red"/>
        </w:rPr>
      </w:pPr>
      <w:r>
        <w:rPr>
          <w:highlight w:val="red"/>
        </w:rPr>
      </w:r>
    </w:p>
    <w:p>
      <w:pPr>
        <w:pStyle w:val="Default"/>
        <w:rPr>
          <w:sz w:val="20"/>
          <w:szCs w:val="20"/>
        </w:rPr>
      </w:pPr>
      <w:r>
        <w:rPr>
          <w:rFonts w:eastAsia="Times New Roman" w:cs="Times New Roman" w:ascii="Times New Roman" w:hAnsi="Times New Roman"/>
          <w:lang w:val="lt-LT"/>
        </w:rPr>
        <w:t xml:space="preserve"> </w:t>
      </w:r>
      <w:r>
        <w:rPr>
          <w:rFonts w:eastAsia="Times New Roman" w:cs="Times New Roman" w:ascii="Times New Roman" w:hAnsi="Times New Roman"/>
          <w:lang w:val="lt-LT"/>
        </w:rPr>
        <w:t>IT sprendimo projektas finansuojamas Lietuvos Respublikos valstybės biudžeto lėšomis.</w:t>
      </w:r>
    </w:p>
    <w:p>
      <w:pPr>
        <w:pStyle w:val="Normal"/>
        <w:rPr>
          <w:highlight w:val="red"/>
        </w:rPr>
      </w:pPr>
      <w:r>
        <w:rPr>
          <w:highlight w:val="red"/>
        </w:rPr>
      </w:r>
    </w:p>
    <w:p>
      <w:pPr>
        <w:pStyle w:val="Normal"/>
        <w:rPr>
          <w:highlight w:val="red"/>
        </w:rPr>
      </w:pPr>
      <w:r>
        <w:rPr>
          <w:highlight w:val="red"/>
        </w:rPr>
      </w:r>
    </w:p>
    <w:p>
      <w:pPr>
        <w:pStyle w:val="Heading2"/>
        <w:numPr>
          <w:ilvl w:val="1"/>
          <w:numId w:val="35"/>
        </w:numPr>
        <w:rPr>
          <w:b/>
        </w:rPr>
      </w:pPr>
      <w:bookmarkStart w:id="114" w:name="_Toc191546240"/>
      <w:r>
        <w:rPr>
          <w:b/>
        </w:rPr>
        <w:t>Darbų grafikai</w:t>
      </w:r>
      <w:bookmarkEnd w:id="114"/>
    </w:p>
    <w:p>
      <w:pPr>
        <w:pStyle w:val="Normal"/>
        <w:rPr/>
      </w:pPr>
      <w:r>
        <w:rPr/>
      </w:r>
    </w:p>
    <w:p>
      <w:pPr>
        <w:pStyle w:val="Normal"/>
        <w:rPr>
          <w:highlight w:val="red"/>
        </w:rPr>
      </w:pPr>
      <w:r>
        <w:rPr/>
        <w:t>Šiame skyriuje pateikiami IT sprendimo įgyvendinimo etapai, jų rezultatai ir terminai.</w:t>
      </w:r>
    </w:p>
    <w:p>
      <w:pPr>
        <w:pStyle w:val="Normal"/>
        <w:rPr>
          <w:bCs/>
          <w:i/>
          <w:i/>
        </w:rPr>
      </w:pPr>
      <w:bookmarkStart w:id="115" w:name="ITsprendimodiegimoetapai"/>
      <w:r>
        <w:rPr>
          <w:i/>
        </w:rPr>
        <w:fldChar w:fldCharType="begin"/>
      </w:r>
      <w:r>
        <w:rPr>
          <w:i/>
        </w:rPr>
        <w:instrText xml:space="preserve"> SEQ Lentelė \* ARABIC </w:instrText>
      </w:r>
      <w:r>
        <w:rPr>
          <w:i/>
        </w:rPr>
        <w:fldChar w:fldCharType="separate"/>
      </w:r>
      <w:r>
        <w:rPr>
          <w:i/>
        </w:rPr>
        <w:t>16</w:t>
      </w:r>
      <w:r>
        <w:rPr>
          <w:i/>
        </w:rPr>
        <w:fldChar w:fldCharType="end"/>
      </w:r>
      <w:bookmarkEnd w:id="115"/>
      <w:r>
        <w:rPr>
          <w:i/>
        </w:rPr>
        <w:t xml:space="preserve"> </w:t>
      </w:r>
      <w:r>
        <w:rPr>
          <w:i/>
        </w:rPr>
        <w:t>lentelė.</w:t>
      </w:r>
      <w:r>
        <w:rPr>
          <w:bCs/>
          <w:i/>
        </w:rPr>
        <w:t xml:space="preserve"> </w:t>
      </w:r>
      <w:r>
        <w:rPr>
          <w:i/>
        </w:rPr>
        <w:t>IT sprendimo</w:t>
      </w:r>
      <w:r>
        <w:rPr>
          <w:bCs/>
          <w:i/>
        </w:rPr>
        <w:t xml:space="preserve"> diegimo etapai ir jų rezultatai</w:t>
      </w:r>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544"/>
        <w:gridCol w:w="1694"/>
        <w:gridCol w:w="4550"/>
        <w:gridCol w:w="2341"/>
      </w:tblGrid>
      <w:tr>
        <w:trPr>
          <w:tblHeader w:val="true"/>
        </w:trPr>
        <w:tc>
          <w:tcPr>
            <w:tcW w:w="54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Nr.</w:t>
            </w:r>
          </w:p>
        </w:tc>
        <w:tc>
          <w:tcPr>
            <w:tcW w:w="1694"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pavadinimas</w:t>
            </w:r>
          </w:p>
        </w:tc>
        <w:tc>
          <w:tcPr>
            <w:tcW w:w="455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rezultatai</w:t>
            </w:r>
          </w:p>
        </w:tc>
        <w:tc>
          <w:tcPr>
            <w:tcW w:w="2341"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Etapo trukmė</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Inicijavimas</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Sutarties vykdymo reglamentas (sutarties vykdymo reglamentas kiekvienos iteracijos pradžioje esant poreikiui atnaujinimas).</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Per 2 sav.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Iteracijos</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Per 10 mėn. nuo Sutarties įsigaliojimo dienos.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analizė</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Detalios analizės ataskaita (konkrečios iteracijos metu vykdomų darbų apimtimi).</w:t>
            </w:r>
          </w:p>
        </w:tc>
        <w:tc>
          <w:tcPr>
            <w:tcW w:w="2341" w:type="dxa"/>
            <w:vMerge w:val="restart"/>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Sutarties vykdymo reglamente suderintais terminais.</w:t>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projektavimas</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Detalus projektavimo dokumentas (konkrečios iteracijos metu vykdomų darbų apimtimi).</w:t>
            </w:r>
          </w:p>
        </w:tc>
        <w:tc>
          <w:tcPr>
            <w:tcW w:w="234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konstravimas</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3"/>
              </w:numPr>
              <w:spacing w:before="40" w:after="160"/>
              <w:jc w:val="both"/>
              <w:rPr/>
            </w:pPr>
            <w:r>
              <w:rPr/>
              <w:t>Konstravimo etapo ataskaita.</w:t>
            </w:r>
          </w:p>
          <w:p>
            <w:pPr>
              <w:pStyle w:val="Normal"/>
              <w:numPr>
                <w:ilvl w:val="0"/>
                <w:numId w:val="53"/>
              </w:numPr>
              <w:spacing w:before="40" w:after="160"/>
              <w:jc w:val="both"/>
              <w:rPr/>
            </w:pPr>
            <w:r>
              <w:rPr/>
              <w:t>Perkančiosios organizacijos turimoje, arba Perkančiosios organizacijos nurodytoje, testinėje aplinkoje įdiegta programinė įranga, Perkančiosios organizacijos atstovams suteikti prisijungimo vardai ir slaptažodžiai prisijungimui prie testinės aplinkos.</w:t>
            </w:r>
          </w:p>
        </w:tc>
        <w:tc>
          <w:tcPr>
            <w:tcW w:w="234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rPr>
            </w:pPr>
            <w:r>
              <w:rPr>
                <w:b/>
              </w:rPr>
              <w:t>Iteracijų testavimas</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4"/>
              </w:numPr>
              <w:spacing w:before="40" w:after="160"/>
              <w:jc w:val="both"/>
              <w:rPr/>
            </w:pPr>
            <w:r>
              <w:rPr/>
              <w:t>Testavimo planas ir metodika bei testavimo scenarijai (tik iteracinių testavimų apimtims ir konkrečios iteracijos metu vykdomų darbų apimtimi).</w:t>
            </w:r>
          </w:p>
          <w:p>
            <w:pPr>
              <w:pStyle w:val="Normal"/>
              <w:numPr>
                <w:ilvl w:val="0"/>
                <w:numId w:val="54"/>
              </w:numPr>
              <w:spacing w:before="40" w:after="160"/>
              <w:jc w:val="both"/>
              <w:rPr/>
            </w:pPr>
            <w:r>
              <w:rPr/>
              <w:t xml:space="preserve">Testavimo ir pakartotinio (esant poreikiui) testavimo ataskaitos. </w:t>
            </w:r>
          </w:p>
        </w:tc>
        <w:tc>
          <w:tcPr>
            <w:tcW w:w="234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iCs/>
              </w:rPr>
            </w:pPr>
            <w:r>
              <w:rPr>
                <w:b/>
                <w:iCs/>
              </w:rPr>
              <w:t>Iteracijų mokymai</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5"/>
              </w:numPr>
              <w:spacing w:before="40" w:after="160"/>
              <w:jc w:val="both"/>
              <w:rPr/>
            </w:pPr>
            <w:r>
              <w:rPr/>
              <w:t>Mokymų planas.</w:t>
            </w:r>
          </w:p>
          <w:p>
            <w:pPr>
              <w:pStyle w:val="Normal"/>
              <w:numPr>
                <w:ilvl w:val="0"/>
                <w:numId w:val="55"/>
              </w:numPr>
              <w:jc w:val="both"/>
              <w:rPr/>
            </w:pPr>
            <w:r>
              <w:rPr/>
              <w:t>Administratorių ir naudotojų vadovai.</w:t>
            </w:r>
          </w:p>
          <w:p>
            <w:pPr>
              <w:pStyle w:val="Normal"/>
              <w:numPr>
                <w:ilvl w:val="0"/>
                <w:numId w:val="55"/>
              </w:numPr>
              <w:spacing w:before="40" w:after="160"/>
              <w:jc w:val="both"/>
              <w:rPr/>
            </w:pPr>
            <w:r>
              <w:rPr/>
              <w:t>Mokymų medžiaga.</w:t>
            </w:r>
          </w:p>
        </w:tc>
        <w:tc>
          <w:tcPr>
            <w:tcW w:w="2341" w:type="dxa"/>
            <w:vMerge w:val="continue"/>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
          </w:p>
        </w:tc>
      </w:tr>
      <w:tr>
        <w:trPr/>
        <w:tc>
          <w:tcPr>
            <w:tcW w:w="544"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2"/>
              </w:numPr>
              <w:spacing w:before="40" w:after="160"/>
              <w:rPr/>
            </w:pPr>
            <w:r>
              <w:rPr/>
            </w:r>
          </w:p>
        </w:tc>
        <w:tc>
          <w:tcPr>
            <w:tcW w:w="1694"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b/>
                <w:iCs/>
              </w:rPr>
            </w:pPr>
            <w:r>
              <w:rPr>
                <w:b/>
                <w:iCs/>
              </w:rPr>
              <w:t>Iteracijų diegimas ir bandomoji eksploatacija</w:t>
            </w:r>
          </w:p>
        </w:tc>
        <w:tc>
          <w:tcPr>
            <w:tcW w:w="4550"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6"/>
              </w:numPr>
              <w:spacing w:before="40" w:after="160"/>
              <w:jc w:val="both"/>
              <w:rPr/>
            </w:pPr>
            <w:r>
              <w:rPr/>
              <w:t xml:space="preserve">Diegimo planas ir diegimo ataskaita. </w:t>
            </w:r>
          </w:p>
          <w:p>
            <w:pPr>
              <w:pStyle w:val="Normal"/>
              <w:numPr>
                <w:ilvl w:val="0"/>
                <w:numId w:val="56"/>
              </w:numPr>
              <w:jc w:val="both"/>
              <w:rPr/>
            </w:pPr>
            <w:r>
              <w:rPr/>
              <w:t xml:space="preserve">Bandomosios eksploatacijos planas. </w:t>
            </w:r>
          </w:p>
          <w:p>
            <w:pPr>
              <w:pStyle w:val="Normal"/>
              <w:numPr>
                <w:ilvl w:val="0"/>
                <w:numId w:val="56"/>
              </w:numPr>
              <w:jc w:val="both"/>
              <w:rPr/>
            </w:pPr>
            <w:r>
              <w:rPr/>
              <w:t xml:space="preserve">Bandomosios eksploatacijos ataskaita. </w:t>
            </w:r>
          </w:p>
          <w:p>
            <w:pPr>
              <w:pStyle w:val="Normal"/>
              <w:numPr>
                <w:ilvl w:val="0"/>
                <w:numId w:val="56"/>
              </w:numPr>
              <w:jc w:val="both"/>
              <w:rPr/>
            </w:pPr>
            <w:r>
              <w:rPr/>
              <w:t xml:space="preserve">Aprašyti ir perduoti Perkančiajai organizacijai išeities kodai. </w:t>
            </w:r>
          </w:p>
          <w:p>
            <w:pPr>
              <w:pStyle w:val="Normal"/>
              <w:numPr>
                <w:ilvl w:val="0"/>
                <w:numId w:val="56"/>
              </w:numPr>
              <w:jc w:val="both"/>
              <w:rPr/>
            </w:pPr>
            <w:r>
              <w:rPr/>
              <w:t>Galutinė sutarties įvykdymo ataskaita (pateikiama tik paskutinės iteracijos metu).</w:t>
            </w:r>
          </w:p>
          <w:p>
            <w:pPr>
              <w:pStyle w:val="Normal"/>
              <w:numPr>
                <w:ilvl w:val="0"/>
                <w:numId w:val="56"/>
              </w:numPr>
              <w:spacing w:before="40" w:after="160"/>
              <w:jc w:val="both"/>
              <w:rPr/>
            </w:pPr>
            <w:r>
              <w:rPr/>
              <w:t>Garantinio aptarnavimo reglamentas (pateikiamas tik paskutinės iteracijos metu).</w:t>
            </w:r>
          </w:p>
        </w:tc>
        <w:tc>
          <w:tcPr>
            <w:tcW w:w="2341"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 xml:space="preserve">Sutarties vykdymo reglamente suderintais terminais, tačiau nei vienos iteracijos bandomoji eksploatacija negali būti trumpesnė nei mėnuo. </w:t>
            </w:r>
          </w:p>
        </w:tc>
      </w:tr>
    </w:tbl>
    <w:p>
      <w:pPr>
        <w:pStyle w:val="Normal"/>
        <w:rPr>
          <w:highlight w:val="red"/>
        </w:rPr>
      </w:pPr>
      <w:r>
        <w:rPr>
          <w:highlight w:val="red"/>
        </w:rPr>
      </w:r>
    </w:p>
    <w:p>
      <w:pPr>
        <w:pStyle w:val="Heading2"/>
        <w:numPr>
          <w:ilvl w:val="1"/>
          <w:numId w:val="35"/>
        </w:numPr>
        <w:rPr>
          <w:b/>
        </w:rPr>
      </w:pPr>
      <w:bookmarkStart w:id="116" w:name="_Toc191546241"/>
      <w:r>
        <w:rPr>
          <w:b/>
        </w:rPr>
        <w:t>Atitikimo veiklos ir realizavimo reikalavimams vertinimas (testavimas)</w:t>
      </w:r>
      <w:bookmarkEnd w:id="116"/>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t>Sutarties įgyvendinimo metu turi būti įgyvendintas įdiegtų funkcinių komponentų testavimas, remiantis iš anksto parengtais testavimo planu ir testavimo scenarijais.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IT sprendimo testavimo metu </w:t>
            </w:r>
            <w:r>
              <w:rPr/>
              <w:t>turi</w:t>
            </w:r>
            <w:r>
              <w:rPr>
                <w:rFonts w:eastAsia="Times New Roman" w:cs="Times New Roman"/>
                <w:szCs w:val="24"/>
              </w:rPr>
              <w:t xml:space="preserve"> būti:</w:t>
            </w:r>
          </w:p>
          <w:p>
            <w:pPr>
              <w:pStyle w:val="Normal"/>
              <w:numPr>
                <w:ilvl w:val="0"/>
                <w:numId w:val="56"/>
              </w:numPr>
              <w:jc w:val="both"/>
              <w:rPr>
                <w:rFonts w:eastAsia="Times New Roman" w:cs="Times New Roman"/>
                <w:szCs w:val="24"/>
              </w:rPr>
            </w:pPr>
            <w:r>
              <w:rPr>
                <w:rFonts w:eastAsia="Times New Roman" w:cs="Times New Roman"/>
                <w:szCs w:val="24"/>
              </w:rPr>
              <w:t xml:space="preserve">įsitikinta, kad yra įgyvendinti visi </w:t>
            </w:r>
            <w:r>
              <w:rPr/>
              <w:t>šioje</w:t>
            </w:r>
            <w:r>
              <w:rPr>
                <w:rFonts w:eastAsia="Times New Roman" w:cs="Times New Roman"/>
                <w:szCs w:val="24"/>
              </w:rPr>
              <w:t xml:space="preserve"> Techninėje specifikacijoje nustatyti funkciniai ir nefunkciniai reikalavimai;</w:t>
            </w:r>
          </w:p>
          <w:p>
            <w:pPr>
              <w:pStyle w:val="Normal"/>
              <w:numPr>
                <w:ilvl w:val="0"/>
                <w:numId w:val="56"/>
              </w:numPr>
              <w:jc w:val="both"/>
              <w:rPr/>
            </w:pPr>
            <w:r>
              <w:rPr/>
              <w:t>įsitikinta, kad reikalavimų įgyvendinimas atliktas tinkama apimtimi;</w:t>
            </w:r>
          </w:p>
          <w:p>
            <w:pPr>
              <w:pStyle w:val="Normal"/>
              <w:numPr>
                <w:ilvl w:val="0"/>
                <w:numId w:val="56"/>
              </w:numPr>
              <w:jc w:val="both"/>
              <w:rPr/>
            </w:pPr>
            <w:r>
              <w:rPr/>
              <w:t>įsitikinta, kad IT sprendimas atitinka jai keliamus saugumo, pajėgumo bei patogumo naudoti reikalavimus;</w:t>
            </w:r>
          </w:p>
          <w:p>
            <w:pPr>
              <w:pStyle w:val="Normal"/>
              <w:numPr>
                <w:ilvl w:val="0"/>
                <w:numId w:val="56"/>
              </w:numPr>
              <w:spacing w:before="40" w:after="160"/>
              <w:jc w:val="both"/>
              <w:rPr/>
            </w:pPr>
            <w:r>
              <w:rPr>
                <w:rFonts w:eastAsia="Times New Roman" w:cs="Times New Roman"/>
                <w:szCs w:val="24"/>
              </w:rPr>
              <w:t xml:space="preserve">identifikuotos, užregistruotos ir ištaisytos IT sprendimo funkcionalumų veikimo klaidos (angl. </w:t>
            </w:r>
            <w:r>
              <w:rPr>
                <w:rFonts w:eastAsia="Times New Roman" w:cs="Times New Roman"/>
                <w:i/>
                <w:szCs w:val="24"/>
              </w:rPr>
              <w:t>bugs</w:t>
            </w:r>
            <w:r>
              <w:rPr>
                <w:rFonts w:eastAsia="Times New Roman" w:cs="Times New Roman"/>
                <w:szCs w:val="24"/>
              </w:rPr>
              <w:t>).</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Turi būti atlikti šie IT sprendimo testavimai:</w:t>
            </w:r>
          </w:p>
          <w:p>
            <w:pPr>
              <w:pStyle w:val="Normal"/>
              <w:numPr>
                <w:ilvl w:val="0"/>
                <w:numId w:val="56"/>
              </w:numPr>
              <w:jc w:val="both"/>
              <w:rPr/>
            </w:pPr>
            <w:r>
              <w:rPr/>
              <w:t xml:space="preserve">vidiniai atskirų komponentų testavimai (angl. </w:t>
            </w:r>
            <w:r>
              <w:rPr>
                <w:i/>
              </w:rPr>
              <w:t>unit testing</w:t>
            </w:r>
            <w:r>
              <w:rPr/>
              <w:t>). Šiuos testavimus Tiekėjas turi atlikti kūrimo aplinkoje, nedalyvaujant Perkančiosios organizacijos atstovams, tačiau turi pateikti atliktų testavimų įrodymus;</w:t>
            </w:r>
          </w:p>
          <w:p>
            <w:pPr>
              <w:pStyle w:val="Normal"/>
              <w:numPr>
                <w:ilvl w:val="0"/>
                <w:numId w:val="56"/>
              </w:numPr>
              <w:spacing w:before="40" w:after="160"/>
              <w:jc w:val="both"/>
              <w:rPr/>
            </w:pPr>
            <w:r>
              <w:rPr/>
              <w:t xml:space="preserve">atskirų iteracijų metu įdiegtų komponentų testavimai (angl. </w:t>
            </w:r>
            <w:r>
              <w:rPr>
                <w:i/>
              </w:rPr>
              <w:t>functional testing</w:t>
            </w:r>
            <w:r>
              <w:rPr/>
              <w:t>). Šiuos testavimus Tiekėjas turi atlikti testinėje aplinkoje pagal Tiekėjo parengtą testavimo planą ir testavimo scenarijus, dalyvaujant Perkančiosios organizacijos atstovams ir</w:t>
            </w:r>
            <w:r>
              <w:rPr>
                <w:rFonts w:eastAsia="Times New Roman" w:cs="Times New Roman"/>
                <w:szCs w:val="24"/>
              </w:rPr>
              <w:t xml:space="preserve"> Projekto techninės priežiūros paslaugų teikėjo ekspertams, ir pateikti atliktų testavimų rezultatus apibendrinančią IT sprendimo testavimo ataskaitą.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Prieš kiekvieną testavimo etapą (išskyrus vidinį testavimą), Tiekėjas turi parengti ir su Perkančiąja organizacija suderinti testavimo planą. Testavimo plane turi būti aprašyta testavimo metodika, apimtis, aplinka (pvz., naršyklių, su kuriomis bus testuojama, versijos), testavimo scenarijų struktūra, testavimo veiklų grafikas, testavimui reikalingi duomenys (sąlygos), testavimo priėmimo kriterijai ir kita aktuali informacija.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Tiekėjas turi parengti ir pateikti visus testavimui reikalingus duomenis, įrankius ar kitas reikalingas priemones, taip pat parengti testavimo duomenis, reikalingus patikrinti šios Techninės specifikacijos funkcinių ir nefunkcinių reikalavimų įgyvendinimą.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Priėmimo testavimas turi būti vykdomas Perkančiosios organizacijos turimoje, arba Perkančiosios organizacijos nurodytoje, techninėje infrastruktūroje. Jeigu priėmimo testavimo metu nebus tokios galimybės, testavimas turės būti vykdomas naudojant Tiekėjo pateiktą techninę įrangą (jos pagrindu veikiančią testinę aplinką). Tokiu atveju Perkančiajai organizacijai pateikus reikalingą techninę įrangą, turės būti atliktas atskiras priėmimo testavimas.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Klaidų registravimui Tiekėjas turi pateikti tokį klaidų (problemų) registravimo įrankį, kuris būtų nuolatos prieinamas internetu Perkančiosios organizacijos atstovams.</w:t>
            </w:r>
          </w:p>
        </w:tc>
      </w:tr>
    </w:tbl>
    <w:p>
      <w:pPr>
        <w:pStyle w:val="Heading2"/>
        <w:numPr>
          <w:ilvl w:val="1"/>
          <w:numId w:val="35"/>
        </w:numPr>
        <w:rPr>
          <w:b/>
        </w:rPr>
      </w:pPr>
      <w:bookmarkStart w:id="117" w:name="_Toc191546242"/>
      <w:r>
        <w:rPr>
          <w:b/>
        </w:rPr>
        <w:t>Diegimas ir tinkamumo naudoti įvertinimas</w:t>
      </w:r>
      <w:bookmarkEnd w:id="117"/>
    </w:p>
    <w:p>
      <w:pPr>
        <w:pStyle w:val="Heading3"/>
        <w:numPr>
          <w:ilvl w:val="2"/>
          <w:numId w:val="35"/>
        </w:numPr>
        <w:rPr/>
      </w:pPr>
      <w:bookmarkStart w:id="118" w:name="_Toc191546243"/>
      <w:r>
        <w:rPr/>
        <w:t>Reikalavimai diegimui</w:t>
      </w:r>
      <w:bookmarkEnd w:id="118"/>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sprendimo diegimo pradžios Tiekėjas turi parengti diegimo planą, kuriame turi būti pateikiama:</w:t>
            </w:r>
          </w:p>
          <w:p>
            <w:pPr>
              <w:pStyle w:val="Normal"/>
              <w:numPr>
                <w:ilvl w:val="0"/>
                <w:numId w:val="56"/>
              </w:numPr>
              <w:jc w:val="both"/>
              <w:rPr/>
            </w:pPr>
            <w:r>
              <w:rPr/>
              <w:t>diegimo dalyvių atsakomybės;</w:t>
            </w:r>
          </w:p>
          <w:p>
            <w:pPr>
              <w:pStyle w:val="Normal"/>
              <w:numPr>
                <w:ilvl w:val="0"/>
                <w:numId w:val="56"/>
              </w:numPr>
              <w:jc w:val="both"/>
              <w:rPr/>
            </w:pPr>
            <w:r>
              <w:rPr/>
              <w:t>diegimo veiklų aprašymai;</w:t>
            </w:r>
          </w:p>
          <w:p>
            <w:pPr>
              <w:pStyle w:val="Normal"/>
              <w:numPr>
                <w:ilvl w:val="0"/>
                <w:numId w:val="56"/>
              </w:numPr>
              <w:jc w:val="both"/>
              <w:rPr/>
            </w:pPr>
            <w:r>
              <w:rPr/>
              <w:t>diegimo veiklų grafikas;</w:t>
            </w:r>
          </w:p>
          <w:p>
            <w:pPr>
              <w:pStyle w:val="Normal"/>
              <w:numPr>
                <w:ilvl w:val="0"/>
                <w:numId w:val="56"/>
              </w:numPr>
              <w:jc w:val="both"/>
              <w:rPr/>
            </w:pPr>
            <w:r>
              <w:rPr/>
              <w:t>diegimo schema;</w:t>
            </w:r>
          </w:p>
          <w:p>
            <w:pPr>
              <w:pStyle w:val="Normal"/>
              <w:numPr>
                <w:ilvl w:val="0"/>
                <w:numId w:val="56"/>
              </w:numPr>
              <w:spacing w:before="40" w:after="160"/>
              <w:jc w:val="both"/>
              <w:rPr/>
            </w:pPr>
            <w:r>
              <w:rPr/>
              <w:t>IT sprendimo atstatymo aprašymą, įvykus nesėkmingam diegimui.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turi paruošti bendrą IT sprendimo diegimo paketą, kurį Perkančioji organizacija galėtų įdiegti savarankiškai bet kada pasibaigus Projektui.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IT sprendimo diegimas turi būti vykdomas į Perkančiosios organizacijos turimą, arba nurodytą, techninę infrastruktūrą (diegimo aplinką).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Įgyvendinus visas suplanuotas diegimo veiklas, Tiekėjas turės parengti diegimo ataskaitą, kurioje būtų aprašyti diegimo veiklų rezultatai, išvados, esant poreikiui, nustatytos rizikos ir tolimesnių veiklų rekomendacijos.</w:t>
            </w:r>
          </w:p>
        </w:tc>
      </w:tr>
    </w:tbl>
    <w:p>
      <w:pPr>
        <w:pStyle w:val="Heading3"/>
        <w:numPr>
          <w:ilvl w:val="2"/>
          <w:numId w:val="35"/>
        </w:numPr>
        <w:rPr>
          <w:b w:val="false"/>
          <w:bCs w:val="false"/>
        </w:rPr>
      </w:pPr>
      <w:bookmarkStart w:id="119" w:name="_Toc191546244"/>
      <w:r>
        <w:rPr/>
        <w:t>Reikalavimai bandomajai eksploatacijai</w:t>
      </w:r>
      <w:bookmarkEnd w:id="119"/>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Iki bandomosios eksploatacijos pradžios Tiekėjas turi parengti bandomosios eksploatacijos planą, kuriame turi būti pateikiama:</w:t>
            </w:r>
          </w:p>
          <w:p>
            <w:pPr>
              <w:pStyle w:val="Normal"/>
              <w:numPr>
                <w:ilvl w:val="0"/>
                <w:numId w:val="56"/>
              </w:numPr>
              <w:jc w:val="both"/>
              <w:rPr/>
            </w:pPr>
            <w:r>
              <w:rPr/>
              <w:t>Bandomosios eksploatacijos vykdymo ir klaidų bei trūkumų fiksavimo tvarka;</w:t>
            </w:r>
          </w:p>
          <w:p>
            <w:pPr>
              <w:pStyle w:val="Normal"/>
              <w:numPr>
                <w:ilvl w:val="0"/>
                <w:numId w:val="56"/>
              </w:numPr>
              <w:jc w:val="both"/>
              <w:rPr/>
            </w:pPr>
            <w:r>
              <w:rPr/>
              <w:t>Bandomosios eksploatacijos dalyvių funkcijos ir atsakomybės;</w:t>
            </w:r>
          </w:p>
          <w:p>
            <w:pPr>
              <w:pStyle w:val="Normal"/>
              <w:numPr>
                <w:ilvl w:val="0"/>
                <w:numId w:val="56"/>
              </w:numPr>
              <w:spacing w:before="40" w:after="160"/>
              <w:jc w:val="both"/>
              <w:rPr/>
            </w:pPr>
            <w:r>
              <w:rPr/>
              <w:t>Bandomosios eksploatacijos veiklų grafikas.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Bandomoji eksploatacija turi būti vykdoma gamybinėje aplinkoje, naudotojams realiai dirbant su IT sprendimu.</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Tiekėjas privalo pašalinti visas bandomosios eksploatacijos metu užfiksuotas klaidas ir trūkumus bandomosios eksploatacijos plane nustatyta tvarka.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Pagrindinės bandomosios eksploatacijos nuostatos:</w:t>
            </w:r>
          </w:p>
          <w:p>
            <w:pPr>
              <w:pStyle w:val="Normal"/>
              <w:numPr>
                <w:ilvl w:val="0"/>
                <w:numId w:val="56"/>
              </w:numPr>
              <w:jc w:val="both"/>
              <w:rPr/>
            </w:pPr>
            <w:r>
              <w:rPr/>
              <w:t>reakcijos į klaidą laikas – kritinės – ne ilgiau kaip 2, o nekritinės – ne ilgiau kaip 4 Perkančiosios organizacijos darbo laiko valandos. Reakcijos į klaidą laikas suprantamas kaip laikotarpis, kuris prasideda nuo problemos užregistravimo ir apima Tiekėjo vykdomą papildomų duomenų apie problemą surinkimą, problemos detalizaciją, atsakingų už problemos sprendimą asmenų priskyrimą. Reakcija į problemą nėra laikomas automatizuotas pranešimų siuntimas;</w:t>
            </w:r>
          </w:p>
          <w:p>
            <w:pPr>
              <w:pStyle w:val="Normal"/>
              <w:numPr>
                <w:ilvl w:val="0"/>
                <w:numId w:val="56"/>
              </w:numPr>
              <w:jc w:val="both"/>
              <w:rPr/>
            </w:pPr>
            <w:r>
              <w:rPr/>
              <w:t>kritinės klaidos sprendimo (klaidos šalinimo ir funkcionalumo atnaujinimo) trukmė – ne ilgiau kaip 8 Perkančiosios organizacijos darbo valandos nuo reakcijos laiko į problemą pabaigos. Jei gedimo per nurodytą laiką pašalinti negalima, su Perkančiąja organizacija turi būti suderinama dėl gedimo pašalinimo laiko;</w:t>
            </w:r>
          </w:p>
          <w:p>
            <w:pPr>
              <w:pStyle w:val="Normal"/>
              <w:numPr>
                <w:ilvl w:val="0"/>
                <w:numId w:val="56"/>
              </w:numPr>
              <w:spacing w:before="40" w:after="160"/>
              <w:jc w:val="both"/>
              <w:rPr/>
            </w:pPr>
            <w:r>
              <w:rPr/>
              <w:t>nekritinės klaidos sprendimo (problemos šalinimo ir funkcionalumo atnaujinimo) trukmė – ne ilgiau kaip 16 Perkančiosios organizacijos darbo valandų nuo reakcijos laiko į problemą pabaigos. Jei gedimo per nurodytą laiką pašalinti negalima, su Perkančiąja organizacija turi būti suderinama dėl gedimo pašalinimo laiko;</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Pasibaigus bandomajai eksploatacijai, Tiekėjas turi pateikti jos rezultatus apibendrinančią ataskaitą, kurioje būtų pateikiama informacija apie bandomosios eksploatacijos metu nustatytus ir iki bandomosios eksploatacijos pabaigos pašalintus klaidas ir trūkumus.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Bandomosios eksploatacijos metu atlikus programinio kodo pakeitimus, Tiekėjas privalo Perkančiajai organizacijai pateikti atnaujintas (galutines) IT sprendimo techninės dokumentacijos ir išeities kodo versijas. Perkančiajai organizacijai turi turėti galimybę atlikti diegimo testą, siekiant įsitikinti pateiktų išeities kodų tinkamumu tolimesniam naudojimui.</w:t>
            </w:r>
          </w:p>
        </w:tc>
      </w:tr>
    </w:tbl>
    <w:p>
      <w:pPr>
        <w:pStyle w:val="Heading3"/>
        <w:numPr>
          <w:ilvl w:val="2"/>
          <w:numId w:val="35"/>
        </w:numPr>
        <w:rPr/>
      </w:pPr>
      <w:bookmarkStart w:id="120" w:name="_Toc191546245"/>
      <w:r>
        <w:rPr/>
        <w:t>Reikalavimai garantinei priežiūrai ir palaikymui</w:t>
      </w:r>
      <w:bookmarkEnd w:id="120"/>
    </w:p>
    <w:tbl>
      <w:tblPr>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657"/>
        <w:gridCol w:w="7472"/>
      </w:tblGrid>
      <w:tr>
        <w:trPr>
          <w:tblHeader w:val="true"/>
        </w:trPr>
        <w:tc>
          <w:tcPr>
            <w:tcW w:w="165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 Nr.</w:t>
            </w:r>
          </w:p>
        </w:tc>
        <w:tc>
          <w:tcPr>
            <w:tcW w:w="747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spacing w:before="40" w:after="160"/>
              <w:rPr>
                <w:b/>
              </w:rPr>
            </w:pPr>
            <w:r>
              <w:rPr>
                <w:b/>
              </w:rPr>
              <w:t>Reikalavimas</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Garantinės priežiūros objektai yra visi Tiekėjo įdiegti ir Perkančiosios organizacijos priimti eksploatuoti Sistemos komponentai.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Visiems Sutarties rezultato elementams, kuriems pagal Civilinį kodeksą būtų galimybė sutartiniu įsipareigojimu suteikti kokybės garantijos terminą, pirkimo sutartimi turi būti suteikiamas 12 mėnesių garantinės priežiūros terminas, kurio pradžia laikoma paskutinio galutinio priėmimo – perdavimo akto pasirašymo diena.</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 xml:space="preserve">Garantinės priežiūros metu klaidų ir / ar trikdžių registravimui turi būti naudojama specializuota problemų registravimo programinė įranga (angl. </w:t>
            </w:r>
            <w:r>
              <w:rPr>
                <w:rFonts w:eastAsia="Times New Roman" w:cs="Times New Roman"/>
                <w:i/>
                <w:szCs w:val="24"/>
              </w:rPr>
              <w:t>issue tracking software</w:t>
            </w:r>
            <w:r>
              <w:rPr>
                <w:rFonts w:eastAsia="Times New Roman" w:cs="Times New Roman"/>
                <w:szCs w:val="24"/>
              </w:rPr>
              <w:t xml:space="preserve">), pasiekiama naudojant interneto naršyklę. </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Garantinės priežiūros metu modifikavus IT sprendimą ar jo komponentą, tiekėjas, suderinęs su Perkančiąja organizacija, pateikia (arba atitinkamai pakeičia pateiktus) tokius Perkančiosios organizacijos patvirtintus rezultatus:</w:t>
            </w:r>
          </w:p>
          <w:p>
            <w:pPr>
              <w:pStyle w:val="Normal"/>
              <w:numPr>
                <w:ilvl w:val="0"/>
                <w:numId w:val="56"/>
              </w:numPr>
              <w:jc w:val="both"/>
              <w:rPr/>
            </w:pPr>
            <w:r>
              <w:rPr/>
              <w:t>administratorių ir naudotojų vadovus, pagalbos vadovus;</w:t>
            </w:r>
          </w:p>
          <w:p>
            <w:pPr>
              <w:pStyle w:val="Normal"/>
              <w:numPr>
                <w:ilvl w:val="0"/>
                <w:numId w:val="56"/>
              </w:numPr>
              <w:jc w:val="both"/>
              <w:rPr/>
            </w:pPr>
            <w:r>
              <w:rPr/>
              <w:t>kitą techninę dokumentaciją suderintą Garantinio aptarnavimo reglamente;</w:t>
            </w:r>
          </w:p>
          <w:p>
            <w:pPr>
              <w:pStyle w:val="Normal"/>
              <w:numPr>
                <w:ilvl w:val="0"/>
                <w:numId w:val="56"/>
              </w:numPr>
              <w:spacing w:before="40" w:after="160"/>
              <w:jc w:val="both"/>
              <w:rPr/>
            </w:pPr>
            <w:r>
              <w:rPr/>
              <w:t>ištaisytų IT sprendimo nekoduotas programines priemones, programinius kodus ir visą kitą dokumentaciją, reikalingą IT sprendimo modifikuoti, keisti, tvarkyti ir pan.</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pPr>
            <w:r>
              <w:rPr>
                <w:rFonts w:eastAsia="Times New Roman" w:cs="Times New Roman"/>
                <w:szCs w:val="24"/>
              </w:rPr>
              <w:t>Tiekėjas privalo kaip įmanoma greičiau patikslinti informaciją apie trikties ir / ar klaidos rimtumą bei apie preliminarų numatomą trikties ir / ar klaidos pašalinimo terminą.</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Klaidos ir / ar triktys klasifikuojamos:</w:t>
            </w:r>
          </w:p>
          <w:p>
            <w:pPr>
              <w:pStyle w:val="Normal"/>
              <w:numPr>
                <w:ilvl w:val="0"/>
                <w:numId w:val="56"/>
              </w:numPr>
              <w:jc w:val="both"/>
              <w:rPr/>
            </w:pPr>
            <w:r>
              <w:rPr/>
              <w:t>kritinė klaida – kai nustatyta triktis ir / ar klaida, dėl kurios IT sprendimo naudotojas negali vykdyti numatytų būtinų funkcijų ir nežinomas joks kitas alternatyvus šios funkcijos vykdymas;</w:t>
            </w:r>
          </w:p>
          <w:p>
            <w:pPr>
              <w:pStyle w:val="Normal"/>
              <w:numPr>
                <w:ilvl w:val="0"/>
                <w:numId w:val="56"/>
              </w:numPr>
              <w:jc w:val="both"/>
              <w:rPr/>
            </w:pPr>
            <w:r>
              <w:rPr/>
              <w:t>didelė klaida – tai nuolat pasikartojanti IT sprendimo veikimo triktis ir / ar klaida, dėl kurios IT sprendimo veikimas tampa nestabilus ir (ar) nesaugus ir kuri kliudo naudotojui vykdyti būtinas funkcijas, tačiau yra žinomas alternatyvus funkcijos vykdymas;</w:t>
            </w:r>
          </w:p>
          <w:p>
            <w:pPr>
              <w:pStyle w:val="Normal"/>
              <w:numPr>
                <w:ilvl w:val="0"/>
                <w:numId w:val="56"/>
              </w:numPr>
              <w:spacing w:before="40" w:after="160"/>
              <w:jc w:val="both"/>
              <w:rPr/>
            </w:pPr>
            <w:r>
              <w:rPr/>
              <w:t>maža klaida – IT sprendimo veikimo triktis ir / ar klaida, dėl kurios Sistemos naudotojas funkcijų vykdymą atlieka, tačiau jos atliekamos kitokiu nei įprastas nuoseklumu arba gautas rezultatas nesutampa su rezultatu, gautu kitais būdais, arba sulėtėja IT sprendimo veikimas, arba gali susidaryti grėsmė elektroninės informacijos saugai.</w:t>
            </w:r>
          </w:p>
        </w:tc>
      </w:tr>
      <w:tr>
        <w:trPr/>
        <w:tc>
          <w:tcPr>
            <w:tcW w:w="1657" w:type="dxa"/>
            <w:tcBorders>
              <w:top w:val="single" w:sz="4" w:space="0" w:color="000000"/>
              <w:left w:val="single" w:sz="4" w:space="0" w:color="000000"/>
              <w:bottom w:val="single" w:sz="4" w:space="0" w:color="000000"/>
              <w:right w:val="single" w:sz="4" w:space="0" w:color="000000"/>
            </w:tcBorders>
            <w:shd w:color="auto" w:fill="auto" w:val="clear"/>
          </w:tcPr>
          <w:p>
            <w:pPr>
              <w:pStyle w:val="Normal"/>
              <w:numPr>
                <w:ilvl w:val="0"/>
                <w:numId w:val="57"/>
              </w:numPr>
              <w:spacing w:before="40" w:after="160"/>
              <w:rPr/>
            </w:pPr>
            <w:r>
              <w:rPr/>
            </w:r>
          </w:p>
        </w:tc>
        <w:tc>
          <w:tcPr>
            <w:tcW w:w="7472" w:type="dxa"/>
            <w:tcBorders>
              <w:top w:val="single" w:sz="4" w:space="0" w:color="000000"/>
              <w:left w:val="single" w:sz="4" w:space="0" w:color="000000"/>
              <w:bottom w:val="single" w:sz="4" w:space="0" w:color="000000"/>
              <w:right w:val="single" w:sz="4" w:space="0" w:color="000000"/>
            </w:tcBorders>
            <w:shd w:color="auto" w:fill="auto" w:val="clear"/>
          </w:tcPr>
          <w:p>
            <w:pPr>
              <w:pStyle w:val="Normal"/>
              <w:spacing w:before="40" w:after="160"/>
              <w:jc w:val="both"/>
              <w:rPr>
                <w:rFonts w:eastAsia="Times New Roman" w:cs="Times New Roman"/>
                <w:szCs w:val="24"/>
              </w:rPr>
            </w:pPr>
            <w:r>
              <w:rPr>
                <w:rFonts w:eastAsia="Times New Roman" w:cs="Times New Roman"/>
                <w:szCs w:val="24"/>
              </w:rPr>
              <w:t>Trikties ir / ar klaidos šalinimui numatomi tokie įvykdymo terminai, skaičiuojant nuo klaidos ir / ar trikties registravimo specializuotoje problemų registravimo ir sekimo programinėje įrangoje momento iki klaidos ir / ar trikties pašalinimo:</w:t>
            </w:r>
          </w:p>
          <w:p>
            <w:pPr>
              <w:pStyle w:val="Normal"/>
              <w:numPr>
                <w:ilvl w:val="0"/>
                <w:numId w:val="56"/>
              </w:numPr>
              <w:jc w:val="both"/>
              <w:rPr/>
            </w:pPr>
            <w:r>
              <w:rPr/>
              <w:t>kritinės klaidos atveju – ne daugiau kaip 4 darbo valandos. Jei per 4 darbo valandas kritinės klaidos atvejo pašalinti nepavyksta, Tiekėjas Perkančiajai organizacijai padeda įvykdyti reikiamas funkcijas alternatyviomis priemonėmis. Tokiu atveju Tiekėjas kritinę klaidą įsipareigoja pašalinti per 16 darbo valandų, skaičiuojant nuo kritinės klaidos pirminio nukreipimo Tiekėjui momento;</w:t>
            </w:r>
          </w:p>
          <w:p>
            <w:pPr>
              <w:pStyle w:val="Normal"/>
              <w:numPr>
                <w:ilvl w:val="0"/>
                <w:numId w:val="56"/>
              </w:numPr>
              <w:jc w:val="both"/>
              <w:rPr/>
            </w:pPr>
            <w:r>
              <w:rPr/>
              <w:t>didelės klaidos atveju – ne daugiau kaip 16 darbo valandų. Jei per 16 darbo valandų didelės klaidos atvejo pašalinti nepavyksta, Tiekėjas Perkančiajai organizacijai padeda įvykdyti reikiamą funkciją alternatyviomis priemonėmis. Tokiu atveju Tiekėjas didelės klaidos atvejį įsipareigoja pašalinti per 40 darbo valandų, skaičiuojant nuo didelės klaidos pirminio nukreipimo Tiekėjui momento;</w:t>
            </w:r>
          </w:p>
          <w:p>
            <w:pPr>
              <w:pStyle w:val="Normal"/>
              <w:numPr>
                <w:ilvl w:val="0"/>
                <w:numId w:val="56"/>
              </w:numPr>
              <w:spacing w:before="40" w:after="160"/>
              <w:jc w:val="both"/>
              <w:rPr/>
            </w:pPr>
            <w:r>
              <w:rPr/>
              <w:t>mažos klaidos atveju – ne daugiau kaip 40 darbo valandų. Jei per 40 darbo valandų klaidos atvejo pašalinti nepavyksta, Tiekėjas Perkančiajai organizacijai padeda įvykdyti reikiamą funkciją alternatyviomis priemonėmis. Tokiu atveju Tiekėjas klaidos atvejį įsipareigoja pašalinti per 80 darbo valandų, skaičiuojant nuo mažos klaidos pirminio nukreipimo Tiekėjui momento.</w:t>
            </w:r>
          </w:p>
        </w:tc>
      </w:tr>
    </w:tbl>
    <w:p>
      <w:pPr>
        <w:pStyle w:val="Normal"/>
        <w:spacing w:before="40" w:after="160"/>
        <w:rPr>
          <w:highlight w:val="red"/>
        </w:rPr>
      </w:pPr>
      <w:r>
        <w:rPr>
          <w:highlight w:val="red"/>
        </w:rPr>
      </w:r>
    </w:p>
    <w:sectPr>
      <w:headerReference w:type="default" r:id="rId42"/>
      <w:headerReference w:type="first" r:id="rId43"/>
      <w:footerReference w:type="default" r:id="rId44"/>
      <w:footerReference w:type="first" r:id="rId45"/>
      <w:type w:val="nextPage"/>
      <w:pgSz w:w="12240" w:h="15840"/>
      <w:pgMar w:left="1555" w:right="1555" w:gutter="0" w:header="864" w:top="1980" w:footer="720" w:bottom="180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Tahoma">
    <w:charset w:val="00"/>
    <w:family w:val="roman"/>
    <w:pitch w:val="variable"/>
  </w:font>
  <w:font w:name="Consolas">
    <w:charset w:val="00"/>
    <w:family w:val="roman"/>
    <w:pitch w:val="variable"/>
  </w:font>
  <w:font w:name="Segoe UI">
    <w:charset w:val="00"/>
    <w:family w:val="roman"/>
    <w:pitch w:val="variable"/>
  </w:font>
  <w:font w:name="Liberation Sans">
    <w:altName w:val="Arial"/>
    <w:charset w:val="00"/>
    <w:family w:val="swiss"/>
    <w:pitch w:val="variable"/>
  </w:font>
  <w:font w:name="TimesLT">
    <w:charset w:val="00"/>
    <w:family w:val="roman"/>
    <w:pitch w:val="variable"/>
  </w:font>
  <w:font w:name="Georgia">
    <w:charset w:val="00"/>
    <w:family w:val="roman"/>
    <w:pitch w:val="variable"/>
  </w:font>
  <w:font w:name="Arial">
    <w:charset w:val="00"/>
    <w:family w:val="roman"/>
    <w:pitch w:val="variable"/>
  </w:font>
  <w:font w:name="Cambria">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6" w:color="B1C0CD" w:themeColor="accent1" w:themeTint="99"/>
        <w:left w:val="single" w:sz="2" w:space="4" w:color="FFFFFF" w:themeColor="light1"/>
      </w:pBdr>
      <w:spacing w:lineRule="auto" w:line="240" w:before="40" w:after="0"/>
      <w:ind w:left="-360" w:right="-360"/>
      <w:rPr/>
    </w:pPr>
    <w:r>
      <w:rPr/>
      <w:fldChar w:fldCharType="begin"/>
    </w:r>
    <w:r>
      <w:rPr/>
      <w:instrText xml:space="preserve"> PAGE </w:instrText>
    </w:r>
    <w:r>
      <w:rPr/>
      <w:fldChar w:fldCharType="separate"/>
    </w:r>
    <w:r>
      <w:rPr/>
      <w:t>9</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6" w:color="B1C0CD" w:themeColor="accent1" w:themeTint="99"/>
        <w:left w:val="single" w:sz="2" w:space="4" w:color="FFFFFF" w:themeColor="light1"/>
      </w:pBdr>
      <w:spacing w:lineRule="auto" w:line="240" w:before="40" w:after="0"/>
      <w:ind w:left="-360" w:right="-360"/>
      <w:rPr/>
    </w:pPr>
    <w:r>
      <w:rPr/>
      <w:fldChar w:fldCharType="begin"/>
    </w:r>
    <w:r>
      <w:rPr/>
      <w:instrText xml:space="preserve"> PAGE </w:instrText>
    </w:r>
    <w:r>
      <w:rPr/>
      <w:fldChar w:fldCharType="separate"/>
    </w:r>
    <w:r>
      <w:rPr/>
      <w:t>12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single" w:sz="4" w:space="6" w:color="B1C0CD" w:themeColor="accent1" w:themeTint="99"/>
        <w:left w:val="single" w:sz="2" w:space="4" w:color="FFFFFF" w:themeColor="light1"/>
      </w:pBdr>
      <w:spacing w:lineRule="auto" w:line="240" w:before="40" w:after="0"/>
      <w:ind w:left="-360" w:right="-360"/>
      <w:rPr/>
    </w:pPr>
    <w:r>
      <w:rPr/>
      <w:fldChar w:fldCharType="begin"/>
    </w:r>
    <w:r>
      <w:rPr/>
      <w:instrText xml:space="preserve"> PAGE </w:instrText>
    </w:r>
    <w:r>
      <w:rPr/>
      <w:fldChar w:fldCharType="separate"/>
    </w:r>
    <w:r>
      <w:rPr/>
      <w:t>62</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360" w:hanging="360"/>
      </w:pPr>
      <w:rPr>
        <w:rFonts w:ascii="Cambria" w:hAnsi="Cambria" w:cs="Cambria" w:hint="default"/>
        <w:color w:themeColor="accent1" w:val="7E97AD"/>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1080"/>
        </w:tabs>
        <w:ind w:left="108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bullet"/>
      <w:lvlText w:val=""/>
      <w:lvlJc w:val="left"/>
      <w:pPr>
        <w:tabs>
          <w:tab w:val="num" w:pos="1440"/>
        </w:tabs>
        <w:ind w:left="144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1800"/>
        </w:tabs>
        <w:ind w:left="18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0"/>
        </w:tabs>
        <w:ind w:left="360" w:hanging="360"/>
      </w:pPr>
      <w:rPr/>
    </w:lvl>
    <w:lvl w:ilvl="1">
      <w:start w:val="1"/>
      <w:numFmt w:val="decimal"/>
      <w:suff w:val="space"/>
      <w:lvlText w:val="%1.%2"/>
      <w:lvlJc w:val="left"/>
      <w:pPr>
        <w:tabs>
          <w:tab w:val="num" w:pos="0"/>
        </w:tabs>
        <w:ind w:left="936" w:hanging="576"/>
      </w:pPr>
      <w:rPr/>
    </w:lvl>
    <w:lvl w:ilvl="2">
      <w:start w:val="1"/>
      <w:numFmt w:val="lowerLetter"/>
      <w:lvlText w:val="%3."/>
      <w:lvlJc w:val="left"/>
      <w:pPr>
        <w:tabs>
          <w:tab w:val="num" w:pos="0"/>
        </w:tabs>
        <w:ind w:left="720" w:hanging="360"/>
      </w:pPr>
      <w:rPr/>
    </w:lvl>
    <w:lvl w:ilvl="3">
      <w:start w:val="1"/>
      <w:numFmt w:val="lowerRoman"/>
      <w:lvlText w:val="%4."/>
      <w:lvlJc w:val="left"/>
      <w:pPr>
        <w:tabs>
          <w:tab w:val="num" w:pos="0"/>
        </w:tabs>
        <w:ind w:left="1080" w:hanging="360"/>
      </w:pPr>
      <w:rPr/>
    </w:lvl>
    <w:lvl w:ilvl="4">
      <w:start w:val="1"/>
      <w:numFmt w:val="lowerLetter"/>
      <w:lvlText w:val="(%5)"/>
      <w:lvlJc w:val="left"/>
      <w:pPr>
        <w:tabs>
          <w:tab w:val="num" w:pos="0"/>
        </w:tabs>
        <w:ind w:left="1800" w:hanging="360"/>
      </w:pPr>
      <w:rPr/>
    </w:lvl>
    <w:lvl w:ilvl="5">
      <w:start w:val="1"/>
      <w:numFmt w:val="lowerRoman"/>
      <w:lvlText w:val="(%6)"/>
      <w:lvlJc w:val="left"/>
      <w:pPr>
        <w:tabs>
          <w:tab w:val="num" w:pos="0"/>
        </w:tabs>
        <w:ind w:left="2160" w:hanging="360"/>
      </w:pPr>
      <w:rPr/>
    </w:lvl>
    <w:lvl w:ilvl="6">
      <w:start w:val="1"/>
      <w:numFmt w:val="decimal"/>
      <w:lvlText w:val="%7."/>
      <w:lvlJc w:val="left"/>
      <w:pPr>
        <w:tabs>
          <w:tab w:val="num" w:pos="0"/>
        </w:tabs>
        <w:ind w:left="2520" w:hanging="360"/>
      </w:pPr>
      <w:rPr/>
    </w:lvl>
    <w:lvl w:ilvl="7">
      <w:start w:val="1"/>
      <w:numFmt w:val="lowerLetter"/>
      <w:lvlText w:val="%8."/>
      <w:lvlJc w:val="left"/>
      <w:pPr>
        <w:tabs>
          <w:tab w:val="num" w:pos="0"/>
        </w:tabs>
        <w:ind w:left="2880" w:hanging="360"/>
      </w:pPr>
      <w:rPr/>
    </w:lvl>
    <w:lvl w:ilvl="8">
      <w:start w:val="1"/>
      <w:numFmt w:val="lowerRoman"/>
      <w:lvlText w:val="%9."/>
      <w:lvlJc w:val="left"/>
      <w:pPr>
        <w:tabs>
          <w:tab w:val="num" w:pos="0"/>
        </w:tabs>
        <w:ind w:left="3240" w:hanging="360"/>
      </w:pPr>
      <w:rPr/>
    </w:lvl>
  </w:abstractNum>
  <w:abstractNum w:abstractNumId="7">
    <w:lvl w:ilvl="0">
      <w:start w:val="1"/>
      <w:numFmt w:val="decimal"/>
      <w:lvlText w:val="F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i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450" w:hanging="45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3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9">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0">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1">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2">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45">
    <w:lvl w:ilvl="0">
      <w:start w:val="1"/>
      <w:numFmt w:val="decimal"/>
      <w:lvlText w:val="N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46">
    <w:lvl w:ilvl="0">
      <w:start w:val="1"/>
      <w:numFmt w:val="bullet"/>
      <w:lvlText w:val=""/>
      <w:lvlJc w:val="left"/>
      <w:pPr>
        <w:tabs>
          <w:tab w:val="num" w:pos="0"/>
        </w:tabs>
        <w:ind w:left="720" w:hanging="360"/>
      </w:pPr>
      <w:rPr>
        <w:rFonts w:ascii="Symbol" w:hAnsi="Symbol" w:cs="Symbol" w:hint="default"/>
        <w:sz w:val="22"/>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decimal"/>
      <w:lvlText w:val="%1."/>
      <w:lvlJc w:val="left"/>
      <w:pPr>
        <w:tabs>
          <w:tab w:val="num" w:pos="0"/>
        </w:tabs>
        <w:ind w:left="0" w:hanging="0"/>
      </w:pPr>
      <w:rPr>
        <w:sz w:val="22"/>
        <w:szCs w:val="22"/>
      </w:rPr>
    </w:lvl>
    <w:lvl w:ilvl="1">
      <w:start w:val="1"/>
      <w:numFmt w:val="decimal"/>
      <w:lvlText w:val="%1.%2."/>
      <w:lvlJc w:val="left"/>
      <w:pPr>
        <w:tabs>
          <w:tab w:val="num" w:pos="0"/>
        </w:tabs>
        <w:ind w:left="0" w:hanging="0"/>
      </w:pPr>
      <w:rPr>
        <w:sz w:val="22"/>
        <w:szCs w:val="22"/>
      </w:rPr>
    </w:lvl>
    <w:lvl w:ilvl="2">
      <w:start w:val="1"/>
      <w:numFmt w:val="decimal"/>
      <w:lvlText w:val="%1.%2.%3."/>
      <w:lvlJc w:val="left"/>
      <w:pPr>
        <w:tabs>
          <w:tab w:val="num" w:pos="0"/>
        </w:tabs>
        <w:ind w:left="1224" w:hanging="1224"/>
      </w:pPr>
      <w:rPr/>
    </w:lvl>
    <w:lvl w:ilvl="3">
      <w:start w:val="1"/>
      <w:numFmt w:val="decimal"/>
      <w:lvlText w:val="%1.%2.%3.%4."/>
      <w:lvlJc w:val="left"/>
      <w:pPr>
        <w:tabs>
          <w:tab w:val="num" w:pos="0"/>
        </w:tabs>
        <w:ind w:left="1728" w:hanging="1728"/>
      </w:pPr>
      <w:rPr/>
    </w:lvl>
    <w:lvl w:ilvl="4">
      <w:start w:val="1"/>
      <w:numFmt w:val="decimal"/>
      <w:lvlText w:val="%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lvl w:ilvl="0">
      <w:start w:val="1"/>
      <w:numFmt w:val="decimal"/>
      <w:lvlText w:val="PR-%1."/>
      <w:lvlJc w:val="left"/>
      <w:pPr>
        <w:tabs>
          <w:tab w:val="num" w:pos="0"/>
        </w:tabs>
        <w:ind w:left="0" w:hanging="0"/>
      </w:pPr>
      <w:rPr>
        <w:sz w:val="24"/>
        <w:szCs w:val="22"/>
      </w:rPr>
    </w:lvl>
    <w:lvl w:ilvl="1">
      <w:start w:val="1"/>
      <w:numFmt w:val="decimal"/>
      <w:lvlText w:val="FR-%1.%2."/>
      <w:lvlJc w:val="left"/>
      <w:pPr>
        <w:tabs>
          <w:tab w:val="num" w:pos="0"/>
        </w:tabs>
        <w:ind w:left="0" w:hanging="0"/>
      </w:pPr>
      <w:rPr>
        <w:sz w:val="24"/>
        <w:szCs w:val="22"/>
      </w:rPr>
    </w:lvl>
    <w:lvl w:ilvl="2">
      <w:start w:val="1"/>
      <w:numFmt w:val="decimal"/>
      <w:lvlText w:val="FR-%1.%2.%3."/>
      <w:lvlJc w:val="left"/>
      <w:pPr>
        <w:tabs>
          <w:tab w:val="num" w:pos="0"/>
        </w:tabs>
        <w:ind w:left="1224" w:hanging="1224"/>
      </w:pPr>
      <w:rPr/>
    </w:lvl>
    <w:lvl w:ilvl="3">
      <w:start w:val="1"/>
      <w:numFmt w:val="decimal"/>
      <w:lvlText w:val="FR-%1.%2.%3.%4."/>
      <w:lvlJc w:val="left"/>
      <w:pPr>
        <w:tabs>
          <w:tab w:val="num" w:pos="0"/>
        </w:tabs>
        <w:ind w:left="1728" w:hanging="1728"/>
      </w:pPr>
      <w:rPr/>
    </w:lvl>
    <w:lvl w:ilvl="4">
      <w:start w:val="1"/>
      <w:numFmt w:val="decimal"/>
      <w:lvlText w:val="FR-%1.%2.%3.%4.%5."/>
      <w:lvlJc w:val="left"/>
      <w:pPr>
        <w:tabs>
          <w:tab w:val="num" w:pos="0"/>
        </w:tabs>
        <w:ind w:left="2232" w:hanging="223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58">
    <w:lvl w:ilvl="0">
      <w:start w:val="1"/>
      <w:numFmt w:val="decimal"/>
      <w:lvlText w:val="%1."/>
      <w:lvlJc w:val="left"/>
      <w:pPr>
        <w:tabs>
          <w:tab w:val="num" w:pos="0"/>
        </w:tabs>
        <w:ind w:left="450" w:hanging="45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59">
    <w:lvl w:ilvl="0">
      <w:start w:val="1"/>
      <w:numFmt w:val="decimal"/>
      <w:lvlText w:val="%1."/>
      <w:lvlJc w:val="left"/>
      <w:pPr>
        <w:tabs>
          <w:tab w:val="num" w:pos="0"/>
        </w:tabs>
        <w:ind w:left="360" w:hanging="360"/>
      </w:pPr>
      <w:rPr/>
    </w:lvl>
    <w:lvl w:ilvl="1">
      <w:start w:val="1"/>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6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39"/>
  </w:num>
  <w:num w:numId="62">
    <w:abstractNumId w:val="39"/>
  </w:num>
  <w:num w:numId="63">
    <w:abstractNumId w:val="39"/>
  </w:num>
  <w:num w:numId="64">
    <w:abstractNumId w:val="39"/>
  </w:num>
  <w:num w:numId="65">
    <w:abstractNumId w:val="39"/>
  </w:num>
  <w:num w:numId="66">
    <w:abstractNumId w:val="39"/>
  </w:num>
  <w:num w:numId="67">
    <w:abstractNumId w:val="39"/>
  </w:num>
  <w:num w:numId="68">
    <w:abstractNumId w:val="39"/>
  </w:num>
  <w:num w:numId="69">
    <w:abstractNumId w:val="39"/>
  </w:num>
  <w:num w:numId="70">
    <w:abstractNumId w:val="39"/>
  </w:num>
  <w:num w:numId="71">
    <w:abstractNumId w:val="39"/>
  </w:num>
  <w:num w:numId="72">
    <w:abstractNumId w:val="39"/>
  </w:num>
</w:numbering>
</file>

<file path=word/settings.xml><?xml version="1.0" encoding="utf-8"?>
<w:settings xmlns:w="http://schemas.openxmlformats.org/wordprocessingml/2006/main">
  <w:zoom w:percent="100"/>
  <w:trackRevision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US" w:eastAsia=""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Cambria" w:cs="Times New Roman" w:asciiTheme="minorHAnsi" w:cstheme="minorBidi" w:eastAsiaTheme="minorHAnsi" w:hAnsiTheme="minorHAnsi"/>
        <w:color w:themeColor="text1" w:themeTint="a6" w:val="595959"/>
        <w:lang w:val="en-US" w:eastAsia="ja-JP"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semiHidden="1" w:qFormat="1"/>
    <w:lsdException w:name="Closing" w:semiHidden="1" w:unhideWhenUsed="1"/>
    <w:lsdException w:name="Signature" w:uiPriority="9" w:semiHidden="1" w:unhideWhenUsed="1" w:qFormat="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semiHidden="1" w:qFormat="1"/>
    <w:lsdException w:name="Emphasis" w:uiPriority="20"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semiHidden="1" w:qFormat="1"/>
    <w:lsdException w:name="Quote" w:uiPriority="9" w:semiHidden="1"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lsdException w:name="Intense Emphasis" w:uiPriority="21" w:semiHidden="1"/>
    <w:lsdException w:name="Subtle Reference" w:uiPriority="31" w:semiHidden="1"/>
    <w:lsdException w:name="Intense Reference" w:uiPriority="32" w:semiHidden="1"/>
    <w:lsdException w:name="Book Title" w:uiPriority="33" w:semiHidden="1"/>
    <w:lsdException w:name="Bibliography" w:uiPriority="37" w:semiHidden="1" w:unhideWhenUsed="1"/>
    <w:lsdException w:name="TOC Heading" w:uiPriority="39" w:semiHidden="1"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6150"/>
    <w:pPr>
      <w:widowControl/>
      <w:bidi w:val="0"/>
      <w:spacing w:lineRule="auto" w:line="288" w:before="40" w:after="160"/>
      <w:jc w:val="left"/>
    </w:pPr>
    <w:rPr>
      <w:rFonts w:ascii="Times New Roman" w:hAnsi="Times New Roman" w:eastAsia="Cambria" w:cs="Times New Roman"/>
      <w:color w:themeColor="text1" w:themeTint="a6" w:val="auto"/>
      <w:kern w:val="2"/>
      <w:sz w:val="24"/>
      <w:szCs w:val="20"/>
      <w:lang w:val="lt-LT" w:eastAsia="ja-JP" w:bidi="ar-SA"/>
    </w:rPr>
  </w:style>
  <w:style w:type="paragraph" w:styleId="Heading1">
    <w:name w:val="Heading 1"/>
    <w:basedOn w:val="Normal"/>
    <w:next w:val="Normal"/>
    <w:link w:val="Antrat1Diagrama"/>
    <w:uiPriority w:val="1"/>
    <w:qFormat/>
    <w:rsid w:val="00891ac5"/>
    <w:pPr>
      <w:pageBreakBefore/>
      <w:spacing w:lineRule="auto" w:line="240" w:before="120" w:after="60"/>
      <w:ind w:firstLine="357"/>
      <w:outlineLvl w:val="0"/>
    </w:pPr>
    <w:rPr>
      <w:color w:themeColor="accent1" w:themeShade="bf" w:val="577188"/>
      <w:sz w:val="32"/>
    </w:rPr>
  </w:style>
  <w:style w:type="paragraph" w:styleId="Heading2">
    <w:name w:val="Heading 2"/>
    <w:basedOn w:val="Normal"/>
    <w:next w:val="Normal"/>
    <w:link w:val="Antrat2Diagrama"/>
    <w:uiPriority w:val="1"/>
    <w:unhideWhenUsed/>
    <w:qFormat/>
    <w:rsid w:val="00891ac5"/>
    <w:pPr>
      <w:keepNext w:val="true"/>
      <w:keepLines/>
      <w:spacing w:lineRule="auto" w:line="240" w:before="360" w:after="60"/>
      <w:outlineLvl w:val="1"/>
    </w:pPr>
    <w:rPr>
      <w:rFonts w:eastAsia="" w:cs="Arial" w:cstheme="majorBidi" w:eastAsiaTheme="majorEastAsia"/>
      <w:color w:themeColor="accent1" w:themeShade="bf" w:val="577188"/>
      <w:sz w:val="28"/>
      <w14:ligatures w14:val="standardContextual"/>
    </w:rPr>
  </w:style>
  <w:style w:type="paragraph" w:styleId="Heading3">
    <w:name w:val="Heading 3"/>
    <w:basedOn w:val="Normal"/>
    <w:next w:val="Normal"/>
    <w:link w:val="Antrat3Diagrama"/>
    <w:uiPriority w:val="1"/>
    <w:unhideWhenUsed/>
    <w:qFormat/>
    <w:rsid w:val="00b20152"/>
    <w:pPr>
      <w:keepNext w:val="true"/>
      <w:keepLines/>
      <w:spacing w:before="200" w:after="0"/>
      <w:outlineLvl w:val="2"/>
    </w:pPr>
    <w:rPr>
      <w:rFonts w:eastAsia="" w:cs="Arial" w:cstheme="majorBidi" w:eastAsiaTheme="majorEastAsia"/>
      <w:b/>
      <w:bCs/>
      <w:color w:themeColor="accent1" w:themeShade="bf" w:val="577188"/>
      <w14:ligatures w14:val="standardContextual"/>
    </w:rPr>
  </w:style>
  <w:style w:type="paragraph" w:styleId="Heading4">
    <w:name w:val="Heading 4"/>
    <w:basedOn w:val="Normal"/>
    <w:next w:val="Normal"/>
    <w:link w:val="Antrat4Diagrama"/>
    <w:uiPriority w:val="18"/>
    <w:semiHidden/>
    <w:unhideWhenUsed/>
    <w:qFormat/>
    <w:pPr>
      <w:keepNext w:val="true"/>
      <w:keepLines/>
      <w:spacing w:before="200" w:after="0"/>
      <w:outlineLvl w:val="3"/>
    </w:pPr>
    <w:rPr>
      <w:rFonts w:ascii="Calibri" w:hAnsi="Calibri" w:eastAsia="" w:cs="Arial" w:asciiTheme="majorHAnsi" w:cstheme="majorBidi" w:eastAsiaTheme="majorEastAsia" w:hAnsiTheme="majorHAnsi"/>
      <w:b/>
      <w:bCs/>
      <w:i/>
      <w:iCs/>
      <w:color w:themeColor="accent1" w:val="7E97AD"/>
    </w:rPr>
  </w:style>
  <w:style w:type="paragraph" w:styleId="Heading5">
    <w:name w:val="Heading 5"/>
    <w:basedOn w:val="Normal"/>
    <w:next w:val="Normal"/>
    <w:link w:val="Antrat5Diagrama"/>
    <w:uiPriority w:val="18"/>
    <w:semiHidden/>
    <w:unhideWhenUsed/>
    <w:qFormat/>
    <w:pPr>
      <w:keepNext w:val="true"/>
      <w:keepLines/>
      <w:spacing w:before="200" w:after="0"/>
      <w:outlineLvl w:val="4"/>
    </w:pPr>
    <w:rPr>
      <w:rFonts w:ascii="Calibri" w:hAnsi="Calibri" w:eastAsia="" w:cs="Arial" w:asciiTheme="majorHAnsi" w:cstheme="majorBidi" w:eastAsiaTheme="majorEastAsia" w:hAnsiTheme="majorHAnsi"/>
      <w:color w:themeColor="accent1" w:themeShade="7f" w:val="394B5A"/>
    </w:rPr>
  </w:style>
  <w:style w:type="paragraph" w:styleId="Heading6">
    <w:name w:val="Heading 6"/>
    <w:basedOn w:val="Normal"/>
    <w:next w:val="Normal"/>
    <w:link w:val="Antrat6Diagrama"/>
    <w:uiPriority w:val="18"/>
    <w:semiHidden/>
    <w:unhideWhenUsed/>
    <w:qFormat/>
    <w:pPr>
      <w:keepNext w:val="true"/>
      <w:keepLines/>
      <w:spacing w:before="200" w:after="0"/>
      <w:outlineLvl w:val="5"/>
    </w:pPr>
    <w:rPr>
      <w:rFonts w:ascii="Calibri" w:hAnsi="Calibri" w:eastAsia="" w:cs="Arial" w:asciiTheme="majorHAnsi" w:cstheme="majorBidi" w:eastAsiaTheme="majorEastAsia" w:hAnsiTheme="majorHAnsi"/>
      <w:i/>
      <w:iCs/>
      <w:color w:themeColor="accent1" w:themeShade="7f" w:val="394B5A"/>
    </w:rPr>
  </w:style>
  <w:style w:type="paragraph" w:styleId="Heading7">
    <w:name w:val="Heading 7"/>
    <w:basedOn w:val="Normal"/>
    <w:next w:val="Normal"/>
    <w:link w:val="Antrat7Diagrama"/>
    <w:uiPriority w:val="18"/>
    <w:semiHidden/>
    <w:unhideWhenUsed/>
    <w:qFormat/>
    <w:pPr>
      <w:keepNext w:val="true"/>
      <w:keepLines/>
      <w:spacing w:before="200" w:after="0"/>
      <w:outlineLvl w:val="6"/>
    </w:pPr>
    <w:rPr>
      <w:rFonts w:ascii="Calibri" w:hAnsi="Calibri" w:eastAsia="" w:cs="Arial" w:asciiTheme="majorHAnsi" w:cstheme="majorBidi" w:eastAsiaTheme="majorEastAsia" w:hAnsiTheme="majorHAnsi"/>
      <w:i/>
      <w:iCs/>
      <w:color w:themeColor="text1" w:themeTint="bf" w:val="404040"/>
    </w:rPr>
  </w:style>
  <w:style w:type="paragraph" w:styleId="Heading8">
    <w:name w:val="Heading 8"/>
    <w:basedOn w:val="Normal"/>
    <w:next w:val="Normal"/>
    <w:link w:val="Antrat8Diagrama"/>
    <w:uiPriority w:val="18"/>
    <w:semiHidden/>
    <w:unhideWhenUsed/>
    <w:qFormat/>
    <w:pPr>
      <w:keepNext w:val="true"/>
      <w:keepLines/>
      <w:spacing w:before="200" w:after="0"/>
      <w:outlineLvl w:val="7"/>
    </w:pPr>
    <w:rPr>
      <w:rFonts w:ascii="Calibri" w:hAnsi="Calibri" w:eastAsia="" w:cs="Arial" w:asciiTheme="majorHAnsi" w:cstheme="majorBidi" w:eastAsiaTheme="majorEastAsia" w:hAnsiTheme="majorHAnsi"/>
      <w:color w:themeColor="text1" w:themeTint="bf" w:val="404040"/>
    </w:rPr>
  </w:style>
  <w:style w:type="paragraph" w:styleId="Heading9">
    <w:name w:val="Heading 9"/>
    <w:basedOn w:val="Normal"/>
    <w:next w:val="Normal"/>
    <w:link w:val="Antrat9Diagrama"/>
    <w:uiPriority w:val="18"/>
    <w:semiHidden/>
    <w:unhideWhenUsed/>
    <w:qFormat/>
    <w:pPr>
      <w:keepNext w:val="true"/>
      <w:keepLines/>
      <w:spacing w:before="200" w:after="0"/>
      <w:outlineLvl w:val="8"/>
    </w:pPr>
    <w:rPr>
      <w:rFonts w:ascii="Calibri" w:hAnsi="Calibri" w:eastAsia="" w:cs="Arial" w:asciiTheme="majorHAnsi" w:cstheme="majorBidi" w:eastAsiaTheme="majorEastAsia" w:hAnsiTheme="majorHAnsi"/>
      <w:i/>
      <w:iCs/>
      <w:color w:themeColor="text1" w:themeTint="bf" w:val="404040"/>
    </w:rPr>
  </w:style>
  <w:style w:type="character" w:styleId="DefaultParagraphFont" w:default="1">
    <w:name w:val="Default Paragraph Font"/>
    <w:uiPriority w:val="1"/>
    <w:unhideWhenUsed/>
    <w:qFormat/>
    <w:rPr/>
  </w:style>
  <w:style w:type="character" w:styleId="AntratsDiagrama" w:customStyle="1">
    <w:name w:val="Antraštės Diagrama"/>
    <w:basedOn w:val="DefaultParagraphFont"/>
    <w:link w:val="Header"/>
    <w:uiPriority w:val="99"/>
    <w:qFormat/>
    <w:rPr>
      <w:kern w:val="2"/>
    </w:rPr>
  </w:style>
  <w:style w:type="character" w:styleId="PoratDiagrama" w:customStyle="1">
    <w:name w:val="Poraštė Diagrama"/>
    <w:basedOn w:val="DefaultParagraphFont"/>
    <w:link w:val="Footer"/>
    <w:uiPriority w:val="99"/>
    <w:qFormat/>
    <w:rPr>
      <w:kern w:val="2"/>
    </w:rPr>
  </w:style>
  <w:style w:type="character" w:styleId="DebesliotekstasDiagrama" w:customStyle="1">
    <w:name w:val="Debesėlio tekstas Diagrama"/>
    <w:basedOn w:val="DefaultParagraphFont"/>
    <w:link w:val="BalloonText"/>
    <w:uiPriority w:val="99"/>
    <w:semiHidden/>
    <w:qFormat/>
    <w:rPr>
      <w:rFonts w:ascii="Tahoma" w:hAnsi="Tahoma" w:cs="Tahoma"/>
      <w:sz w:val="16"/>
    </w:rPr>
  </w:style>
  <w:style w:type="character" w:styleId="Antrat1Diagrama" w:customStyle="1">
    <w:name w:val="Antraštė 1 Diagrama"/>
    <w:basedOn w:val="DefaultParagraphFont"/>
    <w:link w:val="Heading1"/>
    <w:uiPriority w:val="1"/>
    <w:qFormat/>
    <w:rsid w:val="00891ac5"/>
    <w:rPr>
      <w:rFonts w:ascii="Times New Roman" w:hAnsi="Times New Roman"/>
      <w:color w:themeColor="accent1" w:themeShade="bf" w:val="577188"/>
      <w:kern w:val="2"/>
      <w:sz w:val="32"/>
      <w:lang w:val="lt-LT"/>
    </w:rPr>
  </w:style>
  <w:style w:type="character" w:styleId="Antrat2Diagrama" w:customStyle="1">
    <w:name w:val="Antraštė 2 Diagrama"/>
    <w:basedOn w:val="DefaultParagraphFont"/>
    <w:link w:val="Heading2"/>
    <w:uiPriority w:val="1"/>
    <w:qFormat/>
    <w:rsid w:val="00891ac5"/>
    <w:rPr>
      <w:rFonts w:ascii="Times New Roman" w:hAnsi="Times New Roman" w:eastAsia="" w:cs="Arial" w:cstheme="majorBidi" w:eastAsiaTheme="majorEastAsia"/>
      <w:color w:themeColor="accent1" w:themeShade="bf" w:val="577188"/>
      <w:kern w:val="2"/>
      <w:sz w:val="28"/>
      <w:lang w:val="lt-LT"/>
      <w14:ligatures w14:val="standardContextual"/>
    </w:rPr>
  </w:style>
  <w:style w:type="character" w:styleId="PlaceholderText">
    <w:name w:val="Placeholder Text"/>
    <w:basedOn w:val="DefaultParagraphFont"/>
    <w:uiPriority w:val="99"/>
    <w:semiHidden/>
    <w:qFormat/>
    <w:rPr>
      <w:color w:themeColor="text1" w:themeTint="a6" w:val="808080"/>
    </w:rPr>
  </w:style>
  <w:style w:type="character" w:styleId="CitataDiagrama" w:customStyle="1">
    <w:name w:val="Citata Diagrama"/>
    <w:basedOn w:val="DefaultParagraphFont"/>
    <w:link w:val="Quote"/>
    <w:uiPriority w:val="9"/>
    <w:qFormat/>
    <w:rPr>
      <w:i/>
      <w:iCs/>
      <w:color w:themeColor="accent1" w:val="7E97AD"/>
      <w:kern w:val="2"/>
      <w:sz w:val="28"/>
    </w:rPr>
  </w:style>
  <w:style w:type="character" w:styleId="PagrindinistekstasDiagrama" w:customStyle="1">
    <w:name w:val="Pagrindinis tekstas Diagrama"/>
    <w:basedOn w:val="DefaultParagraphFont"/>
    <w:uiPriority w:val="99"/>
    <w:semiHidden/>
    <w:qFormat/>
    <w:rPr/>
  </w:style>
  <w:style w:type="character" w:styleId="Pagrindinistekstas2Diagrama" w:customStyle="1">
    <w:name w:val="Pagrindinis tekstas 2 Diagrama"/>
    <w:basedOn w:val="DefaultParagraphFont"/>
    <w:link w:val="BodyText2"/>
    <w:uiPriority w:val="99"/>
    <w:semiHidden/>
    <w:qFormat/>
    <w:rPr/>
  </w:style>
  <w:style w:type="character" w:styleId="Pagrindinistekstas3Diagrama" w:customStyle="1">
    <w:name w:val="Pagrindinis tekstas 3 Diagrama"/>
    <w:basedOn w:val="DefaultParagraphFont"/>
    <w:link w:val="BodyText3"/>
    <w:uiPriority w:val="99"/>
    <w:semiHidden/>
    <w:qFormat/>
    <w:rPr>
      <w:sz w:val="16"/>
    </w:rPr>
  </w:style>
  <w:style w:type="character" w:styleId="PagrindiniotekstopirmatraukaDiagrama" w:customStyle="1">
    <w:name w:val="Pagrindinio teksto pirma įtrauka Diagrama"/>
    <w:basedOn w:val="PagrindinistekstasDiagrama"/>
    <w:uiPriority w:val="99"/>
    <w:semiHidden/>
    <w:qFormat/>
    <w:rPr/>
  </w:style>
  <w:style w:type="character" w:styleId="PagrindiniotekstotraukaDiagrama" w:customStyle="1">
    <w:name w:val="Pagrindinio teksto įtrauka Diagrama"/>
    <w:basedOn w:val="DefaultParagraphFont"/>
    <w:uiPriority w:val="99"/>
    <w:semiHidden/>
    <w:qFormat/>
    <w:rPr/>
  </w:style>
  <w:style w:type="character" w:styleId="Pagrindiniotekstopirmatrauka2Diagrama" w:customStyle="1">
    <w:name w:val="Pagrindinio teksto pirma įtrauka 2 Diagrama"/>
    <w:basedOn w:val="PagrindiniotekstotraukaDiagrama"/>
    <w:link w:val="BodyTextFirstIndent2"/>
    <w:uiPriority w:val="99"/>
    <w:semiHidden/>
    <w:qFormat/>
    <w:rPr/>
  </w:style>
  <w:style w:type="character" w:styleId="Pagrindiniotekstotrauka2Diagrama" w:customStyle="1">
    <w:name w:val="Pagrindinio teksto įtrauka 2 Diagrama"/>
    <w:basedOn w:val="DefaultParagraphFont"/>
    <w:link w:val="BodyTextIndent2"/>
    <w:uiPriority w:val="99"/>
    <w:semiHidden/>
    <w:qFormat/>
    <w:rPr/>
  </w:style>
  <w:style w:type="character" w:styleId="Pagrindiniotekstotrauka3Diagrama" w:customStyle="1">
    <w:name w:val="Pagrindinio teksto įtrauka 3 Diagrama"/>
    <w:basedOn w:val="DefaultParagraphFont"/>
    <w:link w:val="BodyTextIndent3"/>
    <w:uiPriority w:val="99"/>
    <w:semiHidden/>
    <w:qFormat/>
    <w:rPr>
      <w:sz w:val="16"/>
    </w:rPr>
  </w:style>
  <w:style w:type="character" w:styleId="BookTitle">
    <w:name w:val="Book Title"/>
    <w:basedOn w:val="DefaultParagraphFont"/>
    <w:uiPriority w:val="33"/>
    <w:semiHidden/>
    <w:unhideWhenUsed/>
    <w:qFormat/>
    <w:rPr>
      <w:b/>
      <w:bCs/>
      <w:smallCaps/>
      <w:spacing w:val="5"/>
    </w:rPr>
  </w:style>
  <w:style w:type="character" w:styleId="UbaigimasDiagrama" w:customStyle="1">
    <w:name w:val="Užbaigimas Diagrama"/>
    <w:basedOn w:val="DefaultParagraphFont"/>
    <w:link w:val="Closing"/>
    <w:uiPriority w:val="99"/>
    <w:semiHidden/>
    <w:qFormat/>
    <w:rPr/>
  </w:style>
  <w:style w:type="character" w:styleId="Annotationreference">
    <w:name w:val="annotation reference"/>
    <w:basedOn w:val="DefaultParagraphFont"/>
    <w:uiPriority w:val="99"/>
    <w:semiHidden/>
    <w:unhideWhenUsed/>
    <w:qFormat/>
    <w:rPr>
      <w:sz w:val="16"/>
    </w:rPr>
  </w:style>
  <w:style w:type="character" w:styleId="KomentarotekstasDiagrama" w:customStyle="1">
    <w:name w:val="Komentaro tekstas Diagrama"/>
    <w:basedOn w:val="DefaultParagraphFont"/>
    <w:link w:val="Annotationtext"/>
    <w:uiPriority w:val="99"/>
    <w:semiHidden/>
    <w:qFormat/>
    <w:rPr>
      <w:sz w:val="20"/>
    </w:rPr>
  </w:style>
  <w:style w:type="character" w:styleId="KomentarotemaDiagrama" w:customStyle="1">
    <w:name w:val="Komentaro tema Diagrama"/>
    <w:basedOn w:val="KomentarotekstasDiagrama"/>
    <w:link w:val="Annotationsubject"/>
    <w:uiPriority w:val="99"/>
    <w:semiHidden/>
    <w:qFormat/>
    <w:rPr>
      <w:b/>
      <w:bCs/>
      <w:sz w:val="20"/>
    </w:rPr>
  </w:style>
  <w:style w:type="character" w:styleId="DataDiagrama" w:customStyle="1">
    <w:name w:val="Data Diagrama"/>
    <w:basedOn w:val="DefaultParagraphFont"/>
    <w:link w:val="Date"/>
    <w:uiPriority w:val="99"/>
    <w:semiHidden/>
    <w:qFormat/>
    <w:rPr/>
  </w:style>
  <w:style w:type="character" w:styleId="DokumentostruktraDiagrama" w:customStyle="1">
    <w:name w:val="Dokumento struktūra Diagrama"/>
    <w:basedOn w:val="DefaultParagraphFont"/>
    <w:link w:val="DocumentMap"/>
    <w:uiPriority w:val="99"/>
    <w:semiHidden/>
    <w:qFormat/>
    <w:rPr>
      <w:rFonts w:ascii="Tahoma" w:hAnsi="Tahoma" w:cs="Tahoma"/>
      <w:sz w:val="16"/>
    </w:rPr>
  </w:style>
  <w:style w:type="character" w:styleId="ElpatoparaasDiagrama" w:customStyle="1">
    <w:name w:val="El. pašto parašas Diagrama"/>
    <w:basedOn w:val="DefaultParagraphFont"/>
    <w:link w:val="E-mailSignature"/>
    <w:uiPriority w:val="99"/>
    <w:semiHidden/>
    <w:qFormat/>
    <w:rPr/>
  </w:style>
  <w:style w:type="character" w:styleId="Emphasis">
    <w:name w:val="Emphasis"/>
    <w:basedOn w:val="DefaultParagraphFont"/>
    <w:uiPriority w:val="20"/>
    <w:semiHidden/>
    <w:unhideWhenUsed/>
    <w:qFormat/>
    <w:rPr>
      <w:i/>
      <w:iCs/>
    </w:rPr>
  </w:style>
  <w:style w:type="character" w:styleId="EndnoteCharacters">
    <w:name w:val="Endnote Characters"/>
    <w:basedOn w:val="DefaultParagraphFont"/>
    <w:uiPriority w:val="99"/>
    <w:semiHidden/>
    <w:unhideWhenUsed/>
    <w:qFormat/>
    <w:rPr>
      <w:vertAlign w:val="superscript"/>
    </w:rPr>
  </w:style>
  <w:style w:type="character" w:styleId="EndnoteReference">
    <w:name w:val="Endnote Reference"/>
    <w:rPr>
      <w:vertAlign w:val="superscript"/>
    </w:rPr>
  </w:style>
  <w:style w:type="character" w:styleId="DokumentoinaostekstasDiagrama" w:customStyle="1">
    <w:name w:val="Dokumento išnašos tekstas Diagrama"/>
    <w:basedOn w:val="DefaultParagraphFont"/>
    <w:link w:val="EndnoteText"/>
    <w:uiPriority w:val="99"/>
    <w:semiHidden/>
    <w:qFormat/>
    <w:rPr>
      <w:sz w:val="20"/>
    </w:rPr>
  </w:style>
  <w:style w:type="character" w:styleId="FollowedHyperlink">
    <w:name w:val="FollowedHyperlink"/>
    <w:basedOn w:val="DefaultParagraphFont"/>
    <w:uiPriority w:val="99"/>
    <w:semiHidden/>
    <w:unhideWhenUsed/>
    <w:rPr>
      <w:color w:themeColor="followedHyperlink" w:val="969696"/>
      <w:u w:val="single"/>
    </w:rPr>
  </w:style>
  <w:style w:type="character" w:styleId="FootnoteCharacters">
    <w:name w:val="Footnote Characters"/>
    <w:basedOn w:val="DefaultParagraphFont"/>
    <w:uiPriority w:val="99"/>
    <w:semiHidden/>
    <w:unhideWhenUsed/>
    <w:qFormat/>
    <w:rPr>
      <w:vertAlign w:val="superscript"/>
    </w:rPr>
  </w:style>
  <w:style w:type="character" w:styleId="FootnoteReference">
    <w:name w:val="Footnote Reference"/>
    <w:rPr>
      <w:vertAlign w:val="superscript"/>
    </w:rPr>
  </w:style>
  <w:style w:type="character" w:styleId="PuslapioinaostekstasDiagrama" w:customStyle="1">
    <w:name w:val="Puslapio išnašos tekstas Diagrama"/>
    <w:basedOn w:val="DefaultParagraphFont"/>
    <w:link w:val="FootnoteText"/>
    <w:uiPriority w:val="99"/>
    <w:semiHidden/>
    <w:qFormat/>
    <w:rPr>
      <w:sz w:val="20"/>
    </w:rPr>
  </w:style>
  <w:style w:type="character" w:styleId="Antrat3Diagrama" w:customStyle="1">
    <w:name w:val="Antraštė 3 Diagrama"/>
    <w:basedOn w:val="DefaultParagraphFont"/>
    <w:link w:val="Heading3"/>
    <w:uiPriority w:val="1"/>
    <w:qFormat/>
    <w:rsid w:val="00b20152"/>
    <w:rPr>
      <w:rFonts w:ascii="Times New Roman" w:hAnsi="Times New Roman" w:eastAsia="" w:cs="Arial" w:cstheme="majorBidi" w:eastAsiaTheme="majorEastAsia"/>
      <w:b/>
      <w:bCs/>
      <w:color w:themeColor="accent1" w:themeShade="bf" w:val="577188"/>
      <w:kern w:val="2"/>
      <w:sz w:val="24"/>
      <w:lang w:val="lt-LT"/>
      <w14:ligatures w14:val="standardContextual"/>
    </w:rPr>
  </w:style>
  <w:style w:type="character" w:styleId="Antrat4Diagrama" w:customStyle="1">
    <w:name w:val="Antraštė 4 Diagrama"/>
    <w:basedOn w:val="DefaultParagraphFont"/>
    <w:link w:val="Heading4"/>
    <w:uiPriority w:val="18"/>
    <w:semiHidden/>
    <w:qFormat/>
    <w:rPr>
      <w:rFonts w:ascii="Calibri" w:hAnsi="Calibri" w:eastAsia="" w:cs="Arial" w:asciiTheme="majorHAnsi" w:cstheme="majorBidi" w:eastAsiaTheme="majorEastAsia" w:hAnsiTheme="majorHAnsi"/>
      <w:b/>
      <w:bCs/>
      <w:i/>
      <w:iCs/>
      <w:color w:themeColor="accent1" w:val="7E97AD"/>
      <w:kern w:val="2"/>
    </w:rPr>
  </w:style>
  <w:style w:type="character" w:styleId="Antrat5Diagrama" w:customStyle="1">
    <w:name w:val="Antraštė 5 Diagrama"/>
    <w:basedOn w:val="DefaultParagraphFont"/>
    <w:link w:val="Heading5"/>
    <w:uiPriority w:val="18"/>
    <w:semiHidden/>
    <w:qFormat/>
    <w:rPr>
      <w:rFonts w:ascii="Calibri" w:hAnsi="Calibri" w:eastAsia="" w:cs="Arial" w:asciiTheme="majorHAnsi" w:cstheme="majorBidi" w:eastAsiaTheme="majorEastAsia" w:hAnsiTheme="majorHAnsi"/>
      <w:color w:themeColor="accent1" w:themeShade="7f" w:val="394B5A"/>
      <w:kern w:val="2"/>
    </w:rPr>
  </w:style>
  <w:style w:type="character" w:styleId="Antrat6Diagrama" w:customStyle="1">
    <w:name w:val="Antraštė 6 Diagrama"/>
    <w:basedOn w:val="DefaultParagraphFont"/>
    <w:link w:val="Heading6"/>
    <w:uiPriority w:val="18"/>
    <w:semiHidden/>
    <w:qFormat/>
    <w:rPr>
      <w:rFonts w:ascii="Calibri" w:hAnsi="Calibri" w:eastAsia="" w:cs="Arial" w:asciiTheme="majorHAnsi" w:cstheme="majorBidi" w:eastAsiaTheme="majorEastAsia" w:hAnsiTheme="majorHAnsi"/>
      <w:i/>
      <w:iCs/>
      <w:color w:themeColor="accent1" w:themeShade="7f" w:val="394B5A"/>
      <w:kern w:val="2"/>
    </w:rPr>
  </w:style>
  <w:style w:type="character" w:styleId="Antrat7Diagrama" w:customStyle="1">
    <w:name w:val="Antraštė 7 Diagrama"/>
    <w:basedOn w:val="DefaultParagraphFont"/>
    <w:link w:val="Heading7"/>
    <w:uiPriority w:val="18"/>
    <w:semiHidden/>
    <w:qFormat/>
    <w:rPr>
      <w:rFonts w:ascii="Calibri" w:hAnsi="Calibri" w:eastAsia="" w:cs="Arial" w:asciiTheme="majorHAnsi" w:cstheme="majorBidi" w:eastAsiaTheme="majorEastAsia" w:hAnsiTheme="majorHAnsi"/>
      <w:i/>
      <w:iCs/>
      <w:color w:themeColor="text1" w:themeTint="bf" w:val="404040"/>
      <w:kern w:val="2"/>
    </w:rPr>
  </w:style>
  <w:style w:type="character" w:styleId="Antrat8Diagrama" w:customStyle="1">
    <w:name w:val="Antraštė 8 Diagrama"/>
    <w:basedOn w:val="DefaultParagraphFont"/>
    <w:link w:val="Heading8"/>
    <w:uiPriority w:val="18"/>
    <w:semiHidden/>
    <w:qFormat/>
    <w:rPr>
      <w:rFonts w:ascii="Calibri" w:hAnsi="Calibri" w:eastAsia="" w:cs="Arial" w:asciiTheme="majorHAnsi" w:cstheme="majorBidi" w:eastAsiaTheme="majorEastAsia" w:hAnsiTheme="majorHAnsi"/>
      <w:color w:themeColor="text1" w:themeTint="bf" w:val="404040"/>
      <w:kern w:val="2"/>
    </w:rPr>
  </w:style>
  <w:style w:type="character" w:styleId="Antrat9Diagrama" w:customStyle="1">
    <w:name w:val="Antraštė 9 Diagrama"/>
    <w:basedOn w:val="DefaultParagraphFont"/>
    <w:link w:val="Heading9"/>
    <w:uiPriority w:val="18"/>
    <w:semiHidden/>
    <w:qFormat/>
    <w:rPr>
      <w:rFonts w:ascii="Calibri" w:hAnsi="Calibri" w:eastAsia="" w:cs="Arial" w:asciiTheme="majorHAnsi" w:cstheme="majorBidi" w:eastAsiaTheme="majorEastAsia" w:hAnsiTheme="majorHAnsi"/>
      <w:i/>
      <w:iCs/>
      <w:color w:themeColor="text1" w:themeTint="bf" w:val="404040"/>
      <w:kern w:val="2"/>
    </w:rPr>
  </w:style>
  <w:style w:type="character" w:styleId="HTMLAcronym">
    <w:name w:val="HTML Acronym"/>
    <w:basedOn w:val="DefaultParagraphFont"/>
    <w:uiPriority w:val="99"/>
    <w:semiHidden/>
    <w:unhideWhenUsed/>
    <w:qFormat/>
    <w:rPr/>
  </w:style>
  <w:style w:type="character" w:styleId="HTMLadresasDiagrama" w:customStyle="1">
    <w:name w:val="HTML adresas Diagrama"/>
    <w:basedOn w:val="DefaultParagraphFont"/>
    <w:link w:val="HTMLAddress"/>
    <w:uiPriority w:val="99"/>
    <w:semiHidden/>
    <w:qFormat/>
    <w:rPr>
      <w:i/>
      <w:iCs/>
    </w:rPr>
  </w:style>
  <w:style w:type="character" w:styleId="HTMLCite">
    <w:name w:val="HTML Cite"/>
    <w:basedOn w:val="DefaultParagraphFont"/>
    <w:uiPriority w:val="99"/>
    <w:semiHidden/>
    <w:unhideWhenUsed/>
    <w:qFormat/>
    <w:rPr>
      <w:i/>
      <w:iCs/>
    </w:rPr>
  </w:style>
  <w:style w:type="character" w:styleId="HTMLCode">
    <w:name w:val="HTML Code"/>
    <w:basedOn w:val="DefaultParagraphFont"/>
    <w:uiPriority w:val="99"/>
    <w:semiHidden/>
    <w:unhideWhenUsed/>
    <w:qFormat/>
    <w:rPr>
      <w:rFonts w:ascii="Consolas" w:hAnsi="Consolas" w:cs="Consolas"/>
      <w:sz w:val="20"/>
    </w:rPr>
  </w:style>
  <w:style w:type="character" w:styleId="HTMLDefinition">
    <w:name w:val="HTML Definition"/>
    <w:basedOn w:val="DefaultParagraphFont"/>
    <w:uiPriority w:val="99"/>
    <w:semiHidden/>
    <w:unhideWhenUsed/>
    <w:qFormat/>
    <w:rPr>
      <w:i/>
      <w:iCs/>
    </w:rPr>
  </w:style>
  <w:style w:type="character" w:styleId="HTMLKeyboard">
    <w:name w:val="HTML Keyboard"/>
    <w:basedOn w:val="DefaultParagraphFont"/>
    <w:uiPriority w:val="99"/>
    <w:semiHidden/>
    <w:unhideWhenUsed/>
    <w:qFormat/>
    <w:rPr>
      <w:rFonts w:ascii="Consolas" w:hAnsi="Consolas" w:cs="Consolas"/>
      <w:sz w:val="20"/>
    </w:rPr>
  </w:style>
  <w:style w:type="character" w:styleId="HTMLiankstoformatuotasDiagrama" w:customStyle="1">
    <w:name w:val="HTML iš anksto formatuotas Diagrama"/>
    <w:basedOn w:val="DefaultParagraphFont"/>
    <w:link w:val="HTMLPreformatted"/>
    <w:uiPriority w:val="99"/>
    <w:semiHidden/>
    <w:qFormat/>
    <w:rPr>
      <w:rFonts w:ascii="Consolas" w:hAnsi="Consolas" w:cs="Consolas"/>
      <w:sz w:val="20"/>
    </w:rPr>
  </w:style>
  <w:style w:type="character" w:styleId="HTMLSample">
    <w:name w:val="HTML Sample"/>
    <w:basedOn w:val="DefaultParagraphFont"/>
    <w:uiPriority w:val="99"/>
    <w:semiHidden/>
    <w:unhideWhenUsed/>
    <w:qFormat/>
    <w:rPr>
      <w:rFonts w:ascii="Consolas" w:hAnsi="Consolas" w:cs="Consolas"/>
      <w:sz w:val="24"/>
    </w:rPr>
  </w:style>
  <w:style w:type="character" w:styleId="HTMLTypewriter">
    <w:name w:val="HTML Typewriter"/>
    <w:basedOn w:val="DefaultParagraphFont"/>
    <w:uiPriority w:val="99"/>
    <w:semiHidden/>
    <w:unhideWhenUsed/>
    <w:qFormat/>
    <w:rPr>
      <w:rFonts w:ascii="Consolas" w:hAnsi="Consolas" w:cs="Consolas"/>
      <w:sz w:val="20"/>
    </w:rPr>
  </w:style>
  <w:style w:type="character" w:styleId="HTMLVariable">
    <w:name w:val="HTML Variable"/>
    <w:basedOn w:val="DefaultParagraphFont"/>
    <w:uiPriority w:val="99"/>
    <w:semiHidden/>
    <w:unhideWhenUsed/>
    <w:qFormat/>
    <w:rPr>
      <w:i/>
      <w:iCs/>
    </w:rPr>
  </w:style>
  <w:style w:type="character" w:styleId="Hyperlink">
    <w:name w:val="Hyperlink"/>
    <w:basedOn w:val="DefaultParagraphFont"/>
    <w:uiPriority w:val="99"/>
    <w:unhideWhenUsed/>
    <w:rPr>
      <w:color w:themeColor="hyperlink" w:val="646464"/>
      <w:u w:val="single"/>
    </w:rPr>
  </w:style>
  <w:style w:type="character" w:styleId="IntenseEmphasis">
    <w:name w:val="Intense Emphasis"/>
    <w:basedOn w:val="DefaultParagraphFont"/>
    <w:uiPriority w:val="21"/>
    <w:semiHidden/>
    <w:unhideWhenUsed/>
    <w:qFormat/>
    <w:rPr>
      <w:b/>
      <w:bCs/>
      <w:i/>
      <w:iCs/>
      <w:color w:themeColor="accent1" w:val="7E97AD"/>
    </w:rPr>
  </w:style>
  <w:style w:type="character" w:styleId="IskirtacitataDiagrama" w:customStyle="1">
    <w:name w:val="Išskirta citata Diagrama"/>
    <w:basedOn w:val="DefaultParagraphFont"/>
    <w:link w:val="IntenseQuote"/>
    <w:uiPriority w:val="30"/>
    <w:semiHidden/>
    <w:qFormat/>
    <w:rPr>
      <w:b/>
      <w:bCs/>
      <w:i/>
      <w:iCs/>
      <w:color w:themeColor="accent1" w:val="7E97AD"/>
    </w:rPr>
  </w:style>
  <w:style w:type="character" w:styleId="IntenseReference">
    <w:name w:val="Intense Reference"/>
    <w:basedOn w:val="DefaultParagraphFont"/>
    <w:uiPriority w:val="32"/>
    <w:semiHidden/>
    <w:unhideWhenUsed/>
    <w:qFormat/>
    <w:rPr>
      <w:b/>
      <w:bCs/>
      <w:smallCaps/>
      <w:color w:themeColor="accent2" w:val="CC8E60"/>
      <w:spacing w:val="5"/>
      <w:u w:val="single"/>
    </w:rPr>
  </w:style>
  <w:style w:type="character" w:styleId="Linenumber1">
    <w:name w:val="line number1"/>
    <w:basedOn w:val="DefaultParagraphFont"/>
    <w:uiPriority w:val="99"/>
    <w:semiHidden/>
    <w:unhideWhenUsed/>
    <w:qFormat/>
    <w:rPr/>
  </w:style>
  <w:style w:type="character" w:styleId="MakrokomandostekstasDiagrama" w:customStyle="1">
    <w:name w:val="Makrokomandos tekstas Diagrama"/>
    <w:basedOn w:val="DefaultParagraphFont"/>
    <w:link w:val="Macro"/>
    <w:uiPriority w:val="99"/>
    <w:semiHidden/>
    <w:qFormat/>
    <w:rPr>
      <w:rFonts w:ascii="Consolas" w:hAnsi="Consolas" w:cs="Consolas"/>
      <w:sz w:val="20"/>
    </w:rPr>
  </w:style>
  <w:style w:type="character" w:styleId="LaikoantratDiagrama" w:customStyle="1">
    <w:name w:val="Laiško antraštė Diagrama"/>
    <w:basedOn w:val="DefaultParagraphFont"/>
    <w:link w:val="MessageHeader"/>
    <w:uiPriority w:val="99"/>
    <w:semiHidden/>
    <w:qFormat/>
    <w:rPr>
      <w:rFonts w:ascii="Calibri" w:hAnsi="Calibri" w:eastAsia="" w:cs="Arial" w:asciiTheme="majorHAnsi" w:cstheme="majorBidi" w:eastAsiaTheme="majorEastAsia" w:hAnsiTheme="majorHAnsi"/>
      <w:sz w:val="24"/>
      <w:shd w:fill="CCCCCC" w:val="clear"/>
    </w:rPr>
  </w:style>
  <w:style w:type="character" w:styleId="PastabosantratDiagrama" w:customStyle="1">
    <w:name w:val="Pastabos antraštė Diagrama"/>
    <w:basedOn w:val="DefaultParagraphFont"/>
    <w:link w:val="NoteHeading"/>
    <w:uiPriority w:val="99"/>
    <w:semiHidden/>
    <w:qFormat/>
    <w:rPr/>
  </w:style>
  <w:style w:type="character" w:styleId="Pagenumber">
    <w:name w:val="page number"/>
    <w:basedOn w:val="DefaultParagraphFont"/>
    <w:uiPriority w:val="99"/>
    <w:semiHidden/>
    <w:unhideWhenUsed/>
    <w:qFormat/>
    <w:rPr/>
  </w:style>
  <w:style w:type="character" w:styleId="PaprastasistekstasDiagrama" w:customStyle="1">
    <w:name w:val="Paprastasis tekstas Diagrama"/>
    <w:basedOn w:val="DefaultParagraphFont"/>
    <w:link w:val="PlainText"/>
    <w:uiPriority w:val="99"/>
    <w:semiHidden/>
    <w:qFormat/>
    <w:rPr>
      <w:rFonts w:ascii="Consolas" w:hAnsi="Consolas" w:cs="Consolas"/>
      <w:sz w:val="21"/>
    </w:rPr>
  </w:style>
  <w:style w:type="character" w:styleId="PasveikinimasDiagrama" w:customStyle="1">
    <w:name w:val="Pasveikinimas Diagrama"/>
    <w:basedOn w:val="DefaultParagraphFont"/>
    <w:uiPriority w:val="99"/>
    <w:semiHidden/>
    <w:qFormat/>
    <w:rPr/>
  </w:style>
  <w:style w:type="character" w:styleId="ParaasDiagrama" w:customStyle="1">
    <w:name w:val="Parašas Diagrama"/>
    <w:basedOn w:val="DefaultParagraphFont"/>
    <w:link w:val="Signature"/>
    <w:uiPriority w:val="9"/>
    <w:qFormat/>
    <w:rPr>
      <w:kern w:val="2"/>
    </w:rPr>
  </w:style>
  <w:style w:type="character" w:styleId="Strong">
    <w:name w:val="Strong"/>
    <w:basedOn w:val="DefaultParagraphFont"/>
    <w:uiPriority w:val="1"/>
    <w:unhideWhenUsed/>
    <w:qFormat/>
    <w:rPr>
      <w:b/>
      <w:bCs/>
    </w:rPr>
  </w:style>
  <w:style w:type="character" w:styleId="PaantratDiagrama" w:customStyle="1">
    <w:name w:val="Paantraštė Diagrama"/>
    <w:basedOn w:val="DefaultParagraphFont"/>
    <w:link w:val="Subtitle"/>
    <w:uiPriority w:val="19"/>
    <w:qFormat/>
    <w:rPr>
      <w:rFonts w:ascii="Calibri" w:hAnsi="Calibri" w:eastAsia="" w:cs="Arial" w:asciiTheme="majorHAnsi" w:cstheme="majorBidi" w:eastAsiaTheme="majorEastAsia" w:hAnsiTheme="majorHAnsi"/>
      <w:caps/>
      <w:color w:themeColor="accent1" w:val="7E97AD"/>
      <w:kern w:val="2"/>
      <w:sz w:val="64"/>
    </w:rPr>
  </w:style>
  <w:style w:type="character" w:styleId="SubtleEmphasis">
    <w:name w:val="Subtle Emphasis"/>
    <w:basedOn w:val="DefaultParagraphFont"/>
    <w:uiPriority w:val="19"/>
    <w:semiHidden/>
    <w:unhideWhenUsed/>
    <w:qFormat/>
    <w:rPr>
      <w:i/>
      <w:iCs/>
      <w:color w:themeColor="text1" w:themeTint="7f" w:val="808080"/>
    </w:rPr>
  </w:style>
  <w:style w:type="character" w:styleId="SubtleReference">
    <w:name w:val="Subtle Reference"/>
    <w:basedOn w:val="DefaultParagraphFont"/>
    <w:uiPriority w:val="31"/>
    <w:semiHidden/>
    <w:unhideWhenUsed/>
    <w:qFormat/>
    <w:rPr>
      <w:smallCaps/>
      <w:color w:themeColor="accent2" w:val="CC8E60"/>
      <w:u w:val="single"/>
    </w:rPr>
  </w:style>
  <w:style w:type="character" w:styleId="PavadinimasDiagrama" w:customStyle="1">
    <w:name w:val="Pavadinimas Diagrama"/>
    <w:basedOn w:val="DefaultParagraphFont"/>
    <w:link w:val="Title"/>
    <w:uiPriority w:val="19"/>
    <w:qFormat/>
    <w:rPr>
      <w:rFonts w:ascii="Calibri" w:hAnsi="Calibri" w:eastAsia="" w:cs="Arial" w:asciiTheme="majorHAnsi" w:cstheme="majorBidi" w:eastAsiaTheme="majorEastAsia" w:hAnsiTheme="majorHAnsi"/>
      <w:caps/>
      <w:color w:themeColor="background1" w:val="FFFFFF"/>
      <w:spacing w:val="40"/>
      <w:kern w:val="2"/>
      <w:sz w:val="136"/>
      <w:shd w:fill="7E97AD" w:val="clear"/>
      <w14:ligatures w14:val="standardContextual"/>
    </w:rPr>
  </w:style>
  <w:style w:type="character" w:styleId="BetarpDiagrama" w:customStyle="1">
    <w:name w:val="Be tarpų Diagrama"/>
    <w:basedOn w:val="DefaultParagraphFont"/>
    <w:link w:val="NoSpacing"/>
    <w:uiPriority w:val="1"/>
    <w:qFormat/>
    <w:rPr/>
  </w:style>
  <w:style w:type="character" w:styleId="Cf01" w:customStyle="1">
    <w:name w:val="cf01"/>
    <w:qFormat/>
    <w:rsid w:val="00f754b7"/>
    <w:rPr>
      <w:rFonts w:ascii="Segoe UI" w:hAnsi="Segoe UI" w:cs="Segoe UI"/>
      <w:sz w:val="18"/>
      <w:szCs w:val="18"/>
    </w:rPr>
  </w:style>
  <w:style w:type="character" w:styleId="TablenumberChar" w:customStyle="1">
    <w:name w:val="Table number Char"/>
    <w:link w:val="Tablenumber"/>
    <w:qFormat/>
    <w:rsid w:val="00a72217"/>
    <w:rPr>
      <w:rFonts w:ascii="Times New Roman" w:hAnsi="Times New Roman" w:eastAsia="Calibri" w:cs="Times New Roman"/>
      <w:color w:themeColor="text1" w:themeTint="a6" w:val="auto"/>
      <w:sz w:val="22"/>
      <w:szCs w:val="24"/>
      <w:lang w:val="lt-LT" w:eastAsia="en-US"/>
    </w:rPr>
  </w:style>
  <w:style w:type="character" w:styleId="SraopastraipaDiagrama" w:customStyle="1">
    <w:name w:val="Sąrašo pastraipa Diagrama"/>
    <w:link w:val="ListParagraph"/>
    <w:qFormat/>
    <w:locked/>
    <w:rsid w:val="000f66bf"/>
    <w:rPr>
      <w:rFonts w:ascii="Times New Roman" w:hAnsi="Times New Roman"/>
      <w:color w:themeColor="text1" w:themeTint="a6" w:val="auto"/>
      <w:kern w:val="2"/>
      <w:sz w:val="24"/>
      <w:lang w:val="lt-LT"/>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link w:val="PagrindinistekstasDiagrama"/>
    <w:uiPriority w:val="99"/>
    <w:semiHidden/>
    <w:unhideWhenUsed/>
    <w:pPr>
      <w:spacing w:before="40" w:after="120"/>
    </w:pPr>
    <w:rPr/>
  </w:style>
  <w:style w:type="paragraph" w:styleId="List">
    <w:name w:val="List"/>
    <w:basedOn w:val="Normal"/>
    <w:uiPriority w:val="99"/>
    <w:semiHidden/>
    <w:unhideWhenUsed/>
    <w:pPr>
      <w:spacing w:before="40" w:after="160"/>
      <w:ind w:hanging="360" w:left="360"/>
      <w:contextualSpacing/>
    </w:pPr>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AntratsDiagrama"/>
    <w:uiPriority w:val="99"/>
    <w:unhideWhenUsed/>
    <w:pPr>
      <w:tabs>
        <w:tab w:val="clear" w:pos="720"/>
        <w:tab w:val="center" w:pos="4680" w:leader="none"/>
        <w:tab w:val="right" w:pos="9360" w:leader="none"/>
      </w:tabs>
      <w:spacing w:lineRule="auto" w:line="240" w:before="0" w:after="0"/>
    </w:pPr>
    <w:rPr/>
  </w:style>
  <w:style w:type="paragraph" w:styleId="Footer">
    <w:name w:val="Footer"/>
    <w:basedOn w:val="Normal"/>
    <w:link w:val="PoratDiagrama"/>
    <w:uiPriority w:val="99"/>
    <w:unhideWhenUsed/>
    <w:pPr>
      <w:pBdr>
        <w:top w:val="single" w:sz="4" w:space="6" w:color="B1C0CD" w:themeColor="accent1" w:themeTint="99"/>
        <w:left w:val="single" w:sz="2" w:space="4" w:color="FFFFFF" w:themeColor="light1"/>
      </w:pBdr>
      <w:spacing w:lineRule="auto" w:line="240" w:before="40" w:after="0"/>
      <w:ind w:left="-360" w:right="-360"/>
    </w:pPr>
    <w:rPr/>
  </w:style>
  <w:style w:type="paragraph" w:styleId="NoSpacing">
    <w:name w:val="No Spacing"/>
    <w:link w:val="BetarpDiagrama"/>
    <w:uiPriority w:val="1"/>
    <w:qFormat/>
    <w:pPr>
      <w:widowControl/>
      <w:bidi w:val="0"/>
      <w:spacing w:lineRule="auto" w:line="240" w:before="40" w:after="0"/>
      <w:jc w:val="left"/>
    </w:pPr>
    <w:rPr>
      <w:rFonts w:ascii="Cambria" w:hAnsi="Cambria" w:eastAsia="Cambria" w:cs="Times New Roman" w:asciiTheme="minorHAnsi" w:cstheme="minorBidi" w:eastAsiaTheme="minorHAnsi" w:hAnsiTheme="minorHAnsi"/>
      <w:color w:themeColor="text1" w:themeTint="a6" w:val="595959"/>
      <w:kern w:val="0"/>
      <w:sz w:val="20"/>
      <w:szCs w:val="20"/>
      <w:lang w:val="en-US" w:eastAsia="ja-JP" w:bidi="ar-SA"/>
    </w:rPr>
  </w:style>
  <w:style w:type="paragraph" w:styleId="BalloonText">
    <w:name w:val="Balloon Text"/>
    <w:basedOn w:val="Normal"/>
    <w:link w:val="DebesliotekstasDiagrama"/>
    <w:uiPriority w:val="99"/>
    <w:semiHidden/>
    <w:unhideWhenUsed/>
    <w:qFormat/>
    <w:pPr>
      <w:spacing w:lineRule="auto" w:line="240" w:before="40" w:after="0"/>
    </w:pPr>
    <w:rPr>
      <w:rFonts w:ascii="Tahoma" w:hAnsi="Tahoma" w:cs="Tahoma"/>
      <w:sz w:val="16"/>
    </w:rPr>
  </w:style>
  <w:style w:type="paragraph" w:styleId="Quote">
    <w:name w:val="Quote"/>
    <w:basedOn w:val="Normal"/>
    <w:next w:val="Normal"/>
    <w:link w:val="CitataDiagrama"/>
    <w:uiPriority w:val="9"/>
    <w:unhideWhenUsed/>
    <w:qFormat/>
    <w:pPr>
      <w:spacing w:before="240" w:after="240"/>
      <w:ind w:left="720" w:right="720"/>
    </w:pPr>
    <w:rPr>
      <w:i/>
      <w:iCs/>
      <w:color w:themeColor="accent1" w:val="7E97AD"/>
      <w:sz w:val="28"/>
    </w:rPr>
  </w:style>
  <w:style w:type="paragraph" w:styleId="Bibliography">
    <w:name w:val="Bibliography"/>
    <w:basedOn w:val="Normal"/>
    <w:next w:val="Normal"/>
    <w:uiPriority w:val="37"/>
    <w:semiHidden/>
    <w:unhideWhenUsed/>
    <w:qFormat/>
    <w:pPr/>
    <w:rPr/>
  </w:style>
  <w:style w:type="paragraph" w:styleId="BlockText">
    <w:name w:val="Block Text"/>
    <w:basedOn w:val="Normal"/>
    <w:uiPriority w:val="99"/>
    <w:semiHidden/>
    <w:unhideWhenUsed/>
    <w:qFormat/>
    <w:pPr>
      <w:pBdr>
        <w:top w:val="single" w:sz="2" w:space="10" w:color="7E97AD" w:themeColor="accent1"/>
        <w:left w:val="single" w:sz="2" w:space="10" w:color="7E97AD" w:themeColor="accent1"/>
        <w:bottom w:val="single" w:sz="2" w:space="10" w:color="7E97AD" w:themeColor="accent1"/>
        <w:right w:val="single" w:sz="2" w:space="10" w:color="7E97AD" w:themeColor="accent1"/>
      </w:pBdr>
      <w:ind w:left="1152" w:right="1152"/>
    </w:pPr>
    <w:rPr>
      <w:i/>
      <w:iCs/>
      <w:color w:themeColor="accent1" w:val="7E97AD"/>
    </w:rPr>
  </w:style>
  <w:style w:type="paragraph" w:styleId="BodyText2">
    <w:name w:val="Body Text 2"/>
    <w:basedOn w:val="Normal"/>
    <w:link w:val="Pagrindinistekstas2Diagrama"/>
    <w:uiPriority w:val="99"/>
    <w:semiHidden/>
    <w:unhideWhenUsed/>
    <w:qFormat/>
    <w:pPr>
      <w:spacing w:lineRule="auto" w:line="480" w:before="40" w:after="120"/>
    </w:pPr>
    <w:rPr/>
  </w:style>
  <w:style w:type="paragraph" w:styleId="BodyText3">
    <w:name w:val="Body Text 3"/>
    <w:basedOn w:val="Normal"/>
    <w:link w:val="Pagrindinistekstas3Diagrama"/>
    <w:uiPriority w:val="99"/>
    <w:semiHidden/>
    <w:unhideWhenUsed/>
    <w:qFormat/>
    <w:pPr>
      <w:spacing w:before="40" w:after="120"/>
    </w:pPr>
    <w:rPr>
      <w:sz w:val="16"/>
    </w:rPr>
  </w:style>
  <w:style w:type="paragraph" w:styleId="BodyTextFirstIndent">
    <w:name w:val="Body Text First Indent"/>
    <w:basedOn w:val="BodyText"/>
    <w:link w:val="PagrindiniotekstopirmatraukaDiagrama"/>
    <w:uiPriority w:val="99"/>
    <w:semiHidden/>
    <w:unhideWhenUsed/>
    <w:pPr>
      <w:spacing w:before="40" w:after="200"/>
      <w:ind w:firstLine="360"/>
    </w:pPr>
    <w:rPr/>
  </w:style>
  <w:style w:type="paragraph" w:styleId="BodyTextIndent">
    <w:name w:val="Body Text Indent"/>
    <w:basedOn w:val="Normal"/>
    <w:link w:val="PagrindiniotekstotraukaDiagrama"/>
    <w:uiPriority w:val="99"/>
    <w:semiHidden/>
    <w:unhideWhenUsed/>
    <w:pPr>
      <w:spacing w:before="40" w:after="120"/>
      <w:ind w:left="360"/>
    </w:pPr>
    <w:rPr/>
  </w:style>
  <w:style w:type="paragraph" w:styleId="BodyTextFirstIndent2">
    <w:name w:val="Body Text First Indent 2"/>
    <w:basedOn w:val="BodyTextIndent"/>
    <w:link w:val="Pagrindiniotekstopirmatrauka2Diagrama"/>
    <w:uiPriority w:val="99"/>
    <w:semiHidden/>
    <w:unhideWhenUsed/>
    <w:qFormat/>
    <w:pPr>
      <w:spacing w:before="40" w:after="200"/>
      <w:ind w:firstLine="360"/>
    </w:pPr>
    <w:rPr/>
  </w:style>
  <w:style w:type="paragraph" w:styleId="BodyTextIndent2">
    <w:name w:val="Body Text Indent 2"/>
    <w:basedOn w:val="Normal"/>
    <w:link w:val="Pagrindiniotekstotrauka2Diagrama"/>
    <w:uiPriority w:val="99"/>
    <w:semiHidden/>
    <w:unhideWhenUsed/>
    <w:qFormat/>
    <w:pPr>
      <w:spacing w:lineRule="auto" w:line="480" w:before="40" w:after="120"/>
      <w:ind w:left="360"/>
    </w:pPr>
    <w:rPr/>
  </w:style>
  <w:style w:type="paragraph" w:styleId="BodyTextIndent3">
    <w:name w:val="Body Text Indent 3"/>
    <w:basedOn w:val="Normal"/>
    <w:link w:val="Pagrindiniotekstotrauka3Diagrama"/>
    <w:uiPriority w:val="99"/>
    <w:semiHidden/>
    <w:unhideWhenUsed/>
    <w:qFormat/>
    <w:pPr>
      <w:spacing w:before="40" w:after="120"/>
      <w:ind w:left="360"/>
    </w:pPr>
    <w:rPr>
      <w:sz w:val="16"/>
    </w:rPr>
  </w:style>
  <w:style w:type="paragraph" w:styleId="Caption1">
    <w:name w:val="caption1"/>
    <w:basedOn w:val="Normal"/>
    <w:next w:val="Normal"/>
    <w:uiPriority w:val="35"/>
    <w:semiHidden/>
    <w:unhideWhenUsed/>
    <w:qFormat/>
    <w:pPr>
      <w:spacing w:lineRule="auto" w:line="240"/>
    </w:pPr>
    <w:rPr>
      <w:b/>
      <w:bCs/>
      <w:color w:themeColor="accent1" w:val="7E97AD"/>
      <w:sz w:val="18"/>
    </w:rPr>
  </w:style>
  <w:style w:type="paragraph" w:styleId="Closing">
    <w:name w:val="Closing"/>
    <w:basedOn w:val="Normal"/>
    <w:link w:val="UbaigimasDiagrama"/>
    <w:uiPriority w:val="99"/>
    <w:semiHidden/>
    <w:unhideWhenUsed/>
    <w:pPr>
      <w:spacing w:lineRule="auto" w:line="240" w:before="40" w:after="0"/>
      <w:ind w:left="4320"/>
    </w:pPr>
    <w:rPr/>
  </w:style>
  <w:style w:type="paragraph" w:styleId="Annotationtext">
    <w:name w:val="annotation text"/>
    <w:basedOn w:val="Normal"/>
    <w:link w:val="KomentarotekstasDiagrama"/>
    <w:uiPriority w:val="99"/>
    <w:semiHidden/>
    <w:unhideWhenUsed/>
    <w:qFormat/>
    <w:pPr>
      <w:spacing w:lineRule="auto" w:line="240"/>
    </w:pPr>
    <w:rPr/>
  </w:style>
  <w:style w:type="paragraph" w:styleId="Annotationsubject">
    <w:name w:val="annotation subject"/>
    <w:basedOn w:val="Annotationtext"/>
    <w:next w:val="Annotationtext"/>
    <w:link w:val="KomentarotemaDiagrama"/>
    <w:uiPriority w:val="99"/>
    <w:semiHidden/>
    <w:unhideWhenUsed/>
    <w:qFormat/>
    <w:pPr/>
    <w:rPr>
      <w:b/>
      <w:bCs/>
    </w:rPr>
  </w:style>
  <w:style w:type="paragraph" w:styleId="Date">
    <w:name w:val="Date"/>
    <w:basedOn w:val="Normal"/>
    <w:next w:val="Normal"/>
    <w:link w:val="DataDiagrama"/>
    <w:uiPriority w:val="99"/>
    <w:semiHidden/>
    <w:unhideWhenUsed/>
    <w:qFormat/>
    <w:pPr/>
    <w:rPr/>
  </w:style>
  <w:style w:type="paragraph" w:styleId="DocumentMap">
    <w:name w:val="Document Map"/>
    <w:basedOn w:val="Normal"/>
    <w:link w:val="DokumentostruktraDiagrama"/>
    <w:uiPriority w:val="99"/>
    <w:semiHidden/>
    <w:unhideWhenUsed/>
    <w:qFormat/>
    <w:pPr>
      <w:spacing w:lineRule="auto" w:line="240" w:before="40" w:after="0"/>
    </w:pPr>
    <w:rPr>
      <w:rFonts w:ascii="Tahoma" w:hAnsi="Tahoma" w:cs="Tahoma"/>
      <w:sz w:val="16"/>
    </w:rPr>
  </w:style>
  <w:style w:type="paragraph" w:styleId="E-mailSignature">
    <w:name w:val="E-mail Signature"/>
    <w:basedOn w:val="Normal"/>
    <w:link w:val="ElpatoparaasDiagrama"/>
    <w:uiPriority w:val="99"/>
    <w:semiHidden/>
    <w:unhideWhenUsed/>
    <w:qFormat/>
    <w:pPr>
      <w:spacing w:lineRule="auto" w:line="240" w:before="40" w:after="0"/>
    </w:pPr>
    <w:rPr/>
  </w:style>
  <w:style w:type="paragraph" w:styleId="EndnoteText">
    <w:name w:val="Endnote Text"/>
    <w:basedOn w:val="Normal"/>
    <w:link w:val="DokumentoinaostekstasDiagrama"/>
    <w:uiPriority w:val="99"/>
    <w:semiHidden/>
    <w:unhideWhenUsed/>
    <w:pPr>
      <w:spacing w:lineRule="auto" w:line="240" w:before="40" w:after="0"/>
    </w:pPr>
    <w:rPr/>
  </w:style>
  <w:style w:type="paragraph" w:styleId="Envelopeaddress">
    <w:name w:val="envelope address"/>
    <w:basedOn w:val="Normal"/>
    <w:uiPriority w:val="99"/>
    <w:semiHidden/>
    <w:unhideWhenUsed/>
    <w:qFormat/>
    <w:pPr>
      <w:spacing w:lineRule="auto" w:line="240" w:before="40" w:after="0"/>
      <w:ind w:left="2880"/>
    </w:pPr>
    <w:rPr>
      <w:rFonts w:ascii="Calibri" w:hAnsi="Calibri" w:eastAsia="" w:cs="Arial" w:asciiTheme="majorHAnsi" w:cstheme="majorBidi" w:eastAsiaTheme="majorEastAsia" w:hAnsiTheme="majorHAnsi"/>
    </w:rPr>
  </w:style>
  <w:style w:type="paragraph" w:styleId="Envelopereturn">
    <w:name w:val="envelope return"/>
    <w:basedOn w:val="Normal"/>
    <w:uiPriority w:val="99"/>
    <w:semiHidden/>
    <w:unhideWhenUsed/>
    <w:qFormat/>
    <w:pPr>
      <w:spacing w:lineRule="auto" w:line="240" w:before="40" w:after="0"/>
    </w:pPr>
    <w:rPr>
      <w:rFonts w:ascii="Calibri" w:hAnsi="Calibri" w:eastAsia="" w:cs="Arial" w:asciiTheme="majorHAnsi" w:cstheme="majorBidi" w:eastAsiaTheme="majorEastAsia" w:hAnsiTheme="majorHAnsi"/>
    </w:rPr>
  </w:style>
  <w:style w:type="paragraph" w:styleId="FootnoteText">
    <w:name w:val="Footnote Text"/>
    <w:basedOn w:val="Normal"/>
    <w:link w:val="PuslapioinaostekstasDiagrama"/>
    <w:uiPriority w:val="99"/>
    <w:semiHidden/>
    <w:unhideWhenUsed/>
    <w:pPr>
      <w:spacing w:lineRule="auto" w:line="240" w:before="40" w:after="0"/>
    </w:pPr>
    <w:rPr/>
  </w:style>
  <w:style w:type="paragraph" w:styleId="HTMLAddress">
    <w:name w:val="HTML Address"/>
    <w:basedOn w:val="Normal"/>
    <w:link w:val="HTMLadresasDiagrama"/>
    <w:uiPriority w:val="99"/>
    <w:semiHidden/>
    <w:unhideWhenUsed/>
    <w:qFormat/>
    <w:pPr>
      <w:spacing w:lineRule="auto" w:line="240" w:before="40" w:after="0"/>
    </w:pPr>
    <w:rPr>
      <w:i/>
      <w:iCs/>
    </w:rPr>
  </w:style>
  <w:style w:type="paragraph" w:styleId="HTMLPreformatted">
    <w:name w:val="HTML Preformatted"/>
    <w:basedOn w:val="Normal"/>
    <w:link w:val="HTMLiankstoformatuotasDiagrama"/>
    <w:uiPriority w:val="99"/>
    <w:semiHidden/>
    <w:unhideWhenUsed/>
    <w:qFormat/>
    <w:pPr>
      <w:spacing w:lineRule="auto" w:line="240" w:before="40" w:after="0"/>
    </w:pPr>
    <w:rPr>
      <w:rFonts w:ascii="Consolas" w:hAnsi="Consolas" w:cs="Consolas"/>
    </w:rPr>
  </w:style>
  <w:style w:type="paragraph" w:styleId="Index1">
    <w:name w:val="index 1"/>
    <w:basedOn w:val="Normal"/>
    <w:next w:val="Normal"/>
    <w:autoRedefine/>
    <w:uiPriority w:val="99"/>
    <w:semiHidden/>
    <w:unhideWhenUsed/>
    <w:qFormat/>
    <w:pPr>
      <w:spacing w:lineRule="auto" w:line="240" w:before="40" w:after="0"/>
      <w:ind w:hanging="220" w:left="220"/>
    </w:pPr>
    <w:rPr/>
  </w:style>
  <w:style w:type="paragraph" w:styleId="Index2">
    <w:name w:val="index 2"/>
    <w:basedOn w:val="Normal"/>
    <w:next w:val="Normal"/>
    <w:autoRedefine/>
    <w:uiPriority w:val="99"/>
    <w:semiHidden/>
    <w:unhideWhenUsed/>
    <w:qFormat/>
    <w:pPr>
      <w:spacing w:lineRule="auto" w:line="240" w:before="40" w:after="0"/>
      <w:ind w:hanging="220" w:left="440"/>
    </w:pPr>
    <w:rPr/>
  </w:style>
  <w:style w:type="paragraph" w:styleId="Index3">
    <w:name w:val="index 3"/>
    <w:basedOn w:val="Normal"/>
    <w:next w:val="Normal"/>
    <w:autoRedefine/>
    <w:uiPriority w:val="99"/>
    <w:semiHidden/>
    <w:unhideWhenUsed/>
    <w:qFormat/>
    <w:pPr>
      <w:spacing w:lineRule="auto" w:line="240" w:before="40" w:after="0"/>
      <w:ind w:hanging="220" w:left="660"/>
    </w:pPr>
    <w:rPr/>
  </w:style>
  <w:style w:type="paragraph" w:styleId="Index4">
    <w:name w:val="index 4"/>
    <w:basedOn w:val="Normal"/>
    <w:next w:val="Normal"/>
    <w:autoRedefine/>
    <w:uiPriority w:val="99"/>
    <w:semiHidden/>
    <w:unhideWhenUsed/>
    <w:qFormat/>
    <w:pPr>
      <w:spacing w:lineRule="auto" w:line="240" w:before="40" w:after="0"/>
      <w:ind w:hanging="220" w:left="880"/>
    </w:pPr>
    <w:rPr/>
  </w:style>
  <w:style w:type="paragraph" w:styleId="Index5">
    <w:name w:val="index 5"/>
    <w:basedOn w:val="Normal"/>
    <w:next w:val="Normal"/>
    <w:autoRedefine/>
    <w:uiPriority w:val="99"/>
    <w:semiHidden/>
    <w:unhideWhenUsed/>
    <w:qFormat/>
    <w:pPr>
      <w:spacing w:lineRule="auto" w:line="240" w:before="40" w:after="0"/>
      <w:ind w:hanging="220" w:left="1100"/>
    </w:pPr>
    <w:rPr/>
  </w:style>
  <w:style w:type="paragraph" w:styleId="Index6">
    <w:name w:val="index 6"/>
    <w:basedOn w:val="Normal"/>
    <w:next w:val="Normal"/>
    <w:autoRedefine/>
    <w:uiPriority w:val="99"/>
    <w:semiHidden/>
    <w:unhideWhenUsed/>
    <w:qFormat/>
    <w:pPr>
      <w:spacing w:lineRule="auto" w:line="240" w:before="40" w:after="0"/>
      <w:ind w:hanging="220" w:left="1320"/>
    </w:pPr>
    <w:rPr/>
  </w:style>
  <w:style w:type="paragraph" w:styleId="Index7">
    <w:name w:val="index 7"/>
    <w:basedOn w:val="Normal"/>
    <w:next w:val="Normal"/>
    <w:autoRedefine/>
    <w:uiPriority w:val="99"/>
    <w:semiHidden/>
    <w:unhideWhenUsed/>
    <w:qFormat/>
    <w:pPr>
      <w:spacing w:lineRule="auto" w:line="240" w:before="40" w:after="0"/>
      <w:ind w:hanging="220" w:left="1540"/>
    </w:pPr>
    <w:rPr/>
  </w:style>
  <w:style w:type="paragraph" w:styleId="Index8">
    <w:name w:val="index 8"/>
    <w:basedOn w:val="Normal"/>
    <w:next w:val="Normal"/>
    <w:autoRedefine/>
    <w:uiPriority w:val="99"/>
    <w:semiHidden/>
    <w:unhideWhenUsed/>
    <w:qFormat/>
    <w:pPr>
      <w:spacing w:lineRule="auto" w:line="240" w:before="40" w:after="0"/>
      <w:ind w:hanging="220" w:left="1760"/>
    </w:pPr>
    <w:rPr/>
  </w:style>
  <w:style w:type="paragraph" w:styleId="Index9">
    <w:name w:val="index 9"/>
    <w:basedOn w:val="Normal"/>
    <w:next w:val="Normal"/>
    <w:autoRedefine/>
    <w:uiPriority w:val="99"/>
    <w:semiHidden/>
    <w:unhideWhenUsed/>
    <w:qFormat/>
    <w:pPr>
      <w:spacing w:lineRule="auto" w:line="240" w:before="40" w:after="0"/>
      <w:ind w:hanging="220" w:left="1980"/>
    </w:pPr>
    <w:rPr/>
  </w:style>
  <w:style w:type="paragraph" w:styleId="Indexheading1">
    <w:name w:val="index heading1"/>
    <w:basedOn w:val="Normal"/>
    <w:next w:val="Index1"/>
    <w:uiPriority w:val="99"/>
    <w:semiHidden/>
    <w:unhideWhenUsed/>
    <w:qFormat/>
    <w:pPr/>
    <w:rPr>
      <w:rFonts w:ascii="Calibri" w:hAnsi="Calibri" w:eastAsia="" w:cs="Arial" w:asciiTheme="majorHAnsi" w:cstheme="majorBidi" w:eastAsiaTheme="majorEastAsia" w:hAnsiTheme="majorHAnsi"/>
      <w:b/>
      <w:bCs/>
    </w:rPr>
  </w:style>
  <w:style w:type="paragraph" w:styleId="IntenseQuote">
    <w:name w:val="Intense Quote"/>
    <w:basedOn w:val="Normal"/>
    <w:next w:val="Normal"/>
    <w:link w:val="IskirtacitataDiagrama"/>
    <w:uiPriority w:val="30"/>
    <w:semiHidden/>
    <w:unhideWhenUsed/>
    <w:qFormat/>
    <w:pPr>
      <w:pBdr>
        <w:bottom w:val="single" w:sz="4" w:space="4" w:color="7E97AD" w:themeColor="accent1"/>
      </w:pBdr>
      <w:spacing w:before="200" w:after="280"/>
      <w:ind w:left="936" w:right="936"/>
    </w:pPr>
    <w:rPr>
      <w:b/>
      <w:bCs/>
      <w:i/>
      <w:iCs/>
      <w:color w:themeColor="accent1" w:val="7E97AD"/>
    </w:rPr>
  </w:style>
  <w:style w:type="paragraph" w:styleId="List2">
    <w:name w:val="List 2"/>
    <w:basedOn w:val="Normal"/>
    <w:uiPriority w:val="99"/>
    <w:semiHidden/>
    <w:unhideWhenUsed/>
    <w:qFormat/>
    <w:pPr>
      <w:spacing w:before="40" w:after="160"/>
      <w:ind w:hanging="360" w:left="720"/>
      <w:contextualSpacing/>
    </w:pPr>
    <w:rPr/>
  </w:style>
  <w:style w:type="paragraph" w:styleId="List3">
    <w:name w:val="List 3"/>
    <w:basedOn w:val="Normal"/>
    <w:uiPriority w:val="99"/>
    <w:semiHidden/>
    <w:unhideWhenUsed/>
    <w:qFormat/>
    <w:pPr>
      <w:spacing w:before="40" w:after="160"/>
      <w:ind w:hanging="360" w:left="1080"/>
      <w:contextualSpacing/>
    </w:pPr>
    <w:rPr/>
  </w:style>
  <w:style w:type="paragraph" w:styleId="List4">
    <w:name w:val="List 4"/>
    <w:basedOn w:val="Normal"/>
    <w:uiPriority w:val="99"/>
    <w:semiHidden/>
    <w:unhideWhenUsed/>
    <w:qFormat/>
    <w:pPr>
      <w:spacing w:before="40" w:after="160"/>
      <w:ind w:hanging="360" w:left="1440"/>
      <w:contextualSpacing/>
    </w:pPr>
    <w:rPr/>
  </w:style>
  <w:style w:type="paragraph" w:styleId="List5">
    <w:name w:val="List 5"/>
    <w:basedOn w:val="Normal"/>
    <w:uiPriority w:val="99"/>
    <w:semiHidden/>
    <w:unhideWhenUsed/>
    <w:qFormat/>
    <w:pPr>
      <w:spacing w:before="40" w:after="160"/>
      <w:ind w:hanging="360" w:left="1800"/>
      <w:contextualSpacing/>
    </w:pPr>
    <w:rPr/>
  </w:style>
  <w:style w:type="paragraph" w:styleId="ListBullet">
    <w:name w:val="List Bullet"/>
    <w:basedOn w:val="Normal"/>
    <w:uiPriority w:val="1"/>
    <w:unhideWhenUsed/>
    <w:qFormat/>
    <w:pPr>
      <w:numPr>
        <w:ilvl w:val="0"/>
        <w:numId w:val="1"/>
      </w:numPr>
      <w:spacing w:before="40" w:after="40"/>
    </w:pPr>
    <w:rPr/>
  </w:style>
  <w:style w:type="paragraph" w:styleId="ListBullet2">
    <w:name w:val="List Bullet 2"/>
    <w:basedOn w:val="Normal"/>
    <w:uiPriority w:val="99"/>
    <w:semiHidden/>
    <w:unhideWhenUsed/>
    <w:pPr>
      <w:numPr>
        <w:ilvl w:val="0"/>
        <w:numId w:val="2"/>
      </w:numPr>
      <w:spacing w:before="40" w:after="160"/>
      <w:contextualSpacing/>
    </w:pPr>
    <w:rPr/>
  </w:style>
  <w:style w:type="paragraph" w:styleId="ListBullet3">
    <w:name w:val="List Bullet 3"/>
    <w:basedOn w:val="Normal"/>
    <w:uiPriority w:val="99"/>
    <w:semiHidden/>
    <w:unhideWhenUsed/>
    <w:pPr>
      <w:numPr>
        <w:ilvl w:val="0"/>
        <w:numId w:val="3"/>
      </w:numPr>
      <w:spacing w:before="40" w:after="160"/>
      <w:contextualSpacing/>
    </w:pPr>
    <w:rPr/>
  </w:style>
  <w:style w:type="paragraph" w:styleId="ListBullet4">
    <w:name w:val="List Bullet 4"/>
    <w:basedOn w:val="Normal"/>
    <w:uiPriority w:val="99"/>
    <w:semiHidden/>
    <w:unhideWhenUsed/>
    <w:pPr>
      <w:numPr>
        <w:ilvl w:val="0"/>
        <w:numId w:val="4"/>
      </w:numPr>
      <w:spacing w:before="40" w:after="160"/>
      <w:contextualSpacing/>
    </w:pPr>
    <w:rPr/>
  </w:style>
  <w:style w:type="paragraph" w:styleId="ListBullet5">
    <w:name w:val="List Bullet 5"/>
    <w:basedOn w:val="Normal"/>
    <w:uiPriority w:val="99"/>
    <w:semiHidden/>
    <w:unhideWhenUsed/>
    <w:pPr>
      <w:numPr>
        <w:ilvl w:val="0"/>
        <w:numId w:val="5"/>
      </w:numPr>
      <w:spacing w:before="40" w:after="160"/>
      <w:contextualSpacing/>
    </w:pPr>
    <w:rPr/>
  </w:style>
  <w:style w:type="paragraph" w:styleId="ListContinue">
    <w:name w:val="List Continue"/>
    <w:basedOn w:val="Normal"/>
    <w:uiPriority w:val="99"/>
    <w:semiHidden/>
    <w:unhideWhenUsed/>
    <w:pPr>
      <w:spacing w:before="40" w:after="120"/>
      <w:ind w:left="360"/>
      <w:contextualSpacing/>
    </w:pPr>
    <w:rPr/>
  </w:style>
  <w:style w:type="paragraph" w:styleId="ListContinue2">
    <w:name w:val="List Continue 2"/>
    <w:basedOn w:val="Normal"/>
    <w:uiPriority w:val="99"/>
    <w:semiHidden/>
    <w:unhideWhenUsed/>
    <w:pPr>
      <w:spacing w:before="40" w:after="120"/>
      <w:ind w:left="720"/>
      <w:contextualSpacing/>
    </w:pPr>
    <w:rPr/>
  </w:style>
  <w:style w:type="paragraph" w:styleId="ListContinue3">
    <w:name w:val="List Continue 3"/>
    <w:basedOn w:val="Normal"/>
    <w:uiPriority w:val="99"/>
    <w:semiHidden/>
    <w:unhideWhenUsed/>
    <w:pPr>
      <w:spacing w:before="40" w:after="120"/>
      <w:ind w:left="1080"/>
      <w:contextualSpacing/>
    </w:pPr>
    <w:rPr/>
  </w:style>
  <w:style w:type="paragraph" w:styleId="ListContinue4">
    <w:name w:val="List Continue 4"/>
    <w:basedOn w:val="Normal"/>
    <w:uiPriority w:val="99"/>
    <w:semiHidden/>
    <w:unhideWhenUsed/>
    <w:pPr>
      <w:spacing w:before="40" w:after="120"/>
      <w:ind w:left="1440"/>
      <w:contextualSpacing/>
    </w:pPr>
    <w:rPr/>
  </w:style>
  <w:style w:type="paragraph" w:styleId="ListContinue5">
    <w:name w:val="List Continue 5"/>
    <w:basedOn w:val="Normal"/>
    <w:uiPriority w:val="99"/>
    <w:semiHidden/>
    <w:unhideWhenUsed/>
    <w:pPr>
      <w:spacing w:before="40" w:after="120"/>
      <w:ind w:left="1800"/>
      <w:contextualSpacing/>
    </w:pPr>
    <w:rPr/>
  </w:style>
  <w:style w:type="paragraph" w:styleId="ListNumber">
    <w:name w:val="List Number"/>
    <w:basedOn w:val="Normal"/>
    <w:uiPriority w:val="1"/>
    <w:unhideWhenUsed/>
    <w:qFormat/>
    <w:pPr>
      <w:numPr>
        <w:ilvl w:val="0"/>
        <w:numId w:val="6"/>
      </w:numPr>
      <w:spacing w:before="40" w:after="160"/>
      <w:contextualSpacing/>
    </w:pPr>
    <w:rPr/>
  </w:style>
  <w:style w:type="paragraph" w:styleId="ListNumber2">
    <w:name w:val="List Number 2"/>
    <w:basedOn w:val="Normal"/>
    <w:uiPriority w:val="1"/>
    <w:unhideWhenUsed/>
    <w:qFormat/>
    <w:pPr>
      <w:numPr>
        <w:ilvl w:val="1"/>
        <w:numId w:val="6"/>
      </w:numPr>
      <w:spacing w:before="40" w:after="160"/>
      <w:contextualSpacing/>
    </w:pPr>
    <w:rPr/>
  </w:style>
  <w:style w:type="paragraph" w:styleId="ListNumber3">
    <w:name w:val="List Number 3"/>
    <w:basedOn w:val="Normal"/>
    <w:uiPriority w:val="18"/>
    <w:unhideWhenUsed/>
    <w:qFormat/>
    <w:pPr>
      <w:numPr>
        <w:ilvl w:val="2"/>
        <w:numId w:val="6"/>
      </w:numPr>
      <w:spacing w:before="40" w:after="160"/>
      <w:contextualSpacing/>
    </w:pPr>
    <w:rPr/>
  </w:style>
  <w:style w:type="paragraph" w:styleId="ListNumber4">
    <w:name w:val="List Number 4"/>
    <w:basedOn w:val="Normal"/>
    <w:uiPriority w:val="18"/>
    <w:semiHidden/>
    <w:unhideWhenUsed/>
    <w:pPr>
      <w:numPr>
        <w:ilvl w:val="3"/>
        <w:numId w:val="6"/>
      </w:numPr>
      <w:spacing w:before="40" w:after="160"/>
      <w:contextualSpacing/>
    </w:pPr>
    <w:rPr/>
  </w:style>
  <w:style w:type="paragraph" w:styleId="ListNumber5">
    <w:name w:val="List Number 5"/>
    <w:basedOn w:val="Normal"/>
    <w:uiPriority w:val="18"/>
    <w:semiHidden/>
    <w:unhideWhenUsed/>
    <w:pPr>
      <w:numPr>
        <w:ilvl w:val="4"/>
        <w:numId w:val="6"/>
      </w:numPr>
      <w:spacing w:before="40" w:after="160"/>
      <w:contextualSpacing/>
    </w:pPr>
    <w:rPr/>
  </w:style>
  <w:style w:type="paragraph" w:styleId="ListParagraph">
    <w:name w:val="List Paragraph"/>
    <w:basedOn w:val="Normal"/>
    <w:link w:val="SraopastraipaDiagrama"/>
    <w:unhideWhenUsed/>
    <w:qFormat/>
    <w:pPr>
      <w:spacing w:before="40" w:after="160"/>
      <w:ind w:left="720"/>
      <w:contextualSpacing/>
    </w:pPr>
    <w:rPr/>
  </w:style>
  <w:style w:type="paragraph" w:styleId="Macro">
    <w:name w:val="macro"/>
    <w:link w:val="MakrokomandostekstasDiagrama"/>
    <w:uiPriority w:val="99"/>
    <w:semiHidden/>
    <w:unhideWhenUsed/>
    <w:qFormat/>
    <w:pPr>
      <w:widowControl/>
      <w:tabs>
        <w:tab w:val="clear" w:pos="720"/>
        <w:tab w:val="left" w:pos="480" w:leader="none"/>
        <w:tab w:val="left" w:pos="960" w:leader="none"/>
        <w:tab w:val="left" w:pos="1440" w:leader="none"/>
        <w:tab w:val="left" w:pos="1920" w:leader="none"/>
        <w:tab w:val="left" w:pos="2400" w:leader="none"/>
        <w:tab w:val="left" w:pos="2880" w:leader="none"/>
        <w:tab w:val="left" w:pos="3360" w:leader="none"/>
        <w:tab w:val="left" w:pos="3840" w:leader="none"/>
        <w:tab w:val="left" w:pos="4320" w:leader="none"/>
      </w:tabs>
      <w:bidi w:val="0"/>
      <w:spacing w:lineRule="auto" w:line="300" w:before="40" w:after="0"/>
      <w:jc w:val="left"/>
    </w:pPr>
    <w:rPr>
      <w:rFonts w:ascii="Consolas" w:hAnsi="Consolas" w:cs="Consolas" w:eastAsia="Cambria" w:eastAsiaTheme="minorHAnsi"/>
      <w:color w:themeColor="text1" w:themeTint="a6" w:val="595959"/>
      <w:kern w:val="0"/>
      <w:sz w:val="20"/>
      <w:szCs w:val="20"/>
      <w:lang w:val="en-US" w:eastAsia="ja-JP" w:bidi="ar-SA"/>
    </w:rPr>
  </w:style>
  <w:style w:type="paragraph" w:styleId="MessageHeader">
    <w:name w:val="Message Header"/>
    <w:basedOn w:val="Normal"/>
    <w:link w:val="LaikoantratDiagrama"/>
    <w:uiPriority w:val="99"/>
    <w:semiHidden/>
    <w:unhideWhenUsed/>
    <w:qFormat/>
    <w:pPr>
      <w:pBdr>
        <w:top w:val="single" w:sz="6" w:space="1" w:color="000000"/>
        <w:left w:val="single" w:sz="6" w:space="1" w:color="000000"/>
        <w:bottom w:val="single" w:sz="6" w:space="1" w:color="000000"/>
        <w:right w:val="single" w:sz="6" w:space="1" w:color="000000"/>
      </w:pBdr>
      <w:shd w:val="pct20" w:color="auto" w:fill="auto"/>
      <w:spacing w:lineRule="auto" w:line="240" w:before="40" w:after="0"/>
      <w:ind w:hanging="1080" w:left="1080"/>
    </w:pPr>
    <w:rPr>
      <w:rFonts w:ascii="Calibri" w:hAnsi="Calibri" w:eastAsia="" w:cs="Arial" w:asciiTheme="majorHAnsi" w:cstheme="majorBidi" w:eastAsiaTheme="majorEastAsia" w:hAnsiTheme="majorHAnsi"/>
    </w:rPr>
  </w:style>
  <w:style w:type="paragraph" w:styleId="NormalWeb">
    <w:name w:val="Normal (Web)"/>
    <w:basedOn w:val="Normal"/>
    <w:uiPriority w:val="99"/>
    <w:semiHidden/>
    <w:unhideWhenUsed/>
    <w:qFormat/>
    <w:pPr/>
    <w:rPr>
      <w:rFonts w:cs="Times New Roman"/>
    </w:rPr>
  </w:style>
  <w:style w:type="paragraph" w:styleId="NormalIndent">
    <w:name w:val="Normal Indent"/>
    <w:basedOn w:val="Normal"/>
    <w:uiPriority w:val="99"/>
    <w:semiHidden/>
    <w:unhideWhenUsed/>
    <w:qFormat/>
    <w:pPr>
      <w:ind w:left="720"/>
    </w:pPr>
    <w:rPr/>
  </w:style>
  <w:style w:type="paragraph" w:styleId="NoteHeading">
    <w:name w:val="Note Heading"/>
    <w:basedOn w:val="Normal"/>
    <w:next w:val="Normal"/>
    <w:link w:val="PastabosantratDiagrama"/>
    <w:uiPriority w:val="99"/>
    <w:semiHidden/>
    <w:unhideWhenUsed/>
    <w:qFormat/>
    <w:pPr>
      <w:spacing w:lineRule="auto" w:line="240" w:before="40" w:after="0"/>
    </w:pPr>
    <w:rPr/>
  </w:style>
  <w:style w:type="paragraph" w:styleId="PlainText">
    <w:name w:val="Plain Text"/>
    <w:basedOn w:val="Normal"/>
    <w:link w:val="PaprastasistekstasDiagrama"/>
    <w:uiPriority w:val="99"/>
    <w:semiHidden/>
    <w:unhideWhenUsed/>
    <w:qFormat/>
    <w:pPr>
      <w:spacing w:lineRule="auto" w:line="240" w:before="40" w:after="0"/>
    </w:pPr>
    <w:rPr>
      <w:rFonts w:ascii="Consolas" w:hAnsi="Consolas" w:cs="Consolas"/>
      <w:sz w:val="21"/>
    </w:rPr>
  </w:style>
  <w:style w:type="paragraph" w:styleId="Salutation">
    <w:name w:val="Salutation"/>
    <w:basedOn w:val="Normal"/>
    <w:next w:val="Normal"/>
    <w:link w:val="PasveikinimasDiagrama"/>
    <w:uiPriority w:val="99"/>
    <w:semiHidden/>
    <w:unhideWhenUsed/>
    <w:pPr/>
    <w:rPr/>
  </w:style>
  <w:style w:type="paragraph" w:styleId="Signature">
    <w:name w:val="Signature"/>
    <w:basedOn w:val="Normal"/>
    <w:link w:val="ParaasDiagrama"/>
    <w:uiPriority w:val="9"/>
    <w:unhideWhenUsed/>
    <w:qFormat/>
    <w:pPr>
      <w:spacing w:lineRule="auto" w:line="312" w:before="720" w:after="0"/>
      <w:contextualSpacing/>
    </w:pPr>
    <w:rPr/>
  </w:style>
  <w:style w:type="paragraph" w:styleId="Subtitle">
    <w:name w:val="Subtitle"/>
    <w:basedOn w:val="Normal"/>
    <w:next w:val="Normal"/>
    <w:link w:val="PaantratDiagrama"/>
    <w:uiPriority w:val="19"/>
    <w:unhideWhenUsed/>
    <w:qFormat/>
    <w:pPr>
      <w:ind w:left="144" w:right="720"/>
    </w:pPr>
    <w:rPr>
      <w:rFonts w:ascii="Calibri" w:hAnsi="Calibri" w:eastAsia="" w:cs="Arial" w:asciiTheme="majorHAnsi" w:cstheme="majorBidi" w:eastAsiaTheme="majorEastAsia" w:hAnsiTheme="majorHAnsi"/>
      <w:caps/>
      <w:color w:themeColor="accent1" w:val="7E97AD"/>
      <w:sz w:val="64"/>
    </w:rPr>
  </w:style>
  <w:style w:type="paragraph" w:styleId="Tableofauthorities">
    <w:name w:val="table of authorities"/>
    <w:basedOn w:val="Normal"/>
    <w:next w:val="Normal"/>
    <w:uiPriority w:val="99"/>
    <w:semiHidden/>
    <w:unhideWhenUsed/>
    <w:qFormat/>
    <w:pPr>
      <w:spacing w:before="40" w:after="0"/>
      <w:ind w:hanging="220" w:left="220"/>
    </w:pPr>
    <w:rPr/>
  </w:style>
  <w:style w:type="paragraph" w:styleId="TableofFigures">
    <w:name w:val="Table of Figures"/>
    <w:basedOn w:val="Normal"/>
    <w:next w:val="Normal"/>
    <w:uiPriority w:val="99"/>
    <w:semiHidden/>
    <w:unhideWhenUsed/>
    <w:pPr>
      <w:spacing w:before="40" w:after="0"/>
    </w:pPr>
    <w:rPr/>
  </w:style>
  <w:style w:type="paragraph" w:styleId="Title">
    <w:name w:val="Title"/>
    <w:basedOn w:val="Normal"/>
    <w:next w:val="Normal"/>
    <w:link w:val="PavadinimasDiagrama"/>
    <w:uiPriority w:val="19"/>
    <w:unhideWhenUsed/>
    <w:qFormat/>
    <w:pPr>
      <w:pBdr>
        <w:top w:val="single" w:sz="4" w:space="10" w:color="7E97AD" w:themeColor="accent1"/>
        <w:left w:val="single" w:sz="4" w:space="5" w:color="7E97AD" w:themeColor="accent1"/>
        <w:bottom w:val="single" w:sz="4" w:space="10" w:color="7E97AD" w:themeColor="accent1"/>
        <w:right w:val="single" w:sz="4" w:space="5" w:color="7E97AD" w:themeColor="accent1"/>
      </w:pBdr>
      <w:shd w:val="clear" w:color="auto" w:fill="7E97AD" w:themeFill="accent1"/>
      <w:spacing w:lineRule="exact" w:line="1200" w:before="240" w:after="240"/>
      <w:ind w:left="115" w:right="115"/>
    </w:pPr>
    <w:rPr>
      <w:rFonts w:ascii="Calibri" w:hAnsi="Calibri" w:eastAsia="" w:cs="Arial" w:asciiTheme="majorHAnsi" w:cstheme="majorBidi" w:eastAsiaTheme="majorEastAsia" w:hAnsiTheme="majorHAnsi"/>
      <w:caps/>
      <w:color w:themeColor="background1" w:val="FFFFFF"/>
      <w:spacing w:val="40"/>
      <w:kern w:val="2"/>
      <w:sz w:val="136"/>
      <w14:ligatures w14:val="standardContextual"/>
    </w:rPr>
  </w:style>
  <w:style w:type="paragraph" w:styleId="Toaheading">
    <w:name w:val="toa heading"/>
    <w:basedOn w:val="Normal"/>
    <w:next w:val="Normal"/>
    <w:uiPriority w:val="99"/>
    <w:semiHidden/>
    <w:unhideWhenUsed/>
    <w:qFormat/>
    <w:pPr>
      <w:spacing w:before="120" w:after="160"/>
    </w:pPr>
    <w:rPr>
      <w:rFonts w:ascii="Calibri" w:hAnsi="Calibri" w:eastAsia="" w:cs="Arial" w:asciiTheme="majorHAnsi" w:cstheme="majorBidi" w:eastAsiaTheme="majorEastAsia" w:hAnsiTheme="majorHAnsi"/>
      <w:b/>
      <w:bCs/>
    </w:rPr>
  </w:style>
  <w:style w:type="paragraph" w:styleId="TOC1">
    <w:name w:val="TOC 1"/>
    <w:basedOn w:val="Normal"/>
    <w:next w:val="Normal"/>
    <w:autoRedefine/>
    <w:uiPriority w:val="39"/>
    <w:unhideWhenUsed/>
    <w:rsid w:val="00636068"/>
    <w:pPr>
      <w:tabs>
        <w:tab w:val="clear" w:pos="720"/>
        <w:tab w:val="right" w:pos="9090" w:leader="underscore"/>
      </w:tabs>
      <w:spacing w:before="40" w:after="100"/>
    </w:pPr>
    <w:rPr/>
  </w:style>
  <w:style w:type="paragraph" w:styleId="TOC2">
    <w:name w:val="TOC 2"/>
    <w:basedOn w:val="Normal"/>
    <w:next w:val="Normal"/>
    <w:autoRedefine/>
    <w:uiPriority w:val="39"/>
    <w:unhideWhenUsed/>
    <w:pPr>
      <w:spacing w:before="40" w:after="100"/>
      <w:ind w:left="220"/>
    </w:pPr>
    <w:rPr/>
  </w:style>
  <w:style w:type="paragraph" w:styleId="TOC3">
    <w:name w:val="TOC 3"/>
    <w:basedOn w:val="Normal"/>
    <w:next w:val="Normal"/>
    <w:autoRedefine/>
    <w:uiPriority w:val="39"/>
    <w:unhideWhenUsed/>
    <w:rsid w:val="00660cdd"/>
    <w:pPr>
      <w:tabs>
        <w:tab w:val="clear" w:pos="720"/>
        <w:tab w:val="left" w:pos="1540" w:leader="none"/>
        <w:tab w:val="right" w:pos="9120" w:leader="underscore"/>
      </w:tabs>
      <w:spacing w:before="40" w:after="100"/>
      <w:ind w:left="220"/>
    </w:pPr>
    <w:rPr/>
  </w:style>
  <w:style w:type="paragraph" w:styleId="TOC4">
    <w:name w:val="TOC 4"/>
    <w:basedOn w:val="Normal"/>
    <w:next w:val="Normal"/>
    <w:autoRedefine/>
    <w:uiPriority w:val="39"/>
    <w:semiHidden/>
    <w:unhideWhenUsed/>
    <w:pPr>
      <w:spacing w:before="40" w:after="100"/>
      <w:ind w:left="660"/>
    </w:pPr>
    <w:rPr/>
  </w:style>
  <w:style w:type="paragraph" w:styleId="TOC5">
    <w:name w:val="TOC 5"/>
    <w:basedOn w:val="Normal"/>
    <w:next w:val="Normal"/>
    <w:autoRedefine/>
    <w:uiPriority w:val="39"/>
    <w:semiHidden/>
    <w:unhideWhenUsed/>
    <w:pPr>
      <w:spacing w:before="40" w:after="100"/>
      <w:ind w:left="880"/>
    </w:pPr>
    <w:rPr/>
  </w:style>
  <w:style w:type="paragraph" w:styleId="TOC6">
    <w:name w:val="TOC 6"/>
    <w:basedOn w:val="Normal"/>
    <w:next w:val="Normal"/>
    <w:autoRedefine/>
    <w:uiPriority w:val="39"/>
    <w:semiHidden/>
    <w:unhideWhenUsed/>
    <w:pPr>
      <w:spacing w:before="40" w:after="100"/>
      <w:ind w:left="1100"/>
    </w:pPr>
    <w:rPr/>
  </w:style>
  <w:style w:type="paragraph" w:styleId="TOC7">
    <w:name w:val="TOC 7"/>
    <w:basedOn w:val="Normal"/>
    <w:next w:val="Normal"/>
    <w:autoRedefine/>
    <w:uiPriority w:val="39"/>
    <w:semiHidden/>
    <w:unhideWhenUsed/>
    <w:pPr>
      <w:spacing w:before="40" w:after="100"/>
      <w:ind w:left="1320"/>
    </w:pPr>
    <w:rPr/>
  </w:style>
  <w:style w:type="paragraph" w:styleId="TOC8">
    <w:name w:val="TOC 8"/>
    <w:basedOn w:val="Normal"/>
    <w:next w:val="Normal"/>
    <w:autoRedefine/>
    <w:uiPriority w:val="39"/>
    <w:semiHidden/>
    <w:unhideWhenUsed/>
    <w:pPr>
      <w:spacing w:before="40" w:after="100"/>
      <w:ind w:left="1540"/>
    </w:pPr>
    <w:rPr/>
  </w:style>
  <w:style w:type="paragraph" w:styleId="TOC9">
    <w:name w:val="TOC 9"/>
    <w:basedOn w:val="Normal"/>
    <w:next w:val="Normal"/>
    <w:autoRedefine/>
    <w:uiPriority w:val="39"/>
    <w:semiHidden/>
    <w:unhideWhenUsed/>
    <w:pPr>
      <w:spacing w:before="40" w:after="100"/>
      <w:ind w:left="1760"/>
    </w:pPr>
    <w:rPr/>
  </w:style>
  <w:style w:type="paragraph" w:styleId="IndexHeading">
    <w:name w:val="Index Heading"/>
    <w:basedOn w:val="Heading"/>
    <w:pPr/>
    <w:rPr/>
  </w:style>
  <w:style w:type="paragraph" w:styleId="TOCHeading">
    <w:name w:val="TOC Heading"/>
    <w:basedOn w:val="Heading1"/>
    <w:next w:val="Normal"/>
    <w:uiPriority w:val="39"/>
    <w:unhideWhenUsed/>
    <w:qFormat/>
    <w:pPr>
      <w:outlineLvl w:val="9"/>
    </w:pPr>
    <w:rPr/>
  </w:style>
  <w:style w:type="paragraph" w:styleId="TableContents">
    <w:name w:val="Table Contents"/>
    <w:basedOn w:val="Normal"/>
    <w:qFormat/>
    <w:pPr/>
    <w:rPr/>
  </w:style>
  <w:style w:type="paragraph" w:styleId="TableHeading" w:customStyle="1">
    <w:name w:val="Table Heading"/>
    <w:basedOn w:val="Normal"/>
    <w:uiPriority w:val="1"/>
    <w:qFormat/>
    <w:pPr>
      <w:keepNext w:val="true"/>
      <w:pBdr>
        <w:top w:val="single" w:sz="4" w:space="1" w:color="7E97AD" w:themeColor="accent1"/>
        <w:left w:val="single" w:sz="4" w:space="6" w:color="7E97AD" w:themeColor="accent1"/>
        <w:bottom w:val="single" w:sz="4" w:space="1" w:color="7E97AD" w:themeColor="accent1"/>
        <w:right w:val="single" w:sz="4" w:space="6" w:color="7E97AD" w:themeColor="accent1"/>
      </w:pBdr>
      <w:shd w:val="clear" w:color="auto" w:fill="7E97AD" w:themeFill="accent1"/>
      <w:spacing w:before="160" w:after="160"/>
      <w:ind w:left="144" w:right="144"/>
    </w:pPr>
    <w:rPr>
      <w:rFonts w:ascii="Calibri" w:hAnsi="Calibri" w:eastAsia="" w:cs="Arial" w:asciiTheme="majorHAnsi" w:cstheme="majorBidi" w:eastAsiaTheme="majorEastAsia" w:hAnsiTheme="majorHAnsi"/>
      <w:caps/>
      <w:color w:themeColor="background1" w:val="FFFFFF"/>
    </w:rPr>
  </w:style>
  <w:style w:type="paragraph" w:styleId="TableTextDecimal" w:customStyle="1">
    <w:name w:val="Table Text Decimal"/>
    <w:basedOn w:val="Normal"/>
    <w:uiPriority w:val="1"/>
    <w:qFormat/>
    <w:pPr>
      <w:tabs>
        <w:tab w:val="clear" w:pos="720"/>
        <w:tab w:val="decimal" w:pos="1252" w:leader="none"/>
      </w:tabs>
      <w:spacing w:lineRule="auto" w:line="240" w:before="60" w:after="60"/>
      <w:ind w:left="144" w:right="144"/>
    </w:pPr>
    <w:rPr/>
  </w:style>
  <w:style w:type="paragraph" w:styleId="Abstract" w:customStyle="1">
    <w:name w:val="Abstract"/>
    <w:basedOn w:val="Normal"/>
    <w:uiPriority w:val="19"/>
    <w:qFormat/>
    <w:pPr>
      <w:spacing w:before="360" w:after="600"/>
      <w:ind w:left="144" w:right="144"/>
    </w:pPr>
    <w:rPr>
      <w:i/>
      <w:iCs/>
      <w:color w:themeColor="text1" w:themeTint="80" w:val="7F7F7F"/>
      <w:sz w:val="28"/>
    </w:rPr>
  </w:style>
  <w:style w:type="paragraph" w:styleId="TableText" w:customStyle="1">
    <w:name w:val="Table Text"/>
    <w:basedOn w:val="Normal"/>
    <w:uiPriority w:val="9"/>
    <w:qFormat/>
    <w:pPr>
      <w:spacing w:lineRule="auto" w:line="240" w:before="60" w:after="60"/>
      <w:ind w:left="144" w:right="144"/>
    </w:pPr>
    <w:rPr/>
  </w:style>
  <w:style w:type="paragraph" w:styleId="TableReverseHeading" w:customStyle="1">
    <w:name w:val="Table Reverse Heading"/>
    <w:basedOn w:val="Normal"/>
    <w:uiPriority w:val="9"/>
    <w:qFormat/>
    <w:pPr>
      <w:spacing w:lineRule="auto" w:line="240" w:before="40" w:after="40"/>
      <w:ind w:left="144" w:right="144"/>
    </w:pPr>
    <w:rPr>
      <w:rFonts w:ascii="Calibri" w:hAnsi="Calibri" w:eastAsia="" w:cs="Arial" w:asciiTheme="majorHAnsi" w:cstheme="majorBidi" w:eastAsiaTheme="majorEastAsia" w:hAnsiTheme="majorHAnsi"/>
      <w:caps/>
      <w:color w:themeColor="background1" w:val="FFFFFF"/>
    </w:rPr>
  </w:style>
  <w:style w:type="paragraph" w:styleId="HeaderShaded" w:customStyle="1">
    <w:name w:val="Header Shaded"/>
    <w:basedOn w:val="Normal"/>
    <w:uiPriority w:val="19"/>
    <w:qFormat/>
    <w:pPr>
      <w:pBdr>
        <w:top w:val="single" w:sz="2" w:space="2" w:color="7E97AD" w:themeColor="accent1"/>
        <w:left w:val="single" w:sz="2" w:space="6" w:color="7E97AD" w:themeColor="accent1"/>
        <w:bottom w:val="single" w:sz="2" w:space="2" w:color="7E97AD" w:themeColor="accent1"/>
        <w:right w:val="single" w:sz="2" w:space="6" w:color="7E97AD" w:themeColor="accent1"/>
      </w:pBdr>
      <w:shd w:val="clear" w:color="auto" w:fill="7E97AD" w:themeFill="accent1"/>
      <w:spacing w:lineRule="auto" w:line="240" w:before="40" w:after="0"/>
      <w:ind w:left="-360" w:right="-360"/>
    </w:pPr>
    <w:rPr>
      <w:rFonts w:ascii="Calibri" w:hAnsi="Calibri" w:eastAsia="" w:cs="Arial" w:asciiTheme="majorHAnsi" w:cstheme="majorBidi" w:eastAsiaTheme="majorEastAsia" w:hAnsiTheme="majorHAnsi"/>
      <w:caps/>
      <w:color w:themeColor="background1" w:val="FFFFFF"/>
      <w:sz w:val="48"/>
    </w:rPr>
  </w:style>
  <w:style w:type="paragraph" w:styleId="CentrBoldm" w:customStyle="1">
    <w:name w:val="CentrBoldm"/>
    <w:basedOn w:val="Normal"/>
    <w:qFormat/>
    <w:rsid w:val="003a451d"/>
    <w:pPr>
      <w:spacing w:lineRule="auto" w:line="240" w:before="0" w:after="0"/>
      <w:jc w:val="center"/>
    </w:pPr>
    <w:rPr>
      <w:rFonts w:ascii="TimesLT" w:hAnsi="TimesLT" w:eastAsia="Calibri" w:cs="Times New Roman"/>
      <w:b/>
      <w:bCs/>
      <w:kern w:val="0"/>
      <w:szCs w:val="24"/>
      <w:lang w:eastAsia="en-US"/>
    </w:rPr>
  </w:style>
  <w:style w:type="paragraph" w:styleId="Tablenumber" w:customStyle="1">
    <w:name w:val="Table number"/>
    <w:basedOn w:val="ListParagraph"/>
    <w:link w:val="TablenumberChar"/>
    <w:qFormat/>
    <w:rsid w:val="00a72217"/>
    <w:pPr>
      <w:spacing w:lineRule="auto" w:line="240" w:before="0" w:after="0"/>
      <w:ind w:left="0"/>
      <w:contextualSpacing/>
      <w:jc w:val="both"/>
    </w:pPr>
    <w:rPr>
      <w:rFonts w:eastAsia="Calibri" w:cs="Times New Roman"/>
      <w:kern w:val="0"/>
      <w:sz w:val="22"/>
      <w:szCs w:val="24"/>
      <w:lang w:eastAsia="en-US"/>
    </w:rPr>
  </w:style>
  <w:style w:type="paragraph" w:styleId="Revision">
    <w:name w:val="Revision"/>
    <w:uiPriority w:val="99"/>
    <w:semiHidden/>
    <w:qFormat/>
    <w:rsid w:val="00a03e72"/>
    <w:pPr>
      <w:widowControl/>
      <w:bidi w:val="0"/>
      <w:spacing w:lineRule="auto" w:line="240" w:before="0" w:after="0"/>
      <w:jc w:val="left"/>
    </w:pPr>
    <w:rPr>
      <w:rFonts w:ascii="Cambria" w:hAnsi="Cambria" w:eastAsia="Cambria" w:cs="Times New Roman" w:asciiTheme="minorHAnsi" w:cstheme="minorBidi" w:eastAsiaTheme="minorHAnsi" w:hAnsiTheme="minorHAnsi"/>
      <w:color w:themeColor="text1" w:themeTint="a6" w:val="595959"/>
      <w:kern w:val="2"/>
      <w:sz w:val="20"/>
      <w:szCs w:val="20"/>
      <w:lang w:val="lt-LT" w:eastAsia="ja-JP" w:bidi="ar-SA"/>
    </w:rPr>
  </w:style>
  <w:style w:type="paragraph" w:styleId="TableParagraph" w:customStyle="1">
    <w:name w:val="Table Paragraph"/>
    <w:basedOn w:val="Normal"/>
    <w:uiPriority w:val="1"/>
    <w:qFormat/>
    <w:rsid w:val="000f66bf"/>
    <w:pPr>
      <w:widowControl w:val="false"/>
      <w:spacing w:lineRule="auto" w:line="240" w:before="0" w:after="0"/>
    </w:pPr>
    <w:rPr>
      <w:rFonts w:ascii="Cambria" w:hAnsi="Cambria" w:asciiTheme="minorHAnsi" w:hAnsiTheme="minorHAnsi"/>
      <w:kern w:val="0"/>
      <w:sz w:val="22"/>
      <w:szCs w:val="22"/>
      <w:lang w:val="en-US" w:eastAsia="en-US"/>
    </w:rPr>
  </w:style>
  <w:style w:type="paragraph" w:styleId="Default" w:customStyle="1">
    <w:name w:val="Default"/>
    <w:qFormat/>
    <w:rsid w:val="00cd6f3f"/>
    <w:pPr>
      <w:widowControl/>
      <w:bidi w:val="0"/>
      <w:spacing w:lineRule="auto" w:line="240" w:before="0" w:after="0"/>
      <w:jc w:val="left"/>
    </w:pPr>
    <w:rPr>
      <w:rFonts w:ascii="Georgia" w:hAnsi="Georgia" w:cs="Georgia" w:eastAsia="Cambria"/>
      <w:color w:themeColor="text1" w:themeTint="a6" w:val="000000"/>
      <w:kern w:val="0"/>
      <w:sz w:val="24"/>
      <w:szCs w:val="24"/>
      <w:lang w:val="lt-LT" w:eastAsia="ja-JP" w:bidi="ar-SA"/>
    </w:rPr>
  </w:style>
  <w:style w:type="numbering" w:styleId="NoList" w:default="1">
    <w:name w:val="No List"/>
    <w:uiPriority w:val="99"/>
    <w:semiHidden/>
    <w:unhideWhenUsed/>
    <w:qFormat/>
  </w:style>
  <w:style w:type="numbering" w:styleId="AnnualReport" w:customStyle="1">
    <w:name w:val="Annual Report"/>
    <w:uiPriority w:val="99"/>
    <w:qFormat/>
  </w:style>
  <w:style w:type="table" w:default="1" w:styleId="prastojilentel">
    <w:name w:val="Normal Table"/>
    <w:uiPriority w:val="99"/>
    <w:semiHidden/>
    <w:unhideWhenUsed/>
    <w:tblPr>
      <w:tblCellMar>
        <w:top w:w="0" w:type="dxa"/>
        <w:left w:w="108" w:type="dxa"/>
        <w:bottom w:w="0" w:type="dxa"/>
        <w:right w:w="108" w:type="dxa"/>
      </w:tblCellMar>
    </w:tblPr>
  </w:style>
  <w:style w:type="table" w:styleId="Lentelstinklelis">
    <w:name w:val="Table Grid"/>
    <w:basedOn w:val="prastojilentel"/>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palvotastinklelis">
    <w:name w:val="Colorful Grid"/>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themeColor="text1"/>
      </w:rPr>
      <w:tblPr/>
      <w:tcPr>
        <w:shd w:val="clear" w:color="auto" w:fill="999999" w:themeFill="text1" w:themeFillTint="66"/>
      </w:tcPr>
    </w:tblStylePr>
    <w:tblStylePr w:type="firstCol">
      <w:rPr>
        <w:color w:themeColor="background1"/>
      </w:rPr>
      <w:tblPr/>
      <w:tcPr>
        <w:shd w:val="clear" w:color="auto" w:fill="000000" w:themeFill="text1" w:themeFillShade="bf"/>
      </w:tcPr>
    </w:tblStylePr>
    <w:tblStylePr w:type="lastCol">
      <w:rPr>
        <w:color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palvotastinklelis1parykinimas">
    <w:name w:val="Colorful Grid Accent 1"/>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themeColor="text1"/>
      </w:rPr>
      <w:tblPr/>
      <w:tcPr>
        <w:shd w:val="clear" w:color="auto" w:fill="CBD5DE" w:themeFill="accent1" w:themeFillTint="66"/>
      </w:tcPr>
    </w:tblStylePr>
    <w:tblStylePr w:type="firstCol">
      <w:rPr>
        <w:color w:themeColor="background1"/>
      </w:rPr>
      <w:tblPr/>
      <w:tcPr>
        <w:shd w:val="clear" w:color="auto" w:fill="577188" w:themeFill="accent1" w:themeFillShade="bf"/>
      </w:tcPr>
    </w:tblStylePr>
    <w:tblStylePr w:type="lastCol">
      <w:rPr>
        <w:color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Spalvotastinklelis2parykinimas">
    <w:name w:val="Colorful Grid Accent 2"/>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themeColor="text1"/>
      </w:rPr>
      <w:tblPr/>
      <w:tcPr>
        <w:shd w:val="clear" w:color="auto" w:fill="EAD1BF" w:themeFill="accent2" w:themeFillTint="66"/>
      </w:tcPr>
    </w:tblStylePr>
    <w:tblStylePr w:type="firstCol">
      <w:rPr>
        <w:color w:themeColor="background1"/>
      </w:rPr>
      <w:tblPr/>
      <w:tcPr>
        <w:shd w:val="clear" w:color="auto" w:fill="AA6736" w:themeFill="accent2" w:themeFillShade="bf"/>
      </w:tcPr>
    </w:tblStylePr>
    <w:tblStylePr w:type="lastCol">
      <w:rPr>
        <w:color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Spalvotastinklelis3parykinimas">
    <w:name w:val="Colorful Grid Accent 3"/>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themeColor="text1"/>
      </w:rPr>
      <w:tblPr/>
      <w:tcPr>
        <w:shd w:val="clear" w:color="auto" w:fill="CBC2BD" w:themeFill="accent3" w:themeFillTint="66"/>
      </w:tcPr>
    </w:tblStylePr>
    <w:tblStylePr w:type="firstCol">
      <w:rPr>
        <w:color w:themeColor="background1"/>
      </w:rPr>
      <w:tblPr/>
      <w:tcPr>
        <w:shd w:val="clear" w:color="auto" w:fill="5B4F47" w:themeFill="accent3" w:themeFillShade="bf"/>
      </w:tcPr>
    </w:tblStylePr>
    <w:tblStylePr w:type="lastCol">
      <w:rPr>
        <w:color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Spalvotastinklelis4parykinimas">
    <w:name w:val="Colorful Grid Accent 4"/>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themeColor="text1"/>
      </w:rPr>
      <w:tblPr/>
      <w:tcPr>
        <w:shd w:val="clear" w:color="auto" w:fill="E1D3C4" w:themeFill="accent4" w:themeFillTint="66"/>
      </w:tcPr>
    </w:tblStylePr>
    <w:tblStylePr w:type="firstCol">
      <w:rPr>
        <w:color w:themeColor="background1"/>
      </w:rPr>
      <w:tblPr/>
      <w:tcPr>
        <w:shd w:val="clear" w:color="auto" w:fill="8E6E49" w:themeFill="accent4" w:themeFillShade="bf"/>
      </w:tcPr>
    </w:tblStylePr>
    <w:tblStylePr w:type="lastCol">
      <w:rPr>
        <w:color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Spalvotastinklelis5parykinimas">
    <w:name w:val="Colorful Grid Accent 5"/>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themeColor="text1"/>
      </w:rPr>
      <w:tblPr/>
      <w:tcPr>
        <w:shd w:val="clear" w:color="auto" w:fill="C1C9CB" w:themeFill="accent5" w:themeFillTint="66"/>
      </w:tcPr>
    </w:tblStylePr>
    <w:tblStylePr w:type="firstCol">
      <w:rPr>
        <w:color w:themeColor="background1"/>
      </w:rPr>
      <w:tblPr/>
      <w:tcPr>
        <w:shd w:val="clear" w:color="auto" w:fill="4D595B" w:themeFill="accent5" w:themeFillShade="bf"/>
      </w:tcPr>
    </w:tblStylePr>
    <w:tblStylePr w:type="lastCol">
      <w:rPr>
        <w:color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Spalvotastinklelis6parykinimas">
    <w:name w:val="Colorful Grid Accent 6"/>
    <w:basedOn w:val="prastojilentel"/>
    <w:uiPriority w:val="73"/>
    <w:pPr>
      <w:spacing w:after="0" w:line="240" w:lineRule="auto"/>
    </w:pPr>
    <w:rPr>
      <w:color w:themeColor="text1"/>
    </w:rPr>
    <w:tblPr>
      <w:tblStyleRowBandSize w:val="1"/>
      <w:tblStyleColBandSize w:val="1"/>
      <w:tblBorders>
        <w:insideH w:val="single" w:color="FFFFFF" w:themeColor="background1" w:sz="4" w:space="0"/>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themeColor="text1"/>
      </w:rPr>
      <w:tblPr/>
      <w:tcPr>
        <w:shd w:val="clear" w:color="auto" w:fill="D7D3C5" w:themeFill="accent6" w:themeFillTint="66"/>
      </w:tcPr>
    </w:tblStylePr>
    <w:tblStylePr w:type="firstCol">
      <w:rPr>
        <w:color w:themeColor="background1"/>
      </w:rPr>
      <w:tblPr/>
      <w:tcPr>
        <w:shd w:val="clear" w:color="auto" w:fill="776E51" w:themeFill="accent6" w:themeFillShade="bf"/>
      </w:tcPr>
    </w:tblStylePr>
    <w:tblStylePr w:type="lastCol">
      <w:rPr>
        <w:color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Spalvotassraas">
    <w:name w:val="Colorful List"/>
    <w:basedOn w:val="prastojilentel"/>
    <w:uiPriority w:val="72"/>
    <w:pPr>
      <w:spacing w:after="0" w:line="240" w:lineRule="auto"/>
    </w:pPr>
    <w:rPr>
      <w:color w:themeColor="text1"/>
    </w:rPr>
    <w:tblPr>
      <w:tblStyleRowBandSize w:val="1"/>
      <w:tblStyleColBandSize w:val="1"/>
    </w:tblPr>
    <w:tcPr>
      <w:shd w:val="clear" w:color="auto" w:fill="E6E6E6" w:themeFill="text1"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Spalvotassraas1parykinimas">
    <w:name w:val="Colorful List Accent 1"/>
    <w:basedOn w:val="prastojilentel"/>
    <w:uiPriority w:val="72"/>
    <w:pPr>
      <w:spacing w:after="0" w:line="240" w:lineRule="auto"/>
    </w:pPr>
    <w:rPr>
      <w:color w:themeColor="text1"/>
    </w:rPr>
    <w:tblPr>
      <w:tblStyleRowBandSize w:val="1"/>
      <w:tblStyleColBandSize w:val="1"/>
    </w:tblPr>
    <w:tcPr>
      <w:shd w:val="clear" w:color="auto" w:fill="F2F4F6" w:themeFill="accent1"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Spalvotassraas2parykinimas">
    <w:name w:val="Colorful List Accent 2"/>
    <w:basedOn w:val="prastojilentel"/>
    <w:uiPriority w:val="72"/>
    <w:pPr>
      <w:spacing w:after="0" w:line="240" w:lineRule="auto"/>
    </w:pPr>
    <w:rPr>
      <w:color w:themeColor="text1"/>
    </w:rPr>
    <w:tblPr>
      <w:tblStyleRowBandSize w:val="1"/>
      <w:tblStyleColBandSize w:val="1"/>
    </w:tblPr>
    <w:tcPr>
      <w:shd w:val="clear" w:color="auto" w:fill="FAF3EF" w:themeFill="accent2" w:themeFillTint="19"/>
    </w:tcPr>
    <w:tblStylePr w:type="firstRow">
      <w:rPr>
        <w:b/>
        <w:bCs/>
        <w:color w:themeColor="background1"/>
      </w:rPr>
      <w:tblPr/>
      <w:tcPr>
        <w:tcBorders>
          <w:bottom w:val="single" w:color="FFFFFF" w:themeColor="background1" w:sz="12" w:space="0"/>
        </w:tcBorders>
        <w:shd w:val="clear" w:color="auto" w:fill="B56E3A" w:themeFill="accent2" w:themeFillShade="cc"/>
      </w:tcPr>
    </w:tblStylePr>
    <w:tblStylePr w:type="lastRow">
      <w:rPr>
        <w:b/>
        <w:bCs/>
        <w:color w:themeColor="accent2"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Spalvotassraas3parykinimas">
    <w:name w:val="Colorful List Accent 3"/>
    <w:basedOn w:val="prastojilentel"/>
    <w:uiPriority w:val="72"/>
    <w:pPr>
      <w:spacing w:after="0" w:line="240" w:lineRule="auto"/>
    </w:pPr>
    <w:rPr>
      <w:color w:themeColor="text1"/>
    </w:rPr>
    <w:tblPr>
      <w:tblStyleRowBandSize w:val="1"/>
      <w:tblStyleColBandSize w:val="1"/>
    </w:tblPr>
    <w:tcPr>
      <w:shd w:val="clear" w:color="auto" w:fill="F2F0EE" w:themeFill="accent3" w:themeFillTint="19"/>
    </w:tcPr>
    <w:tblStylePr w:type="firstRow">
      <w:rPr>
        <w:b/>
        <w:bCs/>
        <w:color w:themeColor="background1"/>
      </w:rPr>
      <w:tblPr/>
      <w:tcPr>
        <w:tcBorders>
          <w:bottom w:val="single" w:color="FFFFFF" w:themeColor="background1" w:sz="12" w:space="0"/>
        </w:tcBorders>
        <w:shd w:val="clear" w:color="auto" w:fill="98754E" w:themeFill="accent4" w:themeFillShade="cc"/>
      </w:tcPr>
    </w:tblStylePr>
    <w:tblStylePr w:type="lastRow">
      <w:rPr>
        <w:b/>
        <w:bCs/>
        <w:color w:themeColor="accent4"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Spalvotassraas4parykinimas">
    <w:name w:val="Colorful List Accent 4"/>
    <w:basedOn w:val="prastojilentel"/>
    <w:uiPriority w:val="72"/>
    <w:pPr>
      <w:spacing w:after="0" w:line="240" w:lineRule="auto"/>
    </w:pPr>
    <w:rPr>
      <w:color w:themeColor="text1"/>
    </w:rPr>
    <w:tblPr>
      <w:tblStyleRowBandSize w:val="1"/>
      <w:tblStyleColBandSize w:val="1"/>
    </w:tblPr>
    <w:tcPr>
      <w:shd w:val="clear" w:color="auto" w:fill="F7F4F0" w:themeFill="accent4" w:themeFillTint="19"/>
    </w:tcPr>
    <w:tblStylePr w:type="firstRow">
      <w:rPr>
        <w:b/>
        <w:bCs/>
        <w:color w:themeColor="background1"/>
      </w:rPr>
      <w:tblPr/>
      <w:tcPr>
        <w:tcBorders>
          <w:bottom w:val="single" w:color="FFFFFF" w:themeColor="background1" w:sz="12" w:space="0"/>
        </w:tcBorders>
        <w:shd w:val="clear" w:color="auto" w:fill="61544C" w:themeFill="accent3" w:themeFillShade="cc"/>
      </w:tcPr>
    </w:tblStylePr>
    <w:tblStylePr w:type="lastRow">
      <w:rPr>
        <w:b/>
        <w:bCs/>
        <w:color w:themeColor="accent3"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Spalvotassraas5parykinimas">
    <w:name w:val="Colorful List Accent 5"/>
    <w:basedOn w:val="prastojilentel"/>
    <w:uiPriority w:val="72"/>
    <w:pPr>
      <w:spacing w:after="0" w:line="240" w:lineRule="auto"/>
    </w:pPr>
    <w:rPr>
      <w:color w:themeColor="text1"/>
    </w:rPr>
    <w:tblPr>
      <w:tblStyleRowBandSize w:val="1"/>
      <w:tblStyleColBandSize w:val="1"/>
    </w:tblPr>
    <w:tcPr>
      <w:shd w:val="clear" w:color="auto" w:fill="EFF1F2" w:themeFill="accent5" w:themeFillTint="19"/>
    </w:tcPr>
    <w:tblStylePr w:type="firstRow">
      <w:rPr>
        <w:b/>
        <w:bCs/>
        <w:color w:themeColor="background1"/>
      </w:rPr>
      <w:tblPr/>
      <w:tcPr>
        <w:tcBorders>
          <w:bottom w:val="single" w:color="FFFFFF" w:themeColor="background1" w:sz="12" w:space="0"/>
        </w:tcBorders>
        <w:shd w:val="clear" w:color="auto" w:fill="7F7657"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Spalvotassraas6parykinimas">
    <w:name w:val="Colorful List Accent 6"/>
    <w:basedOn w:val="prastojilentel"/>
    <w:uiPriority w:val="72"/>
    <w:pPr>
      <w:spacing w:after="0" w:line="240" w:lineRule="auto"/>
    </w:pPr>
    <w:rPr>
      <w:color w:themeColor="text1"/>
    </w:rPr>
    <w:tblPr>
      <w:tblStyleRowBandSize w:val="1"/>
      <w:tblStyleColBandSize w:val="1"/>
    </w:tblPr>
    <w:tcPr>
      <w:shd w:val="clear" w:color="auto" w:fill="F5F4F0" w:themeFill="accent6" w:themeFillTint="19"/>
    </w:tcPr>
    <w:tblStylePr w:type="firstRow">
      <w:rPr>
        <w:b/>
        <w:bCs/>
        <w:color w:themeColor="background1"/>
      </w:rPr>
      <w:tblPr/>
      <w:tcPr>
        <w:tcBorders>
          <w:bottom w:val="single" w:color="FFFFFF" w:themeColor="background1" w:sz="12" w:space="0"/>
        </w:tcBorders>
        <w:shd w:val="clear" w:color="auto" w:fill="525F62" w:themeFill="accent5" w:themeFillShade="cc"/>
      </w:tcPr>
    </w:tblStylePr>
    <w:tblStylePr w:type="lastRow">
      <w:rPr>
        <w:b/>
        <w:bCs/>
        <w:color w:themeColor="accent5"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Spalvotasspalvinimas">
    <w:name w:val="Colorful Shading"/>
    <w:basedOn w:val="prastojilentel"/>
    <w:uiPriority w:val="71"/>
    <w:pPr>
      <w:spacing w:after="0" w:line="240" w:lineRule="auto"/>
    </w:pPr>
    <w:rPr>
      <w:color w:themeColor="text1"/>
    </w:rPr>
    <w:tblPr>
      <w:tblStyleRowBandSize w:val="1"/>
      <w:tblStyleColBandSize w:val="1"/>
      <w:tblBorders>
        <w:top w:val="single" w:color="CC8E6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000000" w:themeFill="text1" w:themeFillShade="99"/>
      </w:tcPr>
    </w:tblStylePr>
    <w:tblStylePr w:type="firstCol">
      <w:rPr>
        <w:color w:themeColor="background1"/>
      </w:rPr>
      <w:tblPr/>
      <w:tcPr>
        <w:tcBorders>
          <w:top w:val="nil"/>
          <w:left w:val="nil"/>
          <w:bottom w:val="nil"/>
          <w:right w:val="nil"/>
          <w:insideH w:val="single" w:color="000000" w:themeColor="text1" w:sz="4" w:space="0"/>
          <w:insideV w:val="nil"/>
        </w:tcBorders>
        <w:shd w:val="clear" w:color="auto" w:fill="000000" w:themeFill="text1" w:themeFillShade="99"/>
      </w:tcPr>
    </w:tblStylePr>
    <w:tblStylePr w:type="lastCol">
      <w:rPr>
        <w:color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themeColor="text1"/>
      </w:rPr>
      <w:tblPr/>
    </w:tblStylePr>
    <w:tblStylePr w:type="nwCell">
      <w:rPr>
        <w:color w:themeColor="text1"/>
      </w:rPr>
      <w:tblPr/>
    </w:tblStylePr>
  </w:style>
  <w:style w:type="table" w:styleId="Spalvotasspalvinimas1parykinimas">
    <w:name w:val="Colorful Shading Accent 1"/>
    <w:basedOn w:val="prastojilentel"/>
    <w:uiPriority w:val="71"/>
    <w:pPr>
      <w:spacing w:after="0" w:line="240" w:lineRule="auto"/>
    </w:pPr>
    <w:rPr>
      <w:color w:themeColor="text1"/>
    </w:rPr>
    <w:tblPr>
      <w:tblStyleRowBandSize w:val="1"/>
      <w:tblStyleColBandSize w:val="1"/>
      <w:tblBorders>
        <w:top w:val="single" w:color="CC8E60" w:themeColor="accent2" w:sz="24" w:space="0"/>
        <w:left w:val="single" w:color="7E97AD" w:themeColor="accent1" w:sz="4" w:space="0"/>
        <w:bottom w:val="single" w:color="7E97AD" w:themeColor="accent1" w:sz="4" w:space="0"/>
        <w:right w:val="single" w:color="7E97AD" w:themeColor="accent1" w:sz="4" w:space="0"/>
        <w:insideH w:val="single" w:color="FFFFFF" w:themeColor="background1" w:sz="4" w:space="0"/>
        <w:insideV w:val="single" w:color="FFFFFF" w:themeColor="background1" w:sz="4" w:space="0"/>
      </w:tblBorders>
    </w:tblPr>
    <w:tcPr>
      <w:shd w:val="clear" w:color="auto" w:fill="F2F4F6" w:themeFill="accent1"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55A6D" w:themeFill="accent1" w:themeFillShade="99"/>
      </w:tcPr>
    </w:tblStylePr>
    <w:tblStylePr w:type="firstCol">
      <w:rPr>
        <w:color w:themeColor="background1"/>
      </w:rPr>
      <w:tblPr/>
      <w:tcPr>
        <w:tcBorders>
          <w:top w:val="nil"/>
          <w:left w:val="nil"/>
          <w:bottom w:val="nil"/>
          <w:right w:val="nil"/>
          <w:insideH w:val="single" w:color="455A6D" w:themeColor="accent1" w:sz="4" w:space="0"/>
          <w:insideV w:val="nil"/>
        </w:tcBorders>
        <w:shd w:val="clear" w:color="auto" w:fill="455A6D" w:themeFill="accent1" w:themeFillShade="99"/>
      </w:tcPr>
    </w:tblStylePr>
    <w:tblStylePr w:type="lastCol">
      <w:rPr>
        <w:color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themeColor="text1"/>
      </w:rPr>
      <w:tblPr/>
    </w:tblStylePr>
    <w:tblStylePr w:type="nwCell">
      <w:rPr>
        <w:color w:themeColor="text1"/>
      </w:rPr>
      <w:tblPr/>
    </w:tblStylePr>
  </w:style>
  <w:style w:type="table" w:styleId="Spalvotasspalvinimas2parykinimas">
    <w:name w:val="Colorful Shading Accent 2"/>
    <w:basedOn w:val="prastojilentel"/>
    <w:uiPriority w:val="71"/>
    <w:pPr>
      <w:spacing w:after="0" w:line="240" w:lineRule="auto"/>
    </w:pPr>
    <w:rPr>
      <w:color w:themeColor="text1"/>
    </w:rPr>
    <w:tblPr>
      <w:tblStyleRowBandSize w:val="1"/>
      <w:tblStyleColBandSize w:val="1"/>
      <w:tblBorders>
        <w:top w:val="single" w:color="CC8E60" w:themeColor="accent2" w:sz="24" w:space="0"/>
        <w:left w:val="single" w:color="CC8E60" w:themeColor="accent2" w:sz="4" w:space="0"/>
        <w:bottom w:val="single" w:color="CC8E60" w:themeColor="accent2" w:sz="4" w:space="0"/>
        <w:right w:val="single" w:color="CC8E60" w:themeColor="accent2" w:sz="4" w:space="0"/>
        <w:insideH w:val="single" w:color="FFFFFF" w:themeColor="background1" w:sz="4" w:space="0"/>
        <w:insideV w:val="single" w:color="FFFFFF" w:themeColor="background1" w:sz="4" w:space="0"/>
      </w:tblBorders>
    </w:tblPr>
    <w:tcPr>
      <w:shd w:val="clear" w:color="auto" w:fill="FAF3EF" w:themeFill="accent2" w:themeFillTint="19"/>
    </w:tcPr>
    <w:tblStylePr w:type="firstRow">
      <w:rPr>
        <w:b/>
        <w:bCs/>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88522B" w:themeFill="accent2" w:themeFillShade="99"/>
      </w:tcPr>
    </w:tblStylePr>
    <w:tblStylePr w:type="firstCol">
      <w:rPr>
        <w:color w:themeColor="background1"/>
      </w:rPr>
      <w:tblPr/>
      <w:tcPr>
        <w:tcBorders>
          <w:top w:val="nil"/>
          <w:left w:val="nil"/>
          <w:bottom w:val="nil"/>
          <w:right w:val="nil"/>
          <w:insideH w:val="single" w:color="88522B" w:themeColor="accent2" w:sz="4" w:space="0"/>
          <w:insideV w:val="nil"/>
        </w:tcBorders>
        <w:shd w:val="clear" w:color="auto" w:fill="88522B" w:themeFill="accent2" w:themeFillShade="99"/>
      </w:tcPr>
    </w:tblStylePr>
    <w:tblStylePr w:type="lastCol">
      <w:rPr>
        <w:color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themeColor="text1"/>
      </w:rPr>
      <w:tblPr/>
    </w:tblStylePr>
    <w:tblStylePr w:type="nwCell">
      <w:rPr>
        <w:color w:themeColor="text1"/>
      </w:rPr>
      <w:tblPr/>
    </w:tblStylePr>
  </w:style>
  <w:style w:type="table" w:styleId="Spalvotasspalvinimas3parykinimas">
    <w:name w:val="Colorful Shading Accent 3"/>
    <w:basedOn w:val="prastojilentel"/>
    <w:uiPriority w:val="71"/>
    <w:pPr>
      <w:spacing w:after="0" w:line="240" w:lineRule="auto"/>
    </w:pPr>
    <w:rPr>
      <w:color w:themeColor="text1"/>
    </w:rPr>
    <w:tblPr>
      <w:tblStyleRowBandSize w:val="1"/>
      <w:tblStyleColBandSize w:val="1"/>
      <w:tblBorders>
        <w:top w:val="single" w:color="B4936D" w:themeColor="accent4" w:sz="24" w:space="0"/>
        <w:left w:val="single" w:color="7A6A60" w:themeColor="accent3" w:sz="4" w:space="0"/>
        <w:bottom w:val="single" w:color="7A6A60" w:themeColor="accent3" w:sz="4" w:space="0"/>
        <w:right w:val="single" w:color="7A6A60" w:themeColor="accent3" w:sz="4" w:space="0"/>
        <w:insideH w:val="single" w:color="FFFFFF" w:themeColor="background1" w:sz="4" w:space="0"/>
        <w:insideV w:val="single" w:color="FFFFFF" w:themeColor="background1" w:sz="4" w:space="0"/>
      </w:tblBorders>
    </w:tblPr>
    <w:tcPr>
      <w:shd w:val="clear" w:color="auto" w:fill="F2F0EE" w:themeFill="accent3" w:themeFillTint="19"/>
    </w:tcPr>
    <w:tblStylePr w:type="firstRow">
      <w:rPr>
        <w:b/>
        <w:bCs/>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493F39" w:themeFill="accent3" w:themeFillShade="99"/>
      </w:tcPr>
    </w:tblStylePr>
    <w:tblStylePr w:type="firstCol">
      <w:rPr>
        <w:color w:themeColor="background1"/>
      </w:rPr>
      <w:tblPr/>
      <w:tcPr>
        <w:tcBorders>
          <w:top w:val="nil"/>
          <w:left w:val="nil"/>
          <w:bottom w:val="nil"/>
          <w:right w:val="nil"/>
          <w:insideH w:val="single" w:color="493F39" w:themeColor="accent3" w:sz="4" w:space="0"/>
          <w:insideV w:val="nil"/>
        </w:tcBorders>
        <w:shd w:val="clear" w:color="auto" w:fill="493F39" w:themeFill="accent3" w:themeFillShade="99"/>
      </w:tcPr>
    </w:tblStylePr>
    <w:tblStylePr w:type="lastCol">
      <w:rPr>
        <w:color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Spalvotasspalvinimas4parykinimas">
    <w:name w:val="Colorful Shading Accent 4"/>
    <w:basedOn w:val="prastojilentel"/>
    <w:uiPriority w:val="71"/>
    <w:pPr>
      <w:spacing w:after="0" w:line="240" w:lineRule="auto"/>
    </w:pPr>
    <w:rPr>
      <w:color w:themeColor="text1"/>
    </w:rPr>
    <w:tblPr>
      <w:tblStyleRowBandSize w:val="1"/>
      <w:tblStyleColBandSize w:val="1"/>
      <w:tblBorders>
        <w:top w:val="single" w:color="7A6A60" w:themeColor="accent3" w:sz="24" w:space="0"/>
        <w:left w:val="single" w:color="B4936D" w:themeColor="accent4" w:sz="4" w:space="0"/>
        <w:bottom w:val="single" w:color="B4936D" w:themeColor="accent4" w:sz="4" w:space="0"/>
        <w:right w:val="single" w:color="B4936D" w:themeColor="accent4" w:sz="4" w:space="0"/>
        <w:insideH w:val="single" w:color="FFFFFF" w:themeColor="background1" w:sz="4" w:space="0"/>
        <w:insideV w:val="single" w:color="FFFFFF" w:themeColor="background1" w:sz="4" w:space="0"/>
      </w:tblBorders>
    </w:tblPr>
    <w:tcPr>
      <w:shd w:val="clear" w:color="auto" w:fill="F7F4F0" w:themeFill="accent4" w:themeFillTint="19"/>
    </w:tcPr>
    <w:tblStylePr w:type="firstRow">
      <w:rPr>
        <w:b/>
        <w:bCs/>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72583B" w:themeFill="accent4" w:themeFillShade="99"/>
      </w:tcPr>
    </w:tblStylePr>
    <w:tblStylePr w:type="firstCol">
      <w:rPr>
        <w:color w:themeColor="background1"/>
      </w:rPr>
      <w:tblPr/>
      <w:tcPr>
        <w:tcBorders>
          <w:top w:val="nil"/>
          <w:left w:val="nil"/>
          <w:bottom w:val="nil"/>
          <w:right w:val="nil"/>
          <w:insideH w:val="single" w:color="72583B" w:themeColor="accent4" w:sz="4" w:space="0"/>
          <w:insideV w:val="nil"/>
        </w:tcBorders>
        <w:shd w:val="clear" w:color="auto" w:fill="72583B" w:themeFill="accent4" w:themeFillShade="99"/>
      </w:tcPr>
    </w:tblStylePr>
    <w:tblStylePr w:type="lastCol">
      <w:rPr>
        <w:color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themeColor="text1"/>
      </w:rPr>
      <w:tblPr/>
    </w:tblStylePr>
    <w:tblStylePr w:type="nwCell">
      <w:rPr>
        <w:color w:themeColor="text1"/>
      </w:rPr>
      <w:tblPr/>
    </w:tblStylePr>
  </w:style>
  <w:style w:type="table" w:styleId="Spalvotasspalvinimas5parykinimas">
    <w:name w:val="Colorful Shading Accent 5"/>
    <w:basedOn w:val="prastojilentel"/>
    <w:uiPriority w:val="71"/>
    <w:pPr>
      <w:spacing w:after="0" w:line="240" w:lineRule="auto"/>
    </w:pPr>
    <w:rPr>
      <w:color w:themeColor="text1"/>
    </w:rPr>
    <w:tblPr>
      <w:tblStyleRowBandSize w:val="1"/>
      <w:tblStyleColBandSize w:val="1"/>
      <w:tblBorders>
        <w:top w:val="single" w:color="9D936F" w:themeColor="accent6" w:sz="24" w:space="0"/>
        <w:left w:val="single" w:color="67787B" w:themeColor="accent5" w:sz="4" w:space="0"/>
        <w:bottom w:val="single" w:color="67787B" w:themeColor="accent5" w:sz="4" w:space="0"/>
        <w:right w:val="single" w:color="67787B" w:themeColor="accent5" w:sz="4" w:space="0"/>
        <w:insideH w:val="single" w:color="FFFFFF" w:themeColor="background1" w:sz="4" w:space="0"/>
        <w:insideV w:val="single" w:color="FFFFFF" w:themeColor="background1" w:sz="4" w:space="0"/>
      </w:tblBorders>
    </w:tblPr>
    <w:tcPr>
      <w:shd w:val="clear" w:color="auto" w:fill="EFF1F2" w:themeFill="accent5" w:themeFillTint="19"/>
    </w:tcPr>
    <w:tblStylePr w:type="firstRow">
      <w:rPr>
        <w:b/>
        <w:bCs/>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3D4749" w:themeFill="accent5" w:themeFillShade="99"/>
      </w:tcPr>
    </w:tblStylePr>
    <w:tblStylePr w:type="firstCol">
      <w:rPr>
        <w:color w:themeColor="background1"/>
      </w:rPr>
      <w:tblPr/>
      <w:tcPr>
        <w:tcBorders>
          <w:top w:val="nil"/>
          <w:left w:val="nil"/>
          <w:bottom w:val="nil"/>
          <w:right w:val="nil"/>
          <w:insideH w:val="single" w:color="3D4749" w:themeColor="accent5" w:sz="4" w:space="0"/>
          <w:insideV w:val="nil"/>
        </w:tcBorders>
        <w:shd w:val="clear" w:color="auto" w:fill="3D4749" w:themeFill="accent5" w:themeFillShade="99"/>
      </w:tcPr>
    </w:tblStylePr>
    <w:tblStylePr w:type="lastCol">
      <w:rPr>
        <w:color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themeColor="text1"/>
      </w:rPr>
      <w:tblPr/>
    </w:tblStylePr>
    <w:tblStylePr w:type="nwCell">
      <w:rPr>
        <w:color w:themeColor="text1"/>
      </w:rPr>
      <w:tblPr/>
    </w:tblStylePr>
  </w:style>
  <w:style w:type="table" w:styleId="Spalvotasspalvinimas6parykinimas">
    <w:name w:val="Colorful Shading Accent 6"/>
    <w:basedOn w:val="prastojilentel"/>
    <w:uiPriority w:val="71"/>
    <w:pPr>
      <w:spacing w:after="0" w:line="240" w:lineRule="auto"/>
    </w:pPr>
    <w:rPr>
      <w:color w:themeColor="text1"/>
    </w:rPr>
    <w:tblPr>
      <w:tblStyleRowBandSize w:val="1"/>
      <w:tblStyleColBandSize w:val="1"/>
      <w:tblBorders>
        <w:top w:val="single" w:color="67787B" w:themeColor="accent5" w:sz="24" w:space="0"/>
        <w:left w:val="single" w:color="9D936F" w:themeColor="accent6" w:sz="4" w:space="0"/>
        <w:bottom w:val="single" w:color="9D936F" w:themeColor="accent6" w:sz="4" w:space="0"/>
        <w:right w:val="single" w:color="9D936F" w:themeColor="accent6" w:sz="4" w:space="0"/>
        <w:insideH w:val="single" w:color="FFFFFF" w:themeColor="background1" w:sz="4" w:space="0"/>
        <w:insideV w:val="single" w:color="FFFFFF" w:themeColor="background1" w:sz="4" w:space="0"/>
      </w:tblBorders>
    </w:tblPr>
    <w:tcPr>
      <w:shd w:val="clear" w:color="auto" w:fill="F5F4F0" w:themeFill="accent6" w:themeFillTint="19"/>
    </w:tcPr>
    <w:tblStylePr w:type="firstRow">
      <w:rPr>
        <w:b/>
        <w:bCs/>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rPr>
        <w:b/>
        <w:bCs/>
        <w:color w:themeColor="background1"/>
      </w:rPr>
      <w:tblPr/>
      <w:tcPr>
        <w:tcBorders>
          <w:top w:val="single" w:color="FFFFFF" w:themeColor="background1" w:sz="6" w:space="0"/>
        </w:tcBorders>
        <w:shd w:val="clear" w:color="auto" w:fill="5F5841" w:themeFill="accent6" w:themeFillShade="99"/>
      </w:tcPr>
    </w:tblStylePr>
    <w:tblStylePr w:type="firstCol">
      <w:rPr>
        <w:color w:themeColor="background1"/>
      </w:rPr>
      <w:tblPr/>
      <w:tcPr>
        <w:tcBorders>
          <w:top w:val="nil"/>
          <w:left w:val="nil"/>
          <w:bottom w:val="nil"/>
          <w:right w:val="nil"/>
          <w:insideH w:val="single" w:color="5F5841" w:themeColor="accent6" w:sz="4" w:space="0"/>
          <w:insideV w:val="nil"/>
        </w:tcBorders>
        <w:shd w:val="clear" w:color="auto" w:fill="5F5841" w:themeFill="accent6" w:themeFillShade="99"/>
      </w:tcPr>
    </w:tblStylePr>
    <w:tblStylePr w:type="lastCol">
      <w:rPr>
        <w:color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themeColor="text1"/>
      </w:rPr>
      <w:tblPr/>
    </w:tblStylePr>
    <w:tblStylePr w:type="nwCell">
      <w:rPr>
        <w:color w:themeColor="text1"/>
      </w:rPr>
      <w:tblPr/>
    </w:tblStylePr>
  </w:style>
  <w:style w:type="table" w:styleId="Tamsussraas">
    <w:name w:val="Dark List"/>
    <w:basedOn w:val="prastojilentel"/>
    <w:uiPriority w:val="70"/>
    <w:pPr>
      <w:spacing w:after="0" w:line="240" w:lineRule="auto"/>
    </w:pPr>
    <w:rPr>
      <w:color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sussraas1parykinimas">
    <w:name w:val="Dark List Accent 1"/>
    <w:basedOn w:val="prastojilentel"/>
    <w:uiPriority w:val="70"/>
    <w:pPr>
      <w:spacing w:after="0" w:line="240" w:lineRule="auto"/>
    </w:pPr>
    <w:rPr>
      <w:color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577188"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Tamsussraas2parykinimas">
    <w:name w:val="Dark List Accent 2"/>
    <w:basedOn w:val="prastojilentel"/>
    <w:uiPriority w:val="70"/>
    <w:pPr>
      <w:spacing w:after="0" w:line="240" w:lineRule="auto"/>
    </w:pPr>
    <w:rPr>
      <w:color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AA673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Tamsussraas3parykinimas">
    <w:name w:val="Dark List Accent 3"/>
    <w:basedOn w:val="prastojilentel"/>
    <w:uiPriority w:val="70"/>
    <w:pPr>
      <w:spacing w:after="0" w:line="240" w:lineRule="auto"/>
    </w:pPr>
    <w:rPr>
      <w:color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5B4F47"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Tamsussraas4parykinimas">
    <w:name w:val="Dark List Accent 4"/>
    <w:basedOn w:val="prastojilentel"/>
    <w:uiPriority w:val="70"/>
    <w:pPr>
      <w:spacing w:after="0" w:line="240" w:lineRule="auto"/>
    </w:pPr>
    <w:rPr>
      <w:color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8E6E49"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Tamsussraas5parykinimas">
    <w:name w:val="Dark List Accent 5"/>
    <w:basedOn w:val="prastojilentel"/>
    <w:uiPriority w:val="70"/>
    <w:pPr>
      <w:spacing w:after="0" w:line="240" w:lineRule="auto"/>
    </w:pPr>
    <w:rPr>
      <w:color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4D595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Tamsussraas6parykinimas">
    <w:name w:val="Dark List Accent 6"/>
    <w:basedOn w:val="prastojilentel"/>
    <w:uiPriority w:val="70"/>
    <w:pPr>
      <w:spacing w:after="0" w:line="240" w:lineRule="auto"/>
    </w:pPr>
    <w:rPr>
      <w:color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776E51"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table" w:styleId="viesustinklelis">
    <w:name w:val="Light Grid"/>
    <w:basedOn w:val="prastojilentel"/>
    <w:uiPriority w:val="62"/>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viesustinklelis1parykinimas">
    <w:name w:val="Light Grid Accent 1"/>
    <w:basedOn w:val="prastojilentel"/>
    <w:uiPriority w:val="62"/>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18" w:space="0"/>
          <w:right w:val="single" w:color="7E97AD" w:themeColor="accent1" w:sz="8" w:space="0"/>
          <w:insideH w:val="nil"/>
          <w:insideV w:val="single" w:color="7E97A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insideH w:val="nil"/>
          <w:insideV w:val="single" w:color="7E97AD" w:themeColor="accent1"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shd w:val="clear" w:color="auto" w:fill="DFE5EA" w:themeFill="accent1" w:themeFillTint="3f"/>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shd w:val="clear" w:color="auto" w:fill="DFE5EA" w:themeFill="accent1" w:themeFillTint="3f"/>
      </w:tcPr>
    </w:tblStylePr>
    <w:tblStylePr w:type="band2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insideV w:val="single" w:color="7E97AD" w:themeColor="accent1" w:sz="8" w:space="0"/>
        </w:tcBorders>
      </w:tcPr>
    </w:tblStylePr>
  </w:style>
  <w:style w:type="table" w:styleId="viesustinklelis2parykinimas">
    <w:name w:val="Light Grid Accent 2"/>
    <w:basedOn w:val="prastojilentel"/>
    <w:uiPriority w:val="62"/>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18" w:space="0"/>
          <w:right w:val="single" w:color="CC8E60" w:themeColor="accent2" w:sz="8" w:space="0"/>
          <w:insideH w:val="nil"/>
          <w:insideV w:val="single" w:color="CC8E6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insideH w:val="nil"/>
          <w:insideV w:val="single" w:color="CC8E60" w:themeColor="accent2"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shd w:val="clear" w:color="auto" w:fill="F2E2D7" w:themeFill="accent2" w:themeFillTint="3f"/>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shd w:val="clear" w:color="auto" w:fill="F2E2D7" w:themeFill="accent2" w:themeFillTint="3f"/>
      </w:tcPr>
    </w:tblStylePr>
    <w:tblStylePr w:type="band2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insideV w:val="single" w:color="CC8E60" w:themeColor="accent2" w:sz="8" w:space="0"/>
        </w:tcBorders>
      </w:tcPr>
    </w:tblStylePr>
  </w:style>
  <w:style w:type="table" w:styleId="viesustinklelis3parykinimas">
    <w:name w:val="Light Grid Accent 3"/>
    <w:basedOn w:val="prastojilentel"/>
    <w:uiPriority w:val="62"/>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18" w:space="0"/>
          <w:right w:val="single" w:color="7A6A60" w:themeColor="accent3" w:sz="8" w:space="0"/>
          <w:insideH w:val="nil"/>
          <w:insideV w:val="single" w:color="7A6A60"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insideH w:val="nil"/>
          <w:insideV w:val="single" w:color="7A6A60" w:themeColor="accent3"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shd w:val="clear" w:color="auto" w:fill="DFD9D6" w:themeFill="accent3" w:themeFillTint="3f"/>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shd w:val="clear" w:color="auto" w:fill="DFD9D6" w:themeFill="accent3" w:themeFillTint="3f"/>
      </w:tcPr>
    </w:tblStylePr>
    <w:tblStylePr w:type="band2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insideV w:val="single" w:color="7A6A60" w:themeColor="accent3" w:sz="8" w:space="0"/>
        </w:tcBorders>
      </w:tcPr>
    </w:tblStylePr>
  </w:style>
  <w:style w:type="table" w:styleId="viesustinklelis4parykinimas">
    <w:name w:val="Light Grid Accent 4"/>
    <w:basedOn w:val="prastojilentel"/>
    <w:uiPriority w:val="62"/>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18" w:space="0"/>
          <w:right w:val="single" w:color="B4936D" w:themeColor="accent4" w:sz="8" w:space="0"/>
          <w:insideH w:val="nil"/>
          <w:insideV w:val="single" w:color="B4936D"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insideH w:val="nil"/>
          <w:insideV w:val="single" w:color="B4936D" w:themeColor="accent4"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shd w:val="clear" w:color="auto" w:fill="ECE4DA" w:themeFill="accent4" w:themeFillTint="3f"/>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shd w:val="clear" w:color="auto" w:fill="ECE4DA" w:themeFill="accent4" w:themeFillTint="3f"/>
      </w:tcPr>
    </w:tblStylePr>
    <w:tblStylePr w:type="band2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insideV w:val="single" w:color="B4936D" w:themeColor="accent4" w:sz="8" w:space="0"/>
        </w:tcBorders>
      </w:tcPr>
    </w:tblStylePr>
  </w:style>
  <w:style w:type="table" w:styleId="viesustinklelis5parykinimas">
    <w:name w:val="Light Grid Accent 5"/>
    <w:basedOn w:val="prastojilentel"/>
    <w:uiPriority w:val="62"/>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18" w:space="0"/>
          <w:right w:val="single" w:color="67787B" w:themeColor="accent5" w:sz="8" w:space="0"/>
          <w:insideH w:val="nil"/>
          <w:insideV w:val="single" w:color="67787B"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insideH w:val="nil"/>
          <w:insideV w:val="single" w:color="67787B"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shd w:val="clear" w:color="auto" w:fill="D8DEDF" w:themeFill="accent5" w:themeFillTint="3f"/>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shd w:val="clear" w:color="auto" w:fill="D8DEDF" w:themeFill="accent5" w:themeFillTint="3f"/>
      </w:tcPr>
    </w:tblStylePr>
    <w:tblStylePr w:type="band2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insideV w:val="single" w:color="67787B" w:themeColor="accent5" w:sz="8" w:space="0"/>
        </w:tcBorders>
      </w:tcPr>
    </w:tblStylePr>
  </w:style>
  <w:style w:type="table" w:styleId="viesustinklelis6parykinimas">
    <w:name w:val="Light Grid Accent 6"/>
    <w:basedOn w:val="prastojilentel"/>
    <w:uiPriority w:val="62"/>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18" w:space="0"/>
          <w:right w:val="single" w:color="9D936F" w:themeColor="accent6" w:sz="8" w:space="0"/>
          <w:insideH w:val="nil"/>
          <w:insideV w:val="single" w:color="9D936F"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insideH w:val="nil"/>
          <w:insideV w:val="single" w:color="9D936F"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shd w:val="clear" w:color="auto" w:fill="E6E4DB" w:themeFill="accent6" w:themeFillTint="3f"/>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shd w:val="clear" w:color="auto" w:fill="E6E4DB" w:themeFill="accent6" w:themeFillTint="3f"/>
      </w:tcPr>
    </w:tblStylePr>
    <w:tblStylePr w:type="band2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insideV w:val="single" w:color="9D936F" w:themeColor="accent6" w:sz="8" w:space="0"/>
        </w:tcBorders>
      </w:tcPr>
    </w:tblStylePr>
  </w:style>
  <w:style w:type="table" w:styleId="viesussraas">
    <w:name w:val="Light List"/>
    <w:basedOn w:val="prastojilentel"/>
    <w:uiPriority w:val="61"/>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Pr/>
    </w:tblStylePr>
    <w:tblStylePr w:type="lastCol">
      <w:rPr>
        <w:b/>
        <w:bCs/>
      </w:rPr>
      <w:tbl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viesussraas1parykinimas">
    <w:name w:val="Light List Accent 1"/>
    <w:basedOn w:val="prastojilentel"/>
    <w:uiPriority w:val="61"/>
    <w:pPr>
      <w:spacing w:after="0" w:line="240" w:lineRule="auto"/>
    </w:p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pPr>
        <w:spacing w:before="0" w:after="0" w:line="240" w:lineRule="auto"/>
      </w:pPr>
      <w:rPr>
        <w:b/>
        <w:bCs/>
        <w:color w:themeColor="background1"/>
      </w:rPr>
      <w:tblPr/>
      <w:tcPr>
        <w:shd w:val="clear" w:color="auto" w:fill="7E97AD" w:themeFill="accent1"/>
      </w:tcPr>
    </w:tblStylePr>
    <w:tblStylePr w:type="lastRow">
      <w:pPr>
        <w:spacing w:before="0" w:after="0" w:line="240" w:lineRule="auto"/>
      </w:pPr>
      <w:rPr>
        <w:b/>
        <w:bCs/>
      </w:rPr>
      <w:tblPr/>
      <w:tcPr>
        <w:tcBorders>
          <w:top w:val="double" w:color="7E97AD" w:themeColor="accent1" w:sz="6" w:space="0"/>
          <w:left w:val="single" w:color="7E97AD" w:themeColor="accent1" w:sz="8" w:space="0"/>
          <w:bottom w:val="single" w:color="7E97AD" w:themeColor="accent1" w:sz="8" w:space="0"/>
          <w:right w:val="single" w:color="7E97AD" w:themeColor="accent1" w:sz="8" w:space="0"/>
        </w:tcBorders>
      </w:tcPr>
    </w:tblStylePr>
    <w:tblStylePr w:type="firstCol">
      <w:rPr>
        <w:b/>
        <w:bCs/>
      </w:rPr>
      <w:tblPr/>
    </w:tblStylePr>
    <w:tblStylePr w:type="lastCol">
      <w:rPr>
        <w:b/>
        <w:bCs/>
      </w:rPr>
      <w:tblPr/>
    </w:tblStylePr>
    <w:tblStylePr w:type="band1Vert">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tblStylePr w:type="band1Horz">
      <w:tblPr/>
      <w:tcPr>
        <w:tcBorders>
          <w:top w:val="single" w:color="7E97AD" w:themeColor="accent1" w:sz="8" w:space="0"/>
          <w:left w:val="single" w:color="7E97AD" w:themeColor="accent1" w:sz="8" w:space="0"/>
          <w:bottom w:val="single" w:color="7E97AD" w:themeColor="accent1" w:sz="8" w:space="0"/>
          <w:right w:val="single" w:color="7E97AD" w:themeColor="accent1" w:sz="8" w:space="0"/>
        </w:tcBorders>
      </w:tcPr>
    </w:tblStylePr>
  </w:style>
  <w:style w:type="table" w:styleId="viesussraas2parykinimas">
    <w:name w:val="Light List Accent 2"/>
    <w:basedOn w:val="prastojilentel"/>
    <w:uiPriority w:val="61"/>
    <w:pPr>
      <w:spacing w:after="0" w:line="240" w:lineRule="auto"/>
    </w:p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pPr>
        <w:spacing w:before="0" w:after="0" w:line="240" w:lineRule="auto"/>
      </w:pPr>
      <w:rPr>
        <w:b/>
        <w:bCs/>
        <w:color w:themeColor="background1"/>
      </w:rPr>
      <w:tblPr/>
      <w:tcPr>
        <w:shd w:val="clear" w:color="auto" w:fill="CC8E60" w:themeFill="accent2"/>
      </w:tcPr>
    </w:tblStylePr>
    <w:tblStylePr w:type="lastRow">
      <w:pPr>
        <w:spacing w:before="0" w:after="0" w:line="240" w:lineRule="auto"/>
      </w:pPr>
      <w:rPr>
        <w:b/>
        <w:bCs/>
      </w:rPr>
      <w:tblPr/>
      <w:tcPr>
        <w:tcBorders>
          <w:top w:val="double" w:color="CC8E60" w:themeColor="accent2" w:sz="6" w:space="0"/>
          <w:left w:val="single" w:color="CC8E60" w:themeColor="accent2" w:sz="8" w:space="0"/>
          <w:bottom w:val="single" w:color="CC8E60" w:themeColor="accent2" w:sz="8" w:space="0"/>
          <w:right w:val="single" w:color="CC8E60" w:themeColor="accent2" w:sz="8" w:space="0"/>
        </w:tcBorders>
      </w:tcPr>
    </w:tblStylePr>
    <w:tblStylePr w:type="firstCol">
      <w:rPr>
        <w:b/>
        <w:bCs/>
      </w:rPr>
      <w:tblPr/>
    </w:tblStylePr>
    <w:tblStylePr w:type="lastCol">
      <w:rPr>
        <w:b/>
        <w:bCs/>
      </w:rPr>
      <w:tblPr/>
    </w:tblStylePr>
    <w:tblStylePr w:type="band1Vert">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tblStylePr w:type="band1Horz">
      <w:tblPr/>
      <w:tcPr>
        <w:tcBorders>
          <w:top w:val="single" w:color="CC8E60" w:themeColor="accent2" w:sz="8" w:space="0"/>
          <w:left w:val="single" w:color="CC8E60" w:themeColor="accent2" w:sz="8" w:space="0"/>
          <w:bottom w:val="single" w:color="CC8E60" w:themeColor="accent2" w:sz="8" w:space="0"/>
          <w:right w:val="single" w:color="CC8E60" w:themeColor="accent2" w:sz="8" w:space="0"/>
        </w:tcBorders>
      </w:tcPr>
    </w:tblStylePr>
  </w:style>
  <w:style w:type="table" w:styleId="viesussraas3parykinimas">
    <w:name w:val="Light List Accent 3"/>
    <w:basedOn w:val="prastojilentel"/>
    <w:uiPriority w:val="61"/>
    <w:pPr>
      <w:spacing w:after="0" w:line="240" w:lineRule="auto"/>
    </w:p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pPr>
        <w:spacing w:before="0" w:after="0" w:line="240" w:lineRule="auto"/>
      </w:pPr>
      <w:rPr>
        <w:b/>
        <w:bCs/>
        <w:color w:themeColor="background1"/>
      </w:rPr>
      <w:tblPr/>
      <w:tcPr>
        <w:shd w:val="clear" w:color="auto" w:fill="7A6A60" w:themeFill="accent3"/>
      </w:tcPr>
    </w:tblStylePr>
    <w:tblStylePr w:type="lastRow">
      <w:pPr>
        <w:spacing w:before="0" w:after="0" w:line="240" w:lineRule="auto"/>
      </w:pPr>
      <w:rPr>
        <w:b/>
        <w:bCs/>
      </w:rPr>
      <w:tblPr/>
      <w:tcPr>
        <w:tcBorders>
          <w:top w:val="double" w:color="7A6A60" w:themeColor="accent3" w:sz="6" w:space="0"/>
          <w:left w:val="single" w:color="7A6A60" w:themeColor="accent3" w:sz="8" w:space="0"/>
          <w:bottom w:val="single" w:color="7A6A60" w:themeColor="accent3" w:sz="8" w:space="0"/>
          <w:right w:val="single" w:color="7A6A60" w:themeColor="accent3" w:sz="8" w:space="0"/>
        </w:tcBorders>
      </w:tcPr>
    </w:tblStylePr>
    <w:tblStylePr w:type="firstCol">
      <w:rPr>
        <w:b/>
        <w:bCs/>
      </w:rPr>
      <w:tblPr/>
    </w:tblStylePr>
    <w:tblStylePr w:type="lastCol">
      <w:rPr>
        <w:b/>
        <w:bCs/>
      </w:rPr>
      <w:tblPr/>
    </w:tblStylePr>
    <w:tblStylePr w:type="band1Vert">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tblStylePr w:type="band1Horz">
      <w:tblPr/>
      <w:tcPr>
        <w:tcBorders>
          <w:top w:val="single" w:color="7A6A60" w:themeColor="accent3" w:sz="8" w:space="0"/>
          <w:left w:val="single" w:color="7A6A60" w:themeColor="accent3" w:sz="8" w:space="0"/>
          <w:bottom w:val="single" w:color="7A6A60" w:themeColor="accent3" w:sz="8" w:space="0"/>
          <w:right w:val="single" w:color="7A6A60" w:themeColor="accent3" w:sz="8" w:space="0"/>
        </w:tcBorders>
      </w:tcPr>
    </w:tblStylePr>
  </w:style>
  <w:style w:type="table" w:styleId="viesussraas4parykinimas">
    <w:name w:val="Light List Accent 4"/>
    <w:basedOn w:val="prastojilentel"/>
    <w:uiPriority w:val="61"/>
    <w:pPr>
      <w:spacing w:after="0" w:line="240" w:lineRule="auto"/>
    </w:p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pPr>
        <w:spacing w:before="0" w:after="0" w:line="240" w:lineRule="auto"/>
      </w:pPr>
      <w:rPr>
        <w:b/>
        <w:bCs/>
        <w:color w:themeColor="background1"/>
      </w:rPr>
      <w:tblPr/>
      <w:tcPr>
        <w:shd w:val="clear" w:color="auto" w:fill="B4936D" w:themeFill="accent4"/>
      </w:tcPr>
    </w:tblStylePr>
    <w:tblStylePr w:type="lastRow">
      <w:pPr>
        <w:spacing w:before="0" w:after="0" w:line="240" w:lineRule="auto"/>
      </w:pPr>
      <w:rPr>
        <w:b/>
        <w:bCs/>
      </w:rPr>
      <w:tblPr/>
      <w:tcPr>
        <w:tcBorders>
          <w:top w:val="double" w:color="B4936D" w:themeColor="accent4" w:sz="6" w:space="0"/>
          <w:left w:val="single" w:color="B4936D" w:themeColor="accent4" w:sz="8" w:space="0"/>
          <w:bottom w:val="single" w:color="B4936D" w:themeColor="accent4" w:sz="8" w:space="0"/>
          <w:right w:val="single" w:color="B4936D" w:themeColor="accent4" w:sz="8" w:space="0"/>
        </w:tcBorders>
      </w:tcPr>
    </w:tblStylePr>
    <w:tblStylePr w:type="firstCol">
      <w:rPr>
        <w:b/>
        <w:bCs/>
      </w:rPr>
      <w:tblPr/>
    </w:tblStylePr>
    <w:tblStylePr w:type="lastCol">
      <w:rPr>
        <w:b/>
        <w:bCs/>
      </w:rPr>
      <w:tblPr/>
    </w:tblStylePr>
    <w:tblStylePr w:type="band1Vert">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tblStylePr w:type="band1Horz">
      <w:tblPr/>
      <w:tcPr>
        <w:tcBorders>
          <w:top w:val="single" w:color="B4936D" w:themeColor="accent4" w:sz="8" w:space="0"/>
          <w:left w:val="single" w:color="B4936D" w:themeColor="accent4" w:sz="8" w:space="0"/>
          <w:bottom w:val="single" w:color="B4936D" w:themeColor="accent4" w:sz="8" w:space="0"/>
          <w:right w:val="single" w:color="B4936D" w:themeColor="accent4" w:sz="8" w:space="0"/>
        </w:tcBorders>
      </w:tcPr>
    </w:tblStylePr>
  </w:style>
  <w:style w:type="table" w:styleId="viesussraas5parykinimas">
    <w:name w:val="Light List Accent 5"/>
    <w:basedOn w:val="prastojilentel"/>
    <w:uiPriority w:val="61"/>
    <w:pPr>
      <w:spacing w:after="0" w:line="240" w:lineRule="auto"/>
    </w:p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pPr>
        <w:spacing w:before="0" w:after="0" w:line="240" w:lineRule="auto"/>
      </w:pPr>
      <w:rPr>
        <w:b/>
        <w:bCs/>
        <w:color w:themeColor="background1"/>
      </w:rPr>
      <w:tblPr/>
      <w:tcPr>
        <w:shd w:val="clear" w:color="auto" w:fill="67787B" w:themeFill="accent5"/>
      </w:tcPr>
    </w:tblStylePr>
    <w:tblStylePr w:type="lastRow">
      <w:pPr>
        <w:spacing w:before="0" w:after="0" w:line="240" w:lineRule="auto"/>
      </w:pPr>
      <w:rPr>
        <w:b/>
        <w:bCs/>
      </w:rPr>
      <w:tblPr/>
      <w:tcPr>
        <w:tcBorders>
          <w:top w:val="double" w:color="67787B" w:themeColor="accent5" w:sz="6" w:space="0"/>
          <w:left w:val="single" w:color="67787B" w:themeColor="accent5" w:sz="8" w:space="0"/>
          <w:bottom w:val="single" w:color="67787B" w:themeColor="accent5" w:sz="8" w:space="0"/>
          <w:right w:val="single" w:color="67787B" w:themeColor="accent5" w:sz="8" w:space="0"/>
        </w:tcBorders>
      </w:tcPr>
    </w:tblStylePr>
    <w:tblStylePr w:type="firstCol">
      <w:rPr>
        <w:b/>
        <w:bCs/>
      </w:rPr>
      <w:tblPr/>
    </w:tblStylePr>
    <w:tblStylePr w:type="lastCol">
      <w:rPr>
        <w:b/>
        <w:bCs/>
      </w:rPr>
      <w:tblPr/>
    </w:tblStylePr>
    <w:tblStylePr w:type="band1Vert">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tblStylePr w:type="band1Horz">
      <w:tblPr/>
      <w:tcPr>
        <w:tcBorders>
          <w:top w:val="single" w:color="67787B" w:themeColor="accent5" w:sz="8" w:space="0"/>
          <w:left w:val="single" w:color="67787B" w:themeColor="accent5" w:sz="8" w:space="0"/>
          <w:bottom w:val="single" w:color="67787B" w:themeColor="accent5" w:sz="8" w:space="0"/>
          <w:right w:val="single" w:color="67787B" w:themeColor="accent5" w:sz="8" w:space="0"/>
        </w:tcBorders>
      </w:tcPr>
    </w:tblStylePr>
  </w:style>
  <w:style w:type="table" w:styleId="viesussraas6parykinimas">
    <w:name w:val="Light List Accent 6"/>
    <w:basedOn w:val="prastojilentel"/>
    <w:uiPriority w:val="61"/>
    <w:pPr>
      <w:spacing w:after="0" w:line="240" w:lineRule="auto"/>
    </w:p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pPr>
        <w:spacing w:before="0" w:after="0" w:line="240" w:lineRule="auto"/>
      </w:pPr>
      <w:rPr>
        <w:b/>
        <w:bCs/>
        <w:color w:themeColor="background1"/>
      </w:rPr>
      <w:tblPr/>
      <w:tcPr>
        <w:shd w:val="clear" w:color="auto" w:fill="9D936F" w:themeFill="accent6"/>
      </w:tcPr>
    </w:tblStylePr>
    <w:tblStylePr w:type="lastRow">
      <w:pPr>
        <w:spacing w:before="0" w:after="0" w:line="240" w:lineRule="auto"/>
      </w:pPr>
      <w:rPr>
        <w:b/>
        <w:bCs/>
      </w:rPr>
      <w:tblPr/>
      <w:tcPr>
        <w:tcBorders>
          <w:top w:val="double" w:color="9D936F" w:themeColor="accent6" w:sz="6" w:space="0"/>
          <w:left w:val="single" w:color="9D936F" w:themeColor="accent6" w:sz="8" w:space="0"/>
          <w:bottom w:val="single" w:color="9D936F" w:themeColor="accent6" w:sz="8" w:space="0"/>
          <w:right w:val="single" w:color="9D936F" w:themeColor="accent6" w:sz="8" w:space="0"/>
        </w:tcBorders>
      </w:tcPr>
    </w:tblStylePr>
    <w:tblStylePr w:type="firstCol">
      <w:rPr>
        <w:b/>
        <w:bCs/>
      </w:rPr>
      <w:tblPr/>
    </w:tblStylePr>
    <w:tblStylePr w:type="lastCol">
      <w:rPr>
        <w:b/>
        <w:bCs/>
      </w:rPr>
      <w:tblPr/>
    </w:tblStylePr>
    <w:tblStylePr w:type="band1Vert">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tblStylePr w:type="band1Horz">
      <w:tblPr/>
      <w:tcPr>
        <w:tcBorders>
          <w:top w:val="single" w:color="9D936F" w:themeColor="accent6" w:sz="8" w:space="0"/>
          <w:left w:val="single" w:color="9D936F" w:themeColor="accent6" w:sz="8" w:space="0"/>
          <w:bottom w:val="single" w:color="9D936F" w:themeColor="accent6" w:sz="8" w:space="0"/>
          <w:right w:val="single" w:color="9D936F" w:themeColor="accent6" w:sz="8" w:space="0"/>
        </w:tcBorders>
      </w:tcPr>
    </w:tblStylePr>
  </w:style>
  <w:style w:type="table" w:styleId="viesusisspalvinimas">
    <w:name w:val="Light Shading"/>
    <w:basedOn w:val="prastojilentel"/>
    <w:uiPriority w:val="60"/>
    <w:pPr>
      <w:spacing w:after="0" w:line="240" w:lineRule="auto"/>
    </w:pPr>
    <w:rPr>
      <w:color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palvinimas1parykinimas">
    <w:name w:val="Light Shading Accent 1"/>
    <w:basedOn w:val="prastojilentel"/>
    <w:uiPriority w:val="60"/>
    <w:pPr>
      <w:spacing w:after="0" w:line="240" w:lineRule="auto"/>
    </w:pPr>
    <w:rPr>
      <w:color w:themeColor="accent1" w:themeShade="bf"/>
    </w:rPr>
    <w:tblPr>
      <w:tblStyleRowBandSize w:val="1"/>
      <w:tblStyleColBandSize w:val="1"/>
      <w:tblBorders>
        <w:top w:val="single" w:color="7E97AD" w:themeColor="accent1" w:sz="8" w:space="0"/>
        <w:bottom w:val="single" w:color="7E97AD" w:themeColor="accent1" w:sz="8" w:space="0"/>
      </w:tblBorders>
    </w:tblPr>
    <w:tblStylePr w:type="fir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lastRow">
      <w:pPr>
        <w:spacing w:before="0" w:after="0" w:line="240" w:lineRule="auto"/>
      </w:pPr>
      <w:rPr>
        <w:b/>
        <w:bCs/>
      </w:rPr>
      <w:tblPr/>
      <w:tcPr>
        <w:tcBorders>
          <w:top w:val="single" w:color="7E97AD" w:themeColor="accent1" w:sz="8" w:space="0"/>
          <w:left w:val="nil"/>
          <w:bottom w:val="single" w:color="7E97AD"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viesusspalvinimas2parykinimas">
    <w:name w:val="Light Shading Accent 2"/>
    <w:basedOn w:val="prastojilentel"/>
    <w:uiPriority w:val="60"/>
    <w:pPr>
      <w:spacing w:after="0" w:line="240" w:lineRule="auto"/>
    </w:pPr>
    <w:rPr>
      <w:color w:themeColor="accent2" w:themeShade="bf"/>
    </w:rPr>
    <w:tblPr>
      <w:tblStyleRowBandSize w:val="1"/>
      <w:tblStyleColBandSize w:val="1"/>
      <w:tblBorders>
        <w:top w:val="single" w:color="CC8E60" w:themeColor="accent2" w:sz="8" w:space="0"/>
        <w:bottom w:val="single" w:color="CC8E60" w:themeColor="accent2" w:sz="8" w:space="0"/>
      </w:tblBorders>
    </w:tblPr>
    <w:tblStylePr w:type="fir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lastRow">
      <w:pPr>
        <w:spacing w:before="0" w:after="0" w:line="240" w:lineRule="auto"/>
      </w:pPr>
      <w:rPr>
        <w:b/>
        <w:bCs/>
      </w:rPr>
      <w:tblPr/>
      <w:tcPr>
        <w:tcBorders>
          <w:top w:val="single" w:color="CC8E60" w:themeColor="accent2" w:sz="8" w:space="0"/>
          <w:left w:val="nil"/>
          <w:bottom w:val="single" w:color="CC8E60"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viesusspalvinimas3parykinimas">
    <w:name w:val="Light Shading Accent 3"/>
    <w:basedOn w:val="prastojilentel"/>
    <w:uiPriority w:val="60"/>
    <w:pPr>
      <w:spacing w:after="0" w:line="240" w:lineRule="auto"/>
    </w:pPr>
    <w:rPr>
      <w:color w:themeColor="accent3" w:themeShade="bf"/>
    </w:rPr>
    <w:tblPr>
      <w:tblStyleRowBandSize w:val="1"/>
      <w:tblStyleColBandSize w:val="1"/>
      <w:tblBorders>
        <w:top w:val="single" w:color="7A6A60" w:themeColor="accent3" w:sz="8" w:space="0"/>
        <w:bottom w:val="single" w:color="7A6A60" w:themeColor="accent3" w:sz="8" w:space="0"/>
      </w:tblBorders>
    </w:tblPr>
    <w:tblStylePr w:type="fir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lastRow">
      <w:pPr>
        <w:spacing w:before="0" w:after="0" w:line="240" w:lineRule="auto"/>
      </w:pPr>
      <w:rPr>
        <w:b/>
        <w:bCs/>
      </w:rPr>
      <w:tblPr/>
      <w:tcPr>
        <w:tcBorders>
          <w:top w:val="single" w:color="7A6A60" w:themeColor="accent3" w:sz="8" w:space="0"/>
          <w:left w:val="nil"/>
          <w:bottom w:val="single" w:color="7A6A60" w:themeColor="accent3"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viesusspalvinimas4parykinimas">
    <w:name w:val="Light Shading Accent 4"/>
    <w:basedOn w:val="prastojilentel"/>
    <w:uiPriority w:val="60"/>
    <w:pPr>
      <w:spacing w:after="0" w:line="240" w:lineRule="auto"/>
    </w:pPr>
    <w:rPr>
      <w:color w:themeColor="accent4" w:themeShade="bf"/>
    </w:rPr>
    <w:tblPr>
      <w:tblStyleRowBandSize w:val="1"/>
      <w:tblStyleColBandSize w:val="1"/>
      <w:tblBorders>
        <w:top w:val="single" w:color="B4936D" w:themeColor="accent4" w:sz="8" w:space="0"/>
        <w:bottom w:val="single" w:color="B4936D" w:themeColor="accent4" w:sz="8" w:space="0"/>
      </w:tblBorders>
    </w:tblPr>
    <w:tblStylePr w:type="fir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lastRow">
      <w:pPr>
        <w:spacing w:before="0" w:after="0" w:line="240" w:lineRule="auto"/>
      </w:pPr>
      <w:rPr>
        <w:b/>
        <w:bCs/>
      </w:rPr>
      <w:tblPr/>
      <w:tcPr>
        <w:tcBorders>
          <w:top w:val="single" w:color="B4936D" w:themeColor="accent4" w:sz="8" w:space="0"/>
          <w:left w:val="nil"/>
          <w:bottom w:val="single" w:color="B4936D"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viesusspalvinimas5parykinimas">
    <w:name w:val="Light Shading Accent 5"/>
    <w:basedOn w:val="prastojilentel"/>
    <w:uiPriority w:val="60"/>
    <w:pPr>
      <w:spacing w:after="0" w:line="240" w:lineRule="auto"/>
    </w:pPr>
    <w:rPr>
      <w:color w:themeColor="accent5" w:themeShade="bf"/>
    </w:rPr>
    <w:tblPr>
      <w:tblStyleRowBandSize w:val="1"/>
      <w:tblStyleColBandSize w:val="1"/>
      <w:tblBorders>
        <w:top w:val="single" w:color="67787B" w:themeColor="accent5" w:sz="8" w:space="0"/>
        <w:bottom w:val="single" w:color="67787B" w:themeColor="accent5" w:sz="8" w:space="0"/>
      </w:tblBorders>
    </w:tblPr>
    <w:tblStylePr w:type="fir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lastRow">
      <w:pPr>
        <w:spacing w:before="0" w:after="0" w:line="240" w:lineRule="auto"/>
      </w:pPr>
      <w:rPr>
        <w:b/>
        <w:bCs/>
      </w:rPr>
      <w:tblPr/>
      <w:tcPr>
        <w:tcBorders>
          <w:top w:val="single" w:color="67787B" w:themeColor="accent5" w:sz="8" w:space="0"/>
          <w:left w:val="nil"/>
          <w:bottom w:val="single" w:color="67787B"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viesusspalvinimas6parykinimas">
    <w:name w:val="Light Shading Accent 6"/>
    <w:basedOn w:val="prastojilentel"/>
    <w:uiPriority w:val="60"/>
    <w:pPr>
      <w:spacing w:after="0" w:line="240" w:lineRule="auto"/>
    </w:pPr>
    <w:rPr>
      <w:color w:themeColor="accent6" w:themeShade="bf"/>
    </w:rPr>
    <w:tblPr>
      <w:tblStyleRowBandSize w:val="1"/>
      <w:tblStyleColBandSize w:val="1"/>
      <w:tblBorders>
        <w:top w:val="single" w:color="9D936F" w:themeColor="accent6" w:sz="8" w:space="0"/>
        <w:bottom w:val="single" w:color="9D936F" w:themeColor="accent6" w:sz="8" w:space="0"/>
      </w:tblBorders>
    </w:tblPr>
    <w:tblStylePr w:type="fir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lastRow">
      <w:pPr>
        <w:spacing w:before="0" w:after="0" w:line="240" w:lineRule="auto"/>
      </w:pPr>
      <w:rPr>
        <w:b/>
        <w:bCs/>
      </w:rPr>
      <w:tblPr/>
      <w:tcPr>
        <w:tcBorders>
          <w:top w:val="single" w:color="9D936F" w:themeColor="accent6" w:sz="8" w:space="0"/>
          <w:left w:val="nil"/>
          <w:bottom w:val="single" w:color="9D936F" w:themeColor="accent6"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table" w:styleId="1vidutinistinklelis">
    <w:name w:val="Medium Grid 1"/>
    <w:basedOn w:val="prastojilentel"/>
    <w:uiPriority w:val="6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Pr/>
    </w:tblStylePr>
    <w:tblStylePr w:type="lastRow">
      <w:rPr>
        <w:b/>
        <w:bCs/>
      </w:rPr>
      <w:tblPr/>
      <w:tcPr>
        <w:tcBorders>
          <w:top w:val="single" w:color="404040" w:themeColor="text1" w:sz="18" w:space="0"/>
        </w:tcBorders>
      </w:tcPr>
    </w:tblStylePr>
    <w:tblStylePr w:type="firstCol">
      <w:rPr>
        <w:b/>
        <w:bCs/>
      </w:rPr>
      <w:tblPr/>
    </w:tblStylePr>
    <w:tblStylePr w:type="lastCol">
      <w:rPr>
        <w:b/>
        <w:bCs/>
      </w:rPr>
      <w:tbl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vidutinistinklelis1parykinimas">
    <w:name w:val="Medium Grid 1 Accent 1"/>
    <w:basedOn w:val="prastojilentel"/>
    <w:uiPriority w:val="67"/>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insideV w:val="single" w:color="9EB0C1" w:themeColor="accent1" w:themeTint="bf" w:sz="8" w:space="0"/>
      </w:tblBorders>
    </w:tblPr>
    <w:tcPr>
      <w:shd w:val="clear" w:color="auto" w:fill="DFE5EA" w:themeFill="accent1" w:themeFillTint="3f"/>
    </w:tcPr>
    <w:tblStylePr w:type="firstRow">
      <w:rPr>
        <w:b/>
        <w:bCs/>
      </w:rPr>
      <w:tblPr/>
    </w:tblStylePr>
    <w:tblStylePr w:type="lastRow">
      <w:rPr>
        <w:b/>
        <w:bCs/>
      </w:rPr>
      <w:tblPr/>
      <w:tcPr>
        <w:tcBorders>
          <w:top w:val="single" w:color="9EB0C1" w:themeColor="accent1" w:sz="18" w:space="0"/>
        </w:tcBorders>
      </w:tcPr>
    </w:tblStylePr>
    <w:tblStylePr w:type="firstCol">
      <w:rPr>
        <w:b/>
        <w:bCs/>
      </w:rPr>
      <w:tblPr/>
    </w:tblStylePr>
    <w:tblStylePr w:type="lastCol">
      <w:rPr>
        <w:b/>
        <w:bCs/>
      </w:rPr>
      <w:tbl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1vidutinistinklelis2parykinimas">
    <w:name w:val="Medium Grid 1 Accent 2"/>
    <w:basedOn w:val="prastojilentel"/>
    <w:uiPriority w:val="67"/>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insideV w:val="single" w:color="D8AA87" w:themeColor="accent2" w:themeTint="bf" w:sz="8" w:space="0"/>
      </w:tblBorders>
    </w:tblPr>
    <w:tcPr>
      <w:shd w:val="clear" w:color="auto" w:fill="F2E2D7" w:themeFill="accent2" w:themeFillTint="3f"/>
    </w:tcPr>
    <w:tblStylePr w:type="firstRow">
      <w:rPr>
        <w:b/>
        <w:bCs/>
      </w:rPr>
      <w:tblPr/>
    </w:tblStylePr>
    <w:tblStylePr w:type="lastRow">
      <w:rPr>
        <w:b/>
        <w:bCs/>
      </w:rPr>
      <w:tblPr/>
      <w:tcPr>
        <w:tcBorders>
          <w:top w:val="single" w:color="D8AA87" w:themeColor="accent2" w:sz="18" w:space="0"/>
        </w:tcBorders>
      </w:tcPr>
    </w:tblStylePr>
    <w:tblStylePr w:type="firstCol">
      <w:rPr>
        <w:b/>
        <w:bCs/>
      </w:rPr>
      <w:tblPr/>
    </w:tblStylePr>
    <w:tblStylePr w:type="lastCol">
      <w:rPr>
        <w:b/>
        <w:bCs/>
      </w:rPr>
      <w:tbl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1vidutinistinklelis3parykinimas">
    <w:name w:val="Medium Grid 1 Accent 3"/>
    <w:basedOn w:val="prastojilentel"/>
    <w:uiPriority w:val="67"/>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insideV w:val="single" w:color="9E8E84" w:themeColor="accent3" w:themeTint="bf" w:sz="8" w:space="0"/>
      </w:tblBorders>
    </w:tblPr>
    <w:tcPr>
      <w:shd w:val="clear" w:color="auto" w:fill="DFD9D6" w:themeFill="accent3" w:themeFillTint="3f"/>
    </w:tcPr>
    <w:tblStylePr w:type="firstRow">
      <w:rPr>
        <w:b/>
        <w:bCs/>
      </w:rPr>
      <w:tblPr/>
    </w:tblStylePr>
    <w:tblStylePr w:type="lastRow">
      <w:rPr>
        <w:b/>
        <w:bCs/>
      </w:rPr>
      <w:tblPr/>
      <w:tcPr>
        <w:tcBorders>
          <w:top w:val="single" w:color="9E8E84" w:themeColor="accent3" w:sz="18" w:space="0"/>
        </w:tcBorders>
      </w:tcPr>
    </w:tblStylePr>
    <w:tblStylePr w:type="firstCol">
      <w:rPr>
        <w:b/>
        <w:bCs/>
      </w:rPr>
      <w:tblPr/>
    </w:tblStylePr>
    <w:tblStylePr w:type="lastCol">
      <w:rPr>
        <w:b/>
        <w:bCs/>
      </w:rPr>
      <w:tbl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1vidutinistinklelis4parykinimas">
    <w:name w:val="Medium Grid 1 Accent 4"/>
    <w:basedOn w:val="prastojilentel"/>
    <w:uiPriority w:val="67"/>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insideV w:val="single" w:color="C6AD91" w:themeColor="accent4" w:themeTint="bf" w:sz="8" w:space="0"/>
      </w:tblBorders>
    </w:tblPr>
    <w:tcPr>
      <w:shd w:val="clear" w:color="auto" w:fill="ECE4DA" w:themeFill="accent4" w:themeFillTint="3f"/>
    </w:tcPr>
    <w:tblStylePr w:type="firstRow">
      <w:rPr>
        <w:b/>
        <w:bCs/>
      </w:rPr>
      <w:tblPr/>
    </w:tblStylePr>
    <w:tblStylePr w:type="lastRow">
      <w:rPr>
        <w:b/>
        <w:bCs/>
      </w:rPr>
      <w:tblPr/>
      <w:tcPr>
        <w:tcBorders>
          <w:top w:val="single" w:color="C6AD91" w:themeColor="accent4" w:sz="18" w:space="0"/>
        </w:tcBorders>
      </w:tcPr>
    </w:tblStylePr>
    <w:tblStylePr w:type="firstCol">
      <w:rPr>
        <w:b/>
        <w:bCs/>
      </w:rPr>
      <w:tblPr/>
    </w:tblStylePr>
    <w:tblStylePr w:type="lastCol">
      <w:rPr>
        <w:b/>
        <w:bCs/>
      </w:rPr>
      <w:tbl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1vidutinistinklelis5parykinimas">
    <w:name w:val="Medium Grid 1 Accent 5"/>
    <w:basedOn w:val="prastojilentel"/>
    <w:uiPriority w:val="67"/>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insideV w:val="single" w:color="8B9B9E" w:themeColor="accent5" w:themeTint="bf" w:sz="8" w:space="0"/>
      </w:tblBorders>
    </w:tblPr>
    <w:tcPr>
      <w:shd w:val="clear" w:color="auto" w:fill="D8DEDF" w:themeFill="accent5" w:themeFillTint="3f"/>
    </w:tcPr>
    <w:tblStylePr w:type="firstRow">
      <w:rPr>
        <w:b/>
        <w:bCs/>
      </w:rPr>
      <w:tblPr/>
    </w:tblStylePr>
    <w:tblStylePr w:type="lastRow">
      <w:rPr>
        <w:b/>
        <w:bCs/>
      </w:rPr>
      <w:tblPr/>
      <w:tcPr>
        <w:tcBorders>
          <w:top w:val="single" w:color="8B9B9E" w:themeColor="accent5" w:sz="18" w:space="0"/>
        </w:tcBorders>
      </w:tcPr>
    </w:tblStylePr>
    <w:tblStylePr w:type="firstCol">
      <w:rPr>
        <w:b/>
        <w:bCs/>
      </w:rPr>
      <w:tblPr/>
    </w:tblStylePr>
    <w:tblStylePr w:type="lastCol">
      <w:rPr>
        <w:b/>
        <w:bCs/>
      </w:rPr>
      <w:tbl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1vidutinistinklelis6parykinimas">
    <w:name w:val="Medium Grid 1 Accent 6"/>
    <w:basedOn w:val="prastojilentel"/>
    <w:uiPriority w:val="67"/>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insideV w:val="single" w:color="B5AE93" w:themeColor="accent6" w:themeTint="bf" w:sz="8" w:space="0"/>
      </w:tblBorders>
    </w:tblPr>
    <w:tcPr>
      <w:shd w:val="clear" w:color="auto" w:fill="E6E4DB" w:themeFill="accent6" w:themeFillTint="3f"/>
    </w:tcPr>
    <w:tblStylePr w:type="firstRow">
      <w:rPr>
        <w:b/>
        <w:bCs/>
      </w:rPr>
      <w:tblPr/>
    </w:tblStylePr>
    <w:tblStylePr w:type="lastRow">
      <w:rPr>
        <w:b/>
        <w:bCs/>
      </w:rPr>
      <w:tblPr/>
      <w:tcPr>
        <w:tcBorders>
          <w:top w:val="single" w:color="B5AE93" w:themeColor="accent6" w:sz="18" w:space="0"/>
        </w:tcBorders>
      </w:tcPr>
    </w:tblStylePr>
    <w:tblStylePr w:type="firstCol">
      <w:rPr>
        <w:b/>
        <w:bCs/>
      </w:rPr>
      <w:tblPr/>
    </w:tblStylePr>
    <w:tblStylePr w:type="lastCol">
      <w:rPr>
        <w:b/>
        <w:bCs/>
      </w:rPr>
      <w:tbl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2vidutinistinklelis">
    <w:name w:val="Medium Grid 2"/>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themeColor="text1"/>
      </w:rPr>
      <w:tblPr/>
      <w:tcPr>
        <w:shd w:val="clear" w:color="auto" w:fill="E6E6E6" w:themeFill="tex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vidutinistinklelis1parykinimas">
    <w:name w:val="Medium Grid 2 Accent 1"/>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insideH w:val="single" w:color="7E97AD" w:themeColor="accent1" w:sz="8" w:space="0"/>
        <w:insideV w:val="single" w:color="7E97AD" w:themeColor="accent1" w:sz="8" w:space="0"/>
      </w:tblBorders>
    </w:tblPr>
    <w:tcPr>
      <w:shd w:val="clear" w:color="auto" w:fill="DFE5EA" w:themeFill="accent1" w:themeFillTint="3f"/>
    </w:tcPr>
    <w:tblStylePr w:type="firstRow">
      <w:rPr>
        <w:b/>
        <w:bCs/>
        <w:color w:themeColor="text1"/>
      </w:rPr>
      <w:tblPr/>
      <w:tcPr>
        <w:shd w:val="clear" w:color="auto" w:fill="F2F4F6" w:themeFill="accent1"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color="7E97AD" w:themeColor="accent1" w:sz="6" w:space="0"/>
          <w:insideV w:val="single" w:color="7E97AD" w:themeColor="accent1" w:sz="6" w:space="0"/>
        </w:tcBorders>
        <w:shd w:val="clear" w:color="auto" w:fill="BECBD6" w:themeFill="accent1" w:themeFillTint="7f"/>
      </w:tcPr>
    </w:tblStylePr>
    <w:tblStylePr w:type="nwCell">
      <w:tblPr/>
      <w:tcPr>
        <w:shd w:val="clear" w:color="auto" w:fill="FFFFFF" w:themeFill="background1"/>
      </w:tcPr>
    </w:tblStylePr>
  </w:style>
  <w:style w:type="table" w:styleId="2vidutinistinklelis2parykinimas">
    <w:name w:val="Medium Grid 2 Accent 2"/>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insideH w:val="single" w:color="CC8E60" w:themeColor="accent2" w:sz="8" w:space="0"/>
        <w:insideV w:val="single" w:color="CC8E60" w:themeColor="accent2" w:sz="8" w:space="0"/>
      </w:tblBorders>
    </w:tblPr>
    <w:tcPr>
      <w:shd w:val="clear" w:color="auto" w:fill="F2E2D7" w:themeFill="accent2" w:themeFillTint="3f"/>
    </w:tcPr>
    <w:tblStylePr w:type="firstRow">
      <w:rPr>
        <w:b/>
        <w:bCs/>
        <w:color w:themeColor="text1"/>
      </w:rPr>
      <w:tblPr/>
      <w:tcPr>
        <w:shd w:val="clear" w:color="auto" w:fill="FAF3EF" w:themeFill="accent2"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color="CC8E60" w:themeColor="accent2" w:sz="6" w:space="0"/>
          <w:insideV w:val="single" w:color="CC8E60" w:themeColor="accent2" w:sz="6" w:space="0"/>
        </w:tcBorders>
        <w:shd w:val="clear" w:color="auto" w:fill="E5C6AF" w:themeFill="accent2" w:themeFillTint="7f"/>
      </w:tcPr>
    </w:tblStylePr>
    <w:tblStylePr w:type="nwCell">
      <w:tblPr/>
      <w:tcPr>
        <w:shd w:val="clear" w:color="auto" w:fill="FFFFFF" w:themeFill="background1"/>
      </w:tcPr>
    </w:tblStylePr>
  </w:style>
  <w:style w:type="table" w:styleId="2vidutinistinklelis3parykinimas">
    <w:name w:val="Medium Grid 2 Accent 3"/>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insideH w:val="single" w:color="7A6A60" w:themeColor="accent3" w:sz="8" w:space="0"/>
        <w:insideV w:val="single" w:color="7A6A60" w:themeColor="accent3" w:sz="8" w:space="0"/>
      </w:tblBorders>
    </w:tblPr>
    <w:tcPr>
      <w:shd w:val="clear" w:color="auto" w:fill="DFD9D6" w:themeFill="accent3" w:themeFillTint="3f"/>
    </w:tcPr>
    <w:tblStylePr w:type="firstRow">
      <w:rPr>
        <w:b/>
        <w:bCs/>
        <w:color w:themeColor="text1"/>
      </w:rPr>
      <w:tblPr/>
      <w:tcPr>
        <w:shd w:val="clear" w:color="auto" w:fill="F2F0EE" w:themeFill="accent3"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color="7A6A60" w:themeColor="accent3" w:sz="6" w:space="0"/>
          <w:insideV w:val="single" w:color="7A6A60" w:themeColor="accent3" w:sz="6" w:space="0"/>
        </w:tcBorders>
        <w:shd w:val="clear" w:color="auto" w:fill="BEB4AD" w:themeFill="accent3" w:themeFillTint="7f"/>
      </w:tcPr>
    </w:tblStylePr>
    <w:tblStylePr w:type="nwCell">
      <w:tblPr/>
      <w:tcPr>
        <w:shd w:val="clear" w:color="auto" w:fill="FFFFFF" w:themeFill="background1"/>
      </w:tcPr>
    </w:tblStylePr>
  </w:style>
  <w:style w:type="table" w:styleId="2vidutinistinklelis4parykinimas">
    <w:name w:val="Medium Grid 2 Accent 4"/>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insideH w:val="single" w:color="B4936D" w:themeColor="accent4" w:sz="8" w:space="0"/>
        <w:insideV w:val="single" w:color="B4936D" w:themeColor="accent4" w:sz="8" w:space="0"/>
      </w:tblBorders>
    </w:tblPr>
    <w:tcPr>
      <w:shd w:val="clear" w:color="auto" w:fill="ECE4DA" w:themeFill="accent4" w:themeFillTint="3f"/>
    </w:tcPr>
    <w:tblStylePr w:type="firstRow">
      <w:rPr>
        <w:b/>
        <w:bCs/>
        <w:color w:themeColor="text1"/>
      </w:rPr>
      <w:tblPr/>
      <w:tcPr>
        <w:shd w:val="clear" w:color="auto" w:fill="F7F4F0" w:themeFill="accent4"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color="B4936D" w:themeColor="accent4" w:sz="6" w:space="0"/>
          <w:insideV w:val="single" w:color="B4936D" w:themeColor="accent4" w:sz="6" w:space="0"/>
        </w:tcBorders>
        <w:shd w:val="clear" w:color="auto" w:fill="D9C9B6" w:themeFill="accent4" w:themeFillTint="7f"/>
      </w:tcPr>
    </w:tblStylePr>
    <w:tblStylePr w:type="nwCell">
      <w:tblPr/>
      <w:tcPr>
        <w:shd w:val="clear" w:color="auto" w:fill="FFFFFF" w:themeFill="background1"/>
      </w:tcPr>
    </w:tblStylePr>
  </w:style>
  <w:style w:type="table" w:styleId="2vidutinistinklelis5parykinimas">
    <w:name w:val="Medium Grid 2 Accent 5"/>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insideH w:val="single" w:color="67787B" w:themeColor="accent5" w:sz="8" w:space="0"/>
        <w:insideV w:val="single" w:color="67787B" w:themeColor="accent5" w:sz="8" w:space="0"/>
      </w:tblBorders>
    </w:tblPr>
    <w:tcPr>
      <w:shd w:val="clear" w:color="auto" w:fill="D8DEDF" w:themeFill="accent5" w:themeFillTint="3f"/>
    </w:tcPr>
    <w:tblStylePr w:type="firstRow">
      <w:rPr>
        <w:b/>
        <w:bCs/>
        <w:color w:themeColor="text1"/>
      </w:rPr>
      <w:tblPr/>
      <w:tcPr>
        <w:shd w:val="clear" w:color="auto" w:fill="EFF1F2" w:themeFill="accent5"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color="67787B" w:themeColor="accent5" w:sz="6" w:space="0"/>
          <w:insideV w:val="single" w:color="67787B" w:themeColor="accent5" w:sz="6" w:space="0"/>
        </w:tcBorders>
        <w:shd w:val="clear" w:color="auto" w:fill="B1BCBE" w:themeFill="accent5" w:themeFillTint="7f"/>
      </w:tcPr>
    </w:tblStylePr>
    <w:tblStylePr w:type="nwCell">
      <w:tblPr/>
      <w:tcPr>
        <w:shd w:val="clear" w:color="auto" w:fill="FFFFFF" w:themeFill="background1"/>
      </w:tcPr>
    </w:tblStylePr>
  </w:style>
  <w:style w:type="table" w:styleId="2vidutinistinklelis6parykinimas">
    <w:name w:val="Medium Grid 2 Accent 6"/>
    <w:basedOn w:val="prastojilentel"/>
    <w:uiPriority w:val="68"/>
    <w:pPr>
      <w:spacing w:after="0" w:line="240" w:lineRule="auto"/>
    </w:pPr>
    <w:rPr>
      <w:rFonts w:asciiTheme="majorHAnsi" w:hAnsiTheme="majorHAnsi" w:eastAsiaTheme="majorEastAsia" w:cstheme="majorBidi"/>
      <w:color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insideH w:val="single" w:color="9D936F" w:themeColor="accent6" w:sz="8" w:space="0"/>
        <w:insideV w:val="single" w:color="9D936F" w:themeColor="accent6" w:sz="8" w:space="0"/>
      </w:tblBorders>
    </w:tblPr>
    <w:tcPr>
      <w:shd w:val="clear" w:color="auto" w:fill="E6E4DB" w:themeFill="accent6" w:themeFillTint="3f"/>
    </w:tcPr>
    <w:tblStylePr w:type="firstRow">
      <w:rPr>
        <w:b/>
        <w:bCs/>
        <w:color w:themeColor="text1"/>
      </w:rPr>
      <w:tblPr/>
      <w:tcPr>
        <w:shd w:val="clear" w:color="auto" w:fill="F5F4F0" w:themeFill="accent6" w:themeFillTint="19"/>
      </w:tcPr>
    </w:tblStylePr>
    <w:tblStylePr w:type="lastRow">
      <w:rPr>
        <w:b/>
        <w:bCs/>
        <w:color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color="9D936F" w:themeColor="accent6" w:sz="6" w:space="0"/>
          <w:insideV w:val="single" w:color="9D936F" w:themeColor="accent6" w:sz="6" w:space="0"/>
        </w:tcBorders>
        <w:shd w:val="clear" w:color="auto" w:fill="CEC9B7" w:themeFill="accent6" w:themeFillTint="7f"/>
      </w:tcPr>
    </w:tblStylePr>
    <w:tblStylePr w:type="nwCell">
      <w:tblPr/>
      <w:tcPr>
        <w:shd w:val="clear" w:color="auto" w:fill="FFFFFF" w:themeFill="background1"/>
      </w:tcPr>
    </w:tblStylePr>
  </w:style>
  <w:style w:type="table" w:styleId="3vidutinistinklelis">
    <w:name w:val="Medium Grid 3"/>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vidutinistinklelis1parykinimas">
    <w:name w:val="Medium Grid 3 Accent 1"/>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E5EA" w:themeFill="accent1"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E97AD" w:themeFill="accent1"/>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E97AD" w:themeFill="accent1"/>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7E97AD" w:themeFill="accent1"/>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7E97A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CBD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CBD6" w:themeFill="accent1" w:themeFillTint="7f"/>
      </w:tcPr>
    </w:tblStylePr>
  </w:style>
  <w:style w:type="table" w:styleId="3vidutinistinklelis2parykinimas">
    <w:name w:val="Medium Grid 3 Accent 2"/>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2E2D7" w:themeFill="accent2"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C8E60" w:themeFill="accent2"/>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C8E60" w:themeFill="accent2"/>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CC8E60" w:themeFill="accent2"/>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CC8E6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E5C6A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E5C6AF" w:themeFill="accent2" w:themeFillTint="7f"/>
      </w:tcPr>
    </w:tblStylePr>
  </w:style>
  <w:style w:type="table" w:styleId="3vidutinistinklelis3parykinimas">
    <w:name w:val="Medium Grid 3 Accent 3"/>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9D6" w:themeFill="accent3"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A6A60" w:themeFill="accent3"/>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A6A60" w:themeFill="accent3"/>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7A6A60" w:themeFill="accent3"/>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7A6A60"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EB4AD"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EB4AD" w:themeFill="accent3" w:themeFillTint="7f"/>
      </w:tcPr>
    </w:tblStylePr>
  </w:style>
  <w:style w:type="table" w:styleId="3vidutinistinklelis4parykinimas">
    <w:name w:val="Medium Grid 3 Accent 4"/>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CE4DA" w:themeFill="accent4"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B4936D" w:themeFill="accent4"/>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B4936D" w:themeFill="accent4"/>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B4936D" w:themeFill="accent4"/>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B4936D"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9C9B6"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9C9B6" w:themeFill="accent4" w:themeFillTint="7f"/>
      </w:tcPr>
    </w:tblStylePr>
  </w:style>
  <w:style w:type="table" w:styleId="3vidutinistinklelis5parykinimas">
    <w:name w:val="Medium Grid 3 Accent 5"/>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8DEDF" w:themeFill="accent5"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67787B" w:themeFill="accent5"/>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67787B" w:themeFill="accent5"/>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67787B" w:themeFill="accent5"/>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67787B"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1BCB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1BCBE" w:themeFill="accent5" w:themeFillTint="7f"/>
      </w:tcPr>
    </w:tblStylePr>
  </w:style>
  <w:style w:type="table" w:styleId="3vidutinistinklelis6parykinimas">
    <w:name w:val="Medium Grid 3 Accent 6"/>
    <w:basedOn w:val="prastojilentel"/>
    <w:uiPriority w:val="69"/>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4DB" w:themeFill="accent6" w:themeFillTint="3f"/>
    </w:tcPr>
    <w:tblStylePr w:type="firstRow">
      <w:rPr>
        <w:b/>
        <w:bCs/>
        <w:i w:val="0"/>
        <w:color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D936F" w:themeFill="accent6"/>
      </w:tcPr>
    </w:tblStylePr>
    <w:tblStylePr w:type="lastRow">
      <w:rPr>
        <w:b/>
        <w:bCs/>
        <w:i w:val="0"/>
        <w:color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D936F" w:themeFill="accent6"/>
      </w:tcPr>
    </w:tblStylePr>
    <w:tblStylePr w:type="firstCol">
      <w:rPr>
        <w:b/>
        <w:bCs/>
        <w:i w:val="0"/>
        <w:color w:themeColor="background1"/>
      </w:rPr>
      <w:tblPr/>
      <w:tcPr>
        <w:tcBorders>
          <w:left w:val="single" w:color="FFFFFF" w:themeColor="background1" w:sz="8" w:space="0"/>
          <w:right w:val="single" w:color="FFFFFF" w:themeColor="background1" w:sz="24" w:space="0"/>
          <w:insideH w:val="nil"/>
          <w:insideV w:val="nil"/>
        </w:tcBorders>
        <w:shd w:val="clear" w:color="auto" w:fill="9D936F" w:themeFill="accent6"/>
      </w:tcPr>
    </w:tblStylePr>
    <w:tblStylePr w:type="lastCol">
      <w:rPr>
        <w:b/>
        <w:bCs/>
        <w:i w:val="0"/>
        <w:color w:themeColor="background1"/>
      </w:rPr>
      <w:tblPr/>
      <w:tcPr>
        <w:tcBorders>
          <w:top w:val="nil"/>
          <w:left w:val="single" w:color="FFFFFF" w:themeColor="background1" w:sz="24" w:space="0"/>
          <w:bottom w:val="nil"/>
          <w:right w:val="nil"/>
          <w:insideH w:val="nil"/>
          <w:insideV w:val="nil"/>
        </w:tcBorders>
        <w:shd w:val="clear" w:color="auto" w:fill="9D936F"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C9B7"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EC9B7" w:themeFill="accent6" w:themeFillTint="7f"/>
      </w:tcPr>
    </w:tblStylePr>
  </w:style>
  <w:style w:type="table" w:styleId="1vidutinissraas">
    <w:name w:val="Medium List 1"/>
    <w:basedOn w:val="prastojilentel"/>
    <w:uiPriority w:val="65"/>
    <w:pPr>
      <w:spacing w:after="0" w:line="240" w:lineRule="auto"/>
    </w:pPr>
    <w:rPr>
      <w:color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vidutinissraas1parykinimas">
    <w:name w:val="Medium List 1 Accent 1"/>
    <w:basedOn w:val="prastojilentel"/>
    <w:uiPriority w:val="65"/>
    <w:pPr>
      <w:spacing w:after="0" w:line="240" w:lineRule="auto"/>
    </w:pPr>
    <w:rPr>
      <w:color w:themeColor="text1"/>
    </w:rPr>
    <w:tblPr>
      <w:tblStyleRowBandSize w:val="1"/>
      <w:tblStyleColBandSize w:val="1"/>
      <w:tblBorders>
        <w:top w:val="single" w:color="7E97AD" w:themeColor="accent1" w:sz="8" w:space="0"/>
        <w:bottom w:val="single" w:color="7E97AD" w:themeColor="accent1" w:sz="8" w:space="0"/>
      </w:tblBorders>
    </w:tblPr>
    <w:tblStylePr w:type="firstRow">
      <w:rPr>
        <w:rFonts w:asciiTheme="majorHAnsi" w:hAnsiTheme="majorHAnsi" w:eastAsiaTheme="majorEastAsia" w:cstheme="majorBidi"/>
      </w:rPr>
      <w:tblPr/>
      <w:tcPr>
        <w:tcBorders>
          <w:top w:val="nil"/>
          <w:bottom w:val="single" w:color="7E97AD" w:themeColor="accent1" w:sz="8" w:space="0"/>
        </w:tcBorders>
      </w:tcPr>
    </w:tblStylePr>
    <w:tblStylePr w:type="lastRow">
      <w:rPr>
        <w:b/>
        <w:bCs/>
        <w:color w:themeColor="text2"/>
      </w:rPr>
      <w:tblPr/>
      <w:tcPr>
        <w:tcBorders>
          <w:top w:val="single" w:color="7E97AD" w:themeColor="accent1" w:sz="8" w:space="0"/>
          <w:bottom w:val="single" w:color="7E97AD" w:themeColor="accent1" w:sz="8" w:space="0"/>
        </w:tcBorders>
      </w:tcPr>
    </w:tblStylePr>
    <w:tblStylePr w:type="firstCol">
      <w:rPr>
        <w:b/>
        <w:bCs/>
      </w:rPr>
      <w:tblPr/>
    </w:tblStylePr>
    <w:tblStylePr w:type="lastCol">
      <w:rPr>
        <w:b/>
        <w:bCs/>
      </w:rPr>
      <w:tblPr/>
      <w:tcPr>
        <w:tcBorders>
          <w:top w:val="single" w:color="7E97AD" w:themeColor="accent1" w:sz="8" w:space="0"/>
          <w:bottom w:val="single" w:color="7E97AD" w:themeColor="accent1" w:sz="8" w:space="0"/>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1vidutinissraas2parykinimas">
    <w:name w:val="Medium List 1 Accent 2"/>
    <w:basedOn w:val="prastojilentel"/>
    <w:uiPriority w:val="65"/>
    <w:pPr>
      <w:spacing w:after="0" w:line="240" w:lineRule="auto"/>
    </w:pPr>
    <w:rPr>
      <w:color w:themeColor="text1"/>
    </w:rPr>
    <w:tblPr>
      <w:tblStyleRowBandSize w:val="1"/>
      <w:tblStyleColBandSize w:val="1"/>
      <w:tblBorders>
        <w:top w:val="single" w:color="CC8E60" w:themeColor="accent2" w:sz="8" w:space="0"/>
        <w:bottom w:val="single" w:color="CC8E60" w:themeColor="accent2" w:sz="8" w:space="0"/>
      </w:tblBorders>
    </w:tblPr>
    <w:tblStylePr w:type="firstRow">
      <w:rPr>
        <w:rFonts w:asciiTheme="majorHAnsi" w:hAnsiTheme="majorHAnsi" w:eastAsiaTheme="majorEastAsia" w:cstheme="majorBidi"/>
      </w:rPr>
      <w:tblPr/>
      <w:tcPr>
        <w:tcBorders>
          <w:top w:val="nil"/>
          <w:bottom w:val="single" w:color="CC8E60" w:themeColor="accent2" w:sz="8" w:space="0"/>
        </w:tcBorders>
      </w:tcPr>
    </w:tblStylePr>
    <w:tblStylePr w:type="lastRow">
      <w:rPr>
        <w:b/>
        <w:bCs/>
        <w:color w:themeColor="text2"/>
      </w:rPr>
      <w:tblPr/>
      <w:tcPr>
        <w:tcBorders>
          <w:top w:val="single" w:color="CC8E60" w:themeColor="accent2" w:sz="8" w:space="0"/>
          <w:bottom w:val="single" w:color="CC8E60" w:themeColor="accent2" w:sz="8" w:space="0"/>
        </w:tcBorders>
      </w:tcPr>
    </w:tblStylePr>
    <w:tblStylePr w:type="firstCol">
      <w:rPr>
        <w:b/>
        <w:bCs/>
      </w:rPr>
      <w:tblPr/>
    </w:tblStylePr>
    <w:tblStylePr w:type="lastCol">
      <w:rPr>
        <w:b/>
        <w:bCs/>
      </w:rPr>
      <w:tblPr/>
      <w:tcPr>
        <w:tcBorders>
          <w:top w:val="single" w:color="CC8E60" w:themeColor="accent2" w:sz="8" w:space="0"/>
          <w:bottom w:val="single" w:color="CC8E60" w:themeColor="accent2" w:sz="8" w:space="0"/>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1vidutinissraas3parykinimas">
    <w:name w:val="Medium List 1 Accent 3"/>
    <w:basedOn w:val="prastojilentel"/>
    <w:uiPriority w:val="65"/>
    <w:pPr>
      <w:spacing w:after="0" w:line="240" w:lineRule="auto"/>
    </w:pPr>
    <w:rPr>
      <w:color w:themeColor="text1"/>
    </w:rPr>
    <w:tblPr>
      <w:tblStyleRowBandSize w:val="1"/>
      <w:tblStyleColBandSize w:val="1"/>
      <w:tblBorders>
        <w:top w:val="single" w:color="7A6A60" w:themeColor="accent3" w:sz="8" w:space="0"/>
        <w:bottom w:val="single" w:color="7A6A60" w:themeColor="accent3" w:sz="8" w:space="0"/>
      </w:tblBorders>
    </w:tblPr>
    <w:tblStylePr w:type="firstRow">
      <w:rPr>
        <w:rFonts w:asciiTheme="majorHAnsi" w:hAnsiTheme="majorHAnsi" w:eastAsiaTheme="majorEastAsia" w:cstheme="majorBidi"/>
      </w:rPr>
      <w:tblPr/>
      <w:tcPr>
        <w:tcBorders>
          <w:top w:val="nil"/>
          <w:bottom w:val="single" w:color="7A6A60" w:themeColor="accent3" w:sz="8" w:space="0"/>
        </w:tcBorders>
      </w:tcPr>
    </w:tblStylePr>
    <w:tblStylePr w:type="lastRow">
      <w:rPr>
        <w:b/>
        <w:bCs/>
        <w:color w:themeColor="text2"/>
      </w:rPr>
      <w:tblPr/>
      <w:tcPr>
        <w:tcBorders>
          <w:top w:val="single" w:color="7A6A60" w:themeColor="accent3" w:sz="8" w:space="0"/>
          <w:bottom w:val="single" w:color="7A6A60" w:themeColor="accent3" w:sz="8" w:space="0"/>
        </w:tcBorders>
      </w:tcPr>
    </w:tblStylePr>
    <w:tblStylePr w:type="firstCol">
      <w:rPr>
        <w:b/>
        <w:bCs/>
      </w:rPr>
      <w:tblPr/>
    </w:tblStylePr>
    <w:tblStylePr w:type="lastCol">
      <w:rPr>
        <w:b/>
        <w:bCs/>
      </w:rPr>
      <w:tblPr/>
      <w:tcPr>
        <w:tcBorders>
          <w:top w:val="single" w:color="7A6A60" w:themeColor="accent3" w:sz="8" w:space="0"/>
          <w:bottom w:val="single" w:color="7A6A60" w:themeColor="accent3" w:sz="8" w:space="0"/>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1vidutinissraas4parykinimas">
    <w:name w:val="Medium List 1 Accent 4"/>
    <w:basedOn w:val="prastojilentel"/>
    <w:uiPriority w:val="65"/>
    <w:pPr>
      <w:spacing w:after="0" w:line="240" w:lineRule="auto"/>
    </w:pPr>
    <w:rPr>
      <w:color w:themeColor="text1"/>
    </w:rPr>
    <w:tblPr>
      <w:tblStyleRowBandSize w:val="1"/>
      <w:tblStyleColBandSize w:val="1"/>
      <w:tblBorders>
        <w:top w:val="single" w:color="B4936D" w:themeColor="accent4" w:sz="8" w:space="0"/>
        <w:bottom w:val="single" w:color="B4936D" w:themeColor="accent4" w:sz="8" w:space="0"/>
      </w:tblBorders>
    </w:tblPr>
    <w:tblStylePr w:type="firstRow">
      <w:rPr>
        <w:rFonts w:asciiTheme="majorHAnsi" w:hAnsiTheme="majorHAnsi" w:eastAsiaTheme="majorEastAsia" w:cstheme="majorBidi"/>
      </w:rPr>
      <w:tblPr/>
      <w:tcPr>
        <w:tcBorders>
          <w:top w:val="nil"/>
          <w:bottom w:val="single" w:color="B4936D" w:themeColor="accent4" w:sz="8" w:space="0"/>
        </w:tcBorders>
      </w:tcPr>
    </w:tblStylePr>
    <w:tblStylePr w:type="lastRow">
      <w:rPr>
        <w:b/>
        <w:bCs/>
        <w:color w:themeColor="text2"/>
      </w:rPr>
      <w:tblPr/>
      <w:tcPr>
        <w:tcBorders>
          <w:top w:val="single" w:color="B4936D" w:themeColor="accent4" w:sz="8" w:space="0"/>
          <w:bottom w:val="single" w:color="B4936D" w:themeColor="accent4" w:sz="8" w:space="0"/>
        </w:tcBorders>
      </w:tcPr>
    </w:tblStylePr>
    <w:tblStylePr w:type="firstCol">
      <w:rPr>
        <w:b/>
        <w:bCs/>
      </w:rPr>
      <w:tblPr/>
    </w:tblStylePr>
    <w:tblStylePr w:type="lastCol">
      <w:rPr>
        <w:b/>
        <w:bCs/>
      </w:rPr>
      <w:tblPr/>
      <w:tcPr>
        <w:tcBorders>
          <w:top w:val="single" w:color="B4936D" w:themeColor="accent4" w:sz="8" w:space="0"/>
          <w:bottom w:val="single" w:color="B4936D" w:themeColor="accent4" w:sz="8" w:space="0"/>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1vidutinissraas5parykinimas">
    <w:name w:val="Medium List 1 Accent 5"/>
    <w:basedOn w:val="prastojilentel"/>
    <w:uiPriority w:val="65"/>
    <w:pPr>
      <w:spacing w:after="0" w:line="240" w:lineRule="auto"/>
    </w:pPr>
    <w:rPr>
      <w:color w:themeColor="text1"/>
    </w:rPr>
    <w:tblPr>
      <w:tblStyleRowBandSize w:val="1"/>
      <w:tblStyleColBandSize w:val="1"/>
      <w:tblBorders>
        <w:top w:val="single" w:color="67787B" w:themeColor="accent5" w:sz="8" w:space="0"/>
        <w:bottom w:val="single" w:color="67787B" w:themeColor="accent5" w:sz="8" w:space="0"/>
      </w:tblBorders>
    </w:tblPr>
    <w:tblStylePr w:type="firstRow">
      <w:rPr>
        <w:rFonts w:asciiTheme="majorHAnsi" w:hAnsiTheme="majorHAnsi" w:eastAsiaTheme="majorEastAsia" w:cstheme="majorBidi"/>
      </w:rPr>
      <w:tblPr/>
      <w:tcPr>
        <w:tcBorders>
          <w:top w:val="nil"/>
          <w:bottom w:val="single" w:color="67787B" w:themeColor="accent5" w:sz="8" w:space="0"/>
        </w:tcBorders>
      </w:tcPr>
    </w:tblStylePr>
    <w:tblStylePr w:type="lastRow">
      <w:rPr>
        <w:b/>
        <w:bCs/>
        <w:color w:themeColor="text2"/>
      </w:rPr>
      <w:tblPr/>
      <w:tcPr>
        <w:tcBorders>
          <w:top w:val="single" w:color="67787B" w:themeColor="accent5" w:sz="8" w:space="0"/>
          <w:bottom w:val="single" w:color="67787B" w:themeColor="accent5" w:sz="8" w:space="0"/>
        </w:tcBorders>
      </w:tcPr>
    </w:tblStylePr>
    <w:tblStylePr w:type="firstCol">
      <w:rPr>
        <w:b/>
        <w:bCs/>
      </w:rPr>
      <w:tblPr/>
    </w:tblStylePr>
    <w:tblStylePr w:type="lastCol">
      <w:rPr>
        <w:b/>
        <w:bCs/>
      </w:rPr>
      <w:tblPr/>
      <w:tcPr>
        <w:tcBorders>
          <w:top w:val="single" w:color="67787B" w:themeColor="accent5" w:sz="8" w:space="0"/>
          <w:bottom w:val="single" w:color="67787B" w:themeColor="accent5" w:sz="8" w:space="0"/>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1vidutinissraas6parykinimas">
    <w:name w:val="Medium List 1 Accent 6"/>
    <w:basedOn w:val="prastojilentel"/>
    <w:uiPriority w:val="65"/>
    <w:pPr>
      <w:spacing w:after="0" w:line="240" w:lineRule="auto"/>
    </w:pPr>
    <w:rPr>
      <w:color w:themeColor="text1"/>
    </w:rPr>
    <w:tblPr>
      <w:tblStyleRowBandSize w:val="1"/>
      <w:tblStyleColBandSize w:val="1"/>
      <w:tblBorders>
        <w:top w:val="single" w:color="9D936F" w:themeColor="accent6" w:sz="8" w:space="0"/>
        <w:bottom w:val="single" w:color="9D936F" w:themeColor="accent6" w:sz="8" w:space="0"/>
      </w:tblBorders>
    </w:tblPr>
    <w:tblStylePr w:type="firstRow">
      <w:rPr>
        <w:rFonts w:asciiTheme="majorHAnsi" w:hAnsiTheme="majorHAnsi" w:eastAsiaTheme="majorEastAsia" w:cstheme="majorBidi"/>
      </w:rPr>
      <w:tblPr/>
      <w:tcPr>
        <w:tcBorders>
          <w:top w:val="nil"/>
          <w:bottom w:val="single" w:color="9D936F" w:themeColor="accent6" w:sz="8" w:space="0"/>
        </w:tcBorders>
      </w:tcPr>
    </w:tblStylePr>
    <w:tblStylePr w:type="lastRow">
      <w:rPr>
        <w:b/>
        <w:bCs/>
        <w:color w:themeColor="text2"/>
      </w:rPr>
      <w:tblPr/>
      <w:tcPr>
        <w:tcBorders>
          <w:top w:val="single" w:color="9D936F" w:themeColor="accent6" w:sz="8" w:space="0"/>
          <w:bottom w:val="single" w:color="9D936F" w:themeColor="accent6" w:sz="8" w:space="0"/>
        </w:tcBorders>
      </w:tcPr>
    </w:tblStylePr>
    <w:tblStylePr w:type="firstCol">
      <w:rPr>
        <w:b/>
        <w:bCs/>
      </w:rPr>
      <w:tblPr/>
    </w:tblStylePr>
    <w:tblStylePr w:type="lastCol">
      <w:rPr>
        <w:b/>
        <w:bCs/>
      </w:rPr>
      <w:tblPr/>
      <w:tcPr>
        <w:tcBorders>
          <w:top w:val="single" w:color="9D936F" w:themeColor="accent6" w:sz="8" w:space="0"/>
          <w:bottom w:val="single" w:color="9D936F" w:themeColor="accent6" w:sz="8" w:space="0"/>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2vidutinissraas">
    <w:name w:val="Medium List 2"/>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1parykinimas">
    <w:name w:val="Medium List 2 Accent 1"/>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7E97AD" w:themeColor="accent1" w:sz="8" w:space="0"/>
        <w:left w:val="single" w:color="7E97AD" w:themeColor="accent1" w:sz="8" w:space="0"/>
        <w:bottom w:val="single" w:color="7E97AD" w:themeColor="accent1" w:sz="8" w:space="0"/>
        <w:right w:val="single" w:color="7E97AD" w:themeColor="accent1" w:sz="8" w:space="0"/>
      </w:tblBorders>
    </w:tblPr>
    <w:tblStylePr w:type="firstRow">
      <w:rPr>
        <w:sz w:val="24"/>
        <w:szCs w:val="24"/>
      </w:rPr>
      <w:tblPr/>
      <w:tcPr>
        <w:tcBorders>
          <w:top w:val="nil"/>
          <w:left w:val="nil"/>
          <w:bottom w:val="single" w:color="7E97AD" w:themeColor="accent1" w:sz="24" w:space="0"/>
          <w:right w:val="nil"/>
          <w:insideH w:val="nil"/>
          <w:insideV w:val="nil"/>
        </w:tcBorders>
        <w:shd w:val="clear" w:color="auto" w:fill="FFFFFF" w:themeFill="background1"/>
      </w:tcPr>
    </w:tblStylePr>
    <w:tblStylePr w:type="lastRow">
      <w:tblPr/>
      <w:tcPr>
        <w:tcBorders>
          <w:top w:val="single" w:color="7E97A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E97AD" w:themeColor="accent1" w:sz="8" w:space="0"/>
          <w:insideH w:val="nil"/>
          <w:insideV w:val="nil"/>
        </w:tcBorders>
        <w:shd w:val="clear" w:color="auto" w:fill="FFFFFF" w:themeFill="background1"/>
      </w:tcPr>
    </w:tblStylePr>
    <w:tblStylePr w:type="lastCol">
      <w:tblPr/>
      <w:tcPr>
        <w:tcBorders>
          <w:top w:val="nil"/>
          <w:left w:val="single" w:color="7E97A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2parykinimas">
    <w:name w:val="Medium List 2 Accent 2"/>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CC8E60" w:themeColor="accent2" w:sz="8" w:space="0"/>
        <w:left w:val="single" w:color="CC8E60" w:themeColor="accent2" w:sz="8" w:space="0"/>
        <w:bottom w:val="single" w:color="CC8E60" w:themeColor="accent2" w:sz="8" w:space="0"/>
        <w:right w:val="single" w:color="CC8E60" w:themeColor="accent2" w:sz="8" w:space="0"/>
      </w:tblBorders>
    </w:tblPr>
    <w:tblStylePr w:type="firstRow">
      <w:rPr>
        <w:sz w:val="24"/>
        <w:szCs w:val="24"/>
      </w:rPr>
      <w:tblPr/>
      <w:tcPr>
        <w:tcBorders>
          <w:top w:val="nil"/>
          <w:left w:val="nil"/>
          <w:bottom w:val="single" w:color="CC8E60" w:themeColor="accent2" w:sz="24" w:space="0"/>
          <w:right w:val="nil"/>
          <w:insideH w:val="nil"/>
          <w:insideV w:val="nil"/>
        </w:tcBorders>
        <w:shd w:val="clear" w:color="auto" w:fill="FFFFFF" w:themeFill="background1"/>
      </w:tcPr>
    </w:tblStylePr>
    <w:tblStylePr w:type="lastRow">
      <w:tblPr/>
      <w:tcPr>
        <w:tcBorders>
          <w:top w:val="single" w:color="CC8E6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C8E60" w:themeColor="accent2" w:sz="8" w:space="0"/>
          <w:insideH w:val="nil"/>
          <w:insideV w:val="nil"/>
        </w:tcBorders>
        <w:shd w:val="clear" w:color="auto" w:fill="FFFFFF" w:themeFill="background1"/>
      </w:tcPr>
    </w:tblStylePr>
    <w:tblStylePr w:type="lastCol">
      <w:tblPr/>
      <w:tcPr>
        <w:tcBorders>
          <w:top w:val="nil"/>
          <w:left w:val="single" w:color="CC8E6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3parykinimas">
    <w:name w:val="Medium List 2 Accent 3"/>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7A6A60" w:themeColor="accent3" w:sz="8" w:space="0"/>
        <w:left w:val="single" w:color="7A6A60" w:themeColor="accent3" w:sz="8" w:space="0"/>
        <w:bottom w:val="single" w:color="7A6A60" w:themeColor="accent3" w:sz="8" w:space="0"/>
        <w:right w:val="single" w:color="7A6A60" w:themeColor="accent3" w:sz="8" w:space="0"/>
      </w:tblBorders>
    </w:tblPr>
    <w:tblStylePr w:type="firstRow">
      <w:rPr>
        <w:sz w:val="24"/>
        <w:szCs w:val="24"/>
      </w:rPr>
      <w:tblPr/>
      <w:tcPr>
        <w:tcBorders>
          <w:top w:val="nil"/>
          <w:left w:val="nil"/>
          <w:bottom w:val="single" w:color="7A6A60" w:themeColor="accent3" w:sz="24" w:space="0"/>
          <w:right w:val="nil"/>
          <w:insideH w:val="nil"/>
          <w:insideV w:val="nil"/>
        </w:tcBorders>
        <w:shd w:val="clear" w:color="auto" w:fill="FFFFFF" w:themeFill="background1"/>
      </w:tcPr>
    </w:tblStylePr>
    <w:tblStylePr w:type="lastRow">
      <w:tblPr/>
      <w:tcPr>
        <w:tcBorders>
          <w:top w:val="single" w:color="7A6A60"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A6A60" w:themeColor="accent3" w:sz="8" w:space="0"/>
          <w:insideH w:val="nil"/>
          <w:insideV w:val="nil"/>
        </w:tcBorders>
        <w:shd w:val="clear" w:color="auto" w:fill="FFFFFF" w:themeFill="background1"/>
      </w:tcPr>
    </w:tblStylePr>
    <w:tblStylePr w:type="lastCol">
      <w:tblPr/>
      <w:tcPr>
        <w:tcBorders>
          <w:top w:val="nil"/>
          <w:left w:val="single" w:color="7A6A60"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4parykinimas">
    <w:name w:val="Medium List 2 Accent 4"/>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B4936D" w:themeColor="accent4" w:sz="8" w:space="0"/>
        <w:left w:val="single" w:color="B4936D" w:themeColor="accent4" w:sz="8" w:space="0"/>
        <w:bottom w:val="single" w:color="B4936D" w:themeColor="accent4" w:sz="8" w:space="0"/>
        <w:right w:val="single" w:color="B4936D" w:themeColor="accent4" w:sz="8" w:space="0"/>
      </w:tblBorders>
    </w:tblPr>
    <w:tblStylePr w:type="firstRow">
      <w:rPr>
        <w:sz w:val="24"/>
        <w:szCs w:val="24"/>
      </w:rPr>
      <w:tblPr/>
      <w:tcPr>
        <w:tcBorders>
          <w:top w:val="nil"/>
          <w:left w:val="nil"/>
          <w:bottom w:val="single" w:color="B4936D" w:themeColor="accent4" w:sz="24" w:space="0"/>
          <w:right w:val="nil"/>
          <w:insideH w:val="nil"/>
          <w:insideV w:val="nil"/>
        </w:tcBorders>
        <w:shd w:val="clear" w:color="auto" w:fill="FFFFFF" w:themeFill="background1"/>
      </w:tcPr>
    </w:tblStylePr>
    <w:tblStylePr w:type="lastRow">
      <w:tblPr/>
      <w:tcPr>
        <w:tcBorders>
          <w:top w:val="single" w:color="B4936D"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B4936D" w:themeColor="accent4" w:sz="8" w:space="0"/>
          <w:insideH w:val="nil"/>
          <w:insideV w:val="nil"/>
        </w:tcBorders>
        <w:shd w:val="clear" w:color="auto" w:fill="FFFFFF" w:themeFill="background1"/>
      </w:tcPr>
    </w:tblStylePr>
    <w:tblStylePr w:type="lastCol">
      <w:tblPr/>
      <w:tcPr>
        <w:tcBorders>
          <w:top w:val="nil"/>
          <w:left w:val="single" w:color="B4936D"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5parykinimas">
    <w:name w:val="Medium List 2 Accent 5"/>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67787B" w:themeColor="accent5" w:sz="8" w:space="0"/>
        <w:left w:val="single" w:color="67787B" w:themeColor="accent5" w:sz="8" w:space="0"/>
        <w:bottom w:val="single" w:color="67787B" w:themeColor="accent5" w:sz="8" w:space="0"/>
        <w:right w:val="single" w:color="67787B" w:themeColor="accent5" w:sz="8" w:space="0"/>
      </w:tblBorders>
    </w:tblPr>
    <w:tblStylePr w:type="firstRow">
      <w:rPr>
        <w:sz w:val="24"/>
        <w:szCs w:val="24"/>
      </w:rPr>
      <w:tblPr/>
      <w:tcPr>
        <w:tcBorders>
          <w:top w:val="nil"/>
          <w:left w:val="nil"/>
          <w:bottom w:val="single" w:color="67787B" w:themeColor="accent5" w:sz="24" w:space="0"/>
          <w:right w:val="nil"/>
          <w:insideH w:val="nil"/>
          <w:insideV w:val="nil"/>
        </w:tcBorders>
        <w:shd w:val="clear" w:color="auto" w:fill="FFFFFF" w:themeFill="background1"/>
      </w:tcPr>
    </w:tblStylePr>
    <w:tblStylePr w:type="lastRow">
      <w:tblPr/>
      <w:tcPr>
        <w:tcBorders>
          <w:top w:val="single" w:color="67787B"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67787B" w:themeColor="accent5" w:sz="8" w:space="0"/>
          <w:insideH w:val="nil"/>
          <w:insideV w:val="nil"/>
        </w:tcBorders>
        <w:shd w:val="clear" w:color="auto" w:fill="FFFFFF" w:themeFill="background1"/>
      </w:tcPr>
    </w:tblStylePr>
    <w:tblStylePr w:type="lastCol">
      <w:tblPr/>
      <w:tcPr>
        <w:tcBorders>
          <w:top w:val="nil"/>
          <w:left w:val="single" w:color="67787B"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vidutinissraas6parykinimas">
    <w:name w:val="Medium List 2 Accent 6"/>
    <w:basedOn w:val="prastojilentel"/>
    <w:uiPriority w:val="66"/>
    <w:pPr>
      <w:spacing w:after="0" w:line="240" w:lineRule="auto"/>
    </w:pPr>
    <w:rPr>
      <w:rFonts w:asciiTheme="majorHAnsi" w:hAnsiTheme="majorHAnsi" w:eastAsiaTheme="majorEastAsia" w:cstheme="majorBidi"/>
      <w:color w:themeColor="text1"/>
    </w:rPr>
    <w:tblPr>
      <w:tblStyleRowBandSize w:val="1"/>
      <w:tblStyleColBandSize w:val="1"/>
      <w:tblBorders>
        <w:top w:val="single" w:color="9D936F" w:themeColor="accent6" w:sz="8" w:space="0"/>
        <w:left w:val="single" w:color="9D936F" w:themeColor="accent6" w:sz="8" w:space="0"/>
        <w:bottom w:val="single" w:color="9D936F" w:themeColor="accent6" w:sz="8" w:space="0"/>
        <w:right w:val="single" w:color="9D936F" w:themeColor="accent6" w:sz="8" w:space="0"/>
      </w:tblBorders>
    </w:tblPr>
    <w:tblStylePr w:type="firstRow">
      <w:rPr>
        <w:sz w:val="24"/>
        <w:szCs w:val="24"/>
      </w:rPr>
      <w:tblPr/>
      <w:tcPr>
        <w:tcBorders>
          <w:top w:val="nil"/>
          <w:left w:val="nil"/>
          <w:bottom w:val="single" w:color="9D936F" w:themeColor="accent6" w:sz="24" w:space="0"/>
          <w:right w:val="nil"/>
          <w:insideH w:val="nil"/>
          <w:insideV w:val="nil"/>
        </w:tcBorders>
        <w:shd w:val="clear" w:color="auto" w:fill="FFFFFF" w:themeFill="background1"/>
      </w:tcPr>
    </w:tblStylePr>
    <w:tblStylePr w:type="lastRow">
      <w:tblPr/>
      <w:tcPr>
        <w:tcBorders>
          <w:top w:val="single" w:color="9D936F"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D936F" w:themeColor="accent6" w:sz="8" w:space="0"/>
          <w:insideH w:val="nil"/>
          <w:insideV w:val="nil"/>
        </w:tcBorders>
        <w:shd w:val="clear" w:color="auto" w:fill="FFFFFF" w:themeFill="background1"/>
      </w:tcPr>
    </w:tblStylePr>
    <w:tblStylePr w:type="lastCol">
      <w:tblPr/>
      <w:tcPr>
        <w:tcBorders>
          <w:top w:val="nil"/>
          <w:left w:val="single" w:color="9D936F"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vidutinisspalvinimas">
    <w:name w:val="Medium Shading 1"/>
    <w:basedOn w:val="prastojilentel"/>
    <w:uiPriority w:val="63"/>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themeColor="background1"/>
      </w:rPr>
      <w:tblPr/>
      <w:tcPr>
        <w:tcBorders>
          <w:top w:val="single" w:color="404040" w:themeColor="text1" w:sz="8" w:space="0"/>
          <w:left w:val="single" w:color="404040" w:themeColor="text1" w:sz="8" w:space="0"/>
          <w:bottom w:val="single" w:color="404040" w:themeColor="text1" w:sz="8" w:space="0"/>
          <w:right w:val="single" w:color="404040" w:themeColor="text1"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sz="6" w:space="0"/>
          <w:left w:val="single" w:color="404040" w:themeColor="text1" w:sz="8" w:space="0"/>
          <w:bottom w:val="single" w:color="404040" w:themeColor="text1" w:sz="8" w:space="0"/>
          <w:right w:val="single" w:color="404040" w:themeColor="text1" w:sz="8" w:space="0"/>
          <w:insideH w:val="nil"/>
          <w:insideV w:val="nil"/>
        </w:tcBorders>
      </w:tcPr>
    </w:tblStylePr>
    <w:tblStylePr w:type="firstCol">
      <w:rPr>
        <w:b/>
        <w:bCs/>
      </w:rPr>
      <w:tblPr/>
    </w:tblStylePr>
    <w:tblStylePr w:type="lastCol">
      <w:rPr>
        <w:b/>
        <w:bCs/>
      </w:rPr>
      <w:tbl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vidutinisspalvinimas1parykinimas">
    <w:name w:val="Medium Shading 1 Accent 1"/>
    <w:basedOn w:val="prastojilentel"/>
    <w:uiPriority w:val="63"/>
    <w:pPr>
      <w:spacing w:after="0" w:line="240" w:lineRule="auto"/>
    </w:pPr>
    <w:tblPr>
      <w:tblStyleRowBandSize w:val="1"/>
      <w:tblStyleColBandSize w:val="1"/>
      <w:tblBorders>
        <w:top w:val="single" w:color="9EB0C1" w:themeColor="accent1" w:themeTint="bf" w:sz="8" w:space="0"/>
        <w:left w:val="single" w:color="9EB0C1" w:themeColor="accent1" w:themeTint="bf" w:sz="8" w:space="0"/>
        <w:bottom w:val="single" w:color="9EB0C1" w:themeColor="accent1" w:themeTint="bf" w:sz="8" w:space="0"/>
        <w:right w:val="single" w:color="9EB0C1" w:themeColor="accent1" w:themeTint="bf" w:sz="8" w:space="0"/>
        <w:insideH w:val="single" w:color="9EB0C1" w:themeColor="accent1" w:themeTint="bf" w:sz="8" w:space="0"/>
      </w:tblBorders>
    </w:tblPr>
    <w:tblStylePr w:type="firstRow">
      <w:pPr>
        <w:spacing w:before="0" w:after="0" w:line="240" w:lineRule="auto"/>
      </w:pPr>
      <w:rPr>
        <w:b/>
        <w:bCs/>
        <w:color w:themeColor="background1"/>
      </w:rPr>
      <w:tblPr/>
      <w:tcPr>
        <w:tcBorders>
          <w:top w:val="single" w:color="9EB0C1" w:themeColor="accent1" w:sz="8" w:space="0"/>
          <w:left w:val="single" w:color="9EB0C1" w:themeColor="accent1" w:sz="8" w:space="0"/>
          <w:bottom w:val="single" w:color="9EB0C1" w:themeColor="accent1" w:sz="8" w:space="0"/>
          <w:right w:val="single" w:color="9EB0C1" w:themeColor="accent1" w:sz="8" w:space="0"/>
          <w:insideH w:val="nil"/>
          <w:insideV w:val="nil"/>
        </w:tcBorders>
        <w:shd w:val="clear" w:color="auto" w:fill="7E97AD" w:themeFill="accent1"/>
      </w:tcPr>
    </w:tblStylePr>
    <w:tblStylePr w:type="lastRow">
      <w:pPr>
        <w:spacing w:before="0" w:after="0" w:line="240" w:lineRule="auto"/>
      </w:pPr>
      <w:rPr>
        <w:b/>
        <w:bCs/>
      </w:rPr>
      <w:tblPr/>
      <w:tcPr>
        <w:tcBorders>
          <w:top w:val="double" w:color="9EB0C1" w:themeColor="accent1" w:sz="6" w:space="0"/>
          <w:left w:val="single" w:color="9EB0C1" w:themeColor="accent1" w:sz="8" w:space="0"/>
          <w:bottom w:val="single" w:color="9EB0C1" w:themeColor="accent1" w:sz="8" w:space="0"/>
          <w:right w:val="single" w:color="9EB0C1" w:themeColor="accent1" w:sz="8" w:space="0"/>
          <w:insideH w:val="nil"/>
          <w:insideV w:val="nil"/>
        </w:tcBorders>
      </w:tcPr>
    </w:tblStylePr>
    <w:tblStylePr w:type="firstCol">
      <w:rPr>
        <w:b/>
        <w:bCs/>
      </w:rPr>
      <w:tblPr/>
    </w:tblStylePr>
    <w:tblStylePr w:type="lastCol">
      <w:rPr>
        <w:b/>
        <w:bCs/>
      </w:rPr>
      <w:tbl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1vidutinisspalvinimas2parykinimas">
    <w:name w:val="Medium Shading 1 Accent 2"/>
    <w:basedOn w:val="prastojilentel"/>
    <w:uiPriority w:val="63"/>
    <w:pPr>
      <w:spacing w:after="0" w:line="240" w:lineRule="auto"/>
    </w:pPr>
    <w:tblPr>
      <w:tblStyleRowBandSize w:val="1"/>
      <w:tblStyleColBandSize w:val="1"/>
      <w:tblBorders>
        <w:top w:val="single" w:color="D8AA87" w:themeColor="accent2" w:themeTint="bf" w:sz="8" w:space="0"/>
        <w:left w:val="single" w:color="D8AA87" w:themeColor="accent2" w:themeTint="bf" w:sz="8" w:space="0"/>
        <w:bottom w:val="single" w:color="D8AA87" w:themeColor="accent2" w:themeTint="bf" w:sz="8" w:space="0"/>
        <w:right w:val="single" w:color="D8AA87" w:themeColor="accent2" w:themeTint="bf" w:sz="8" w:space="0"/>
        <w:insideH w:val="single" w:color="D8AA87" w:themeColor="accent2" w:themeTint="bf" w:sz="8" w:space="0"/>
      </w:tblBorders>
    </w:tblPr>
    <w:tblStylePr w:type="firstRow">
      <w:pPr>
        <w:spacing w:before="0" w:after="0" w:line="240" w:lineRule="auto"/>
      </w:pPr>
      <w:rPr>
        <w:b/>
        <w:bCs/>
        <w:color w:themeColor="background1"/>
      </w:rPr>
      <w:tblPr/>
      <w:tcPr>
        <w:tcBorders>
          <w:top w:val="single" w:color="D8AA87" w:themeColor="accent2" w:sz="8" w:space="0"/>
          <w:left w:val="single" w:color="D8AA87" w:themeColor="accent2" w:sz="8" w:space="0"/>
          <w:bottom w:val="single" w:color="D8AA87" w:themeColor="accent2" w:sz="8" w:space="0"/>
          <w:right w:val="single" w:color="D8AA87" w:themeColor="accent2" w:sz="8" w:space="0"/>
          <w:insideH w:val="nil"/>
          <w:insideV w:val="nil"/>
        </w:tcBorders>
        <w:shd w:val="clear" w:color="auto" w:fill="CC8E60" w:themeFill="accent2"/>
      </w:tcPr>
    </w:tblStylePr>
    <w:tblStylePr w:type="lastRow">
      <w:pPr>
        <w:spacing w:before="0" w:after="0" w:line="240" w:lineRule="auto"/>
      </w:pPr>
      <w:rPr>
        <w:b/>
        <w:bCs/>
      </w:rPr>
      <w:tblPr/>
      <w:tcPr>
        <w:tcBorders>
          <w:top w:val="double" w:color="D8AA87" w:themeColor="accent2" w:sz="6" w:space="0"/>
          <w:left w:val="single" w:color="D8AA87" w:themeColor="accent2" w:sz="8" w:space="0"/>
          <w:bottom w:val="single" w:color="D8AA87" w:themeColor="accent2" w:sz="8" w:space="0"/>
          <w:right w:val="single" w:color="D8AA87" w:themeColor="accent2" w:sz="8" w:space="0"/>
          <w:insideH w:val="nil"/>
          <w:insideV w:val="nil"/>
        </w:tcBorders>
      </w:tcPr>
    </w:tblStylePr>
    <w:tblStylePr w:type="firstCol">
      <w:rPr>
        <w:b/>
        <w:bCs/>
      </w:rPr>
      <w:tblPr/>
    </w:tblStylePr>
    <w:tblStylePr w:type="lastCol">
      <w:rPr>
        <w:b/>
        <w:bCs/>
      </w:rPr>
      <w:tbl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1vidutinisspalvinimas3parykinimas">
    <w:name w:val="Medium Shading 1 Accent 3"/>
    <w:basedOn w:val="prastojilentel"/>
    <w:uiPriority w:val="63"/>
    <w:pPr>
      <w:spacing w:after="0" w:line="240" w:lineRule="auto"/>
    </w:pPr>
    <w:tblPr>
      <w:tblStyleRowBandSize w:val="1"/>
      <w:tblStyleColBandSize w:val="1"/>
      <w:tblBorders>
        <w:top w:val="single" w:color="9E8E84" w:themeColor="accent3" w:themeTint="bf" w:sz="8" w:space="0"/>
        <w:left w:val="single" w:color="9E8E84" w:themeColor="accent3" w:themeTint="bf" w:sz="8" w:space="0"/>
        <w:bottom w:val="single" w:color="9E8E84" w:themeColor="accent3" w:themeTint="bf" w:sz="8" w:space="0"/>
        <w:right w:val="single" w:color="9E8E84" w:themeColor="accent3" w:themeTint="bf" w:sz="8" w:space="0"/>
        <w:insideH w:val="single" w:color="9E8E84" w:themeColor="accent3" w:themeTint="bf" w:sz="8" w:space="0"/>
      </w:tblBorders>
    </w:tblPr>
    <w:tblStylePr w:type="firstRow">
      <w:pPr>
        <w:spacing w:before="0" w:after="0" w:line="240" w:lineRule="auto"/>
      </w:pPr>
      <w:rPr>
        <w:b/>
        <w:bCs/>
        <w:color w:themeColor="background1"/>
      </w:rPr>
      <w:tblPr/>
      <w:tcPr>
        <w:tcBorders>
          <w:top w:val="single" w:color="9E8E84" w:themeColor="accent3" w:sz="8" w:space="0"/>
          <w:left w:val="single" w:color="9E8E84" w:themeColor="accent3" w:sz="8" w:space="0"/>
          <w:bottom w:val="single" w:color="9E8E84" w:themeColor="accent3" w:sz="8" w:space="0"/>
          <w:right w:val="single" w:color="9E8E84" w:themeColor="accent3" w:sz="8" w:space="0"/>
          <w:insideH w:val="nil"/>
          <w:insideV w:val="nil"/>
        </w:tcBorders>
        <w:shd w:val="clear" w:color="auto" w:fill="7A6A60" w:themeFill="accent3"/>
      </w:tcPr>
    </w:tblStylePr>
    <w:tblStylePr w:type="lastRow">
      <w:pPr>
        <w:spacing w:before="0" w:after="0" w:line="240" w:lineRule="auto"/>
      </w:pPr>
      <w:rPr>
        <w:b/>
        <w:bCs/>
      </w:rPr>
      <w:tblPr/>
      <w:tcPr>
        <w:tcBorders>
          <w:top w:val="double" w:color="9E8E84" w:themeColor="accent3" w:sz="6" w:space="0"/>
          <w:left w:val="single" w:color="9E8E84" w:themeColor="accent3" w:sz="8" w:space="0"/>
          <w:bottom w:val="single" w:color="9E8E84" w:themeColor="accent3" w:sz="8" w:space="0"/>
          <w:right w:val="single" w:color="9E8E84" w:themeColor="accent3" w:sz="8" w:space="0"/>
          <w:insideH w:val="nil"/>
          <w:insideV w:val="nil"/>
        </w:tcBorders>
      </w:tcPr>
    </w:tblStylePr>
    <w:tblStylePr w:type="firstCol">
      <w:rPr>
        <w:b/>
        <w:bCs/>
      </w:rPr>
      <w:tblPr/>
    </w:tblStylePr>
    <w:tblStylePr w:type="lastCol">
      <w:rPr>
        <w:b/>
        <w:bCs/>
      </w:rPr>
      <w:tbl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1vidutinisspalvinimas4parykinimas">
    <w:name w:val="Medium Shading 1 Accent 4"/>
    <w:basedOn w:val="prastojilentel"/>
    <w:uiPriority w:val="63"/>
    <w:pPr>
      <w:spacing w:after="0" w:line="240" w:lineRule="auto"/>
    </w:pPr>
    <w:tblPr>
      <w:tblStyleRowBandSize w:val="1"/>
      <w:tblStyleColBandSize w:val="1"/>
      <w:tblBorders>
        <w:top w:val="single" w:color="C6AD91" w:themeColor="accent4" w:themeTint="bf" w:sz="8" w:space="0"/>
        <w:left w:val="single" w:color="C6AD91" w:themeColor="accent4" w:themeTint="bf" w:sz="8" w:space="0"/>
        <w:bottom w:val="single" w:color="C6AD91" w:themeColor="accent4" w:themeTint="bf" w:sz="8" w:space="0"/>
        <w:right w:val="single" w:color="C6AD91" w:themeColor="accent4" w:themeTint="bf" w:sz="8" w:space="0"/>
        <w:insideH w:val="single" w:color="C6AD91" w:themeColor="accent4" w:themeTint="bf" w:sz="8" w:space="0"/>
      </w:tblBorders>
    </w:tblPr>
    <w:tblStylePr w:type="firstRow">
      <w:pPr>
        <w:spacing w:before="0" w:after="0" w:line="240" w:lineRule="auto"/>
      </w:pPr>
      <w:rPr>
        <w:b/>
        <w:bCs/>
        <w:color w:themeColor="background1"/>
      </w:rPr>
      <w:tblPr/>
      <w:tcPr>
        <w:tcBorders>
          <w:top w:val="single" w:color="C6AD91" w:themeColor="accent4" w:sz="8" w:space="0"/>
          <w:left w:val="single" w:color="C6AD91" w:themeColor="accent4" w:sz="8" w:space="0"/>
          <w:bottom w:val="single" w:color="C6AD91" w:themeColor="accent4" w:sz="8" w:space="0"/>
          <w:right w:val="single" w:color="C6AD91" w:themeColor="accent4" w:sz="8" w:space="0"/>
          <w:insideH w:val="nil"/>
          <w:insideV w:val="nil"/>
        </w:tcBorders>
        <w:shd w:val="clear" w:color="auto" w:fill="B4936D" w:themeFill="accent4"/>
      </w:tcPr>
    </w:tblStylePr>
    <w:tblStylePr w:type="lastRow">
      <w:pPr>
        <w:spacing w:before="0" w:after="0" w:line="240" w:lineRule="auto"/>
      </w:pPr>
      <w:rPr>
        <w:b/>
        <w:bCs/>
      </w:rPr>
      <w:tblPr/>
      <w:tcPr>
        <w:tcBorders>
          <w:top w:val="double" w:color="C6AD91" w:themeColor="accent4" w:sz="6" w:space="0"/>
          <w:left w:val="single" w:color="C6AD91" w:themeColor="accent4" w:sz="8" w:space="0"/>
          <w:bottom w:val="single" w:color="C6AD91" w:themeColor="accent4" w:sz="8" w:space="0"/>
          <w:right w:val="single" w:color="C6AD91" w:themeColor="accent4" w:sz="8" w:space="0"/>
          <w:insideH w:val="nil"/>
          <w:insideV w:val="nil"/>
        </w:tcBorders>
      </w:tcPr>
    </w:tblStylePr>
    <w:tblStylePr w:type="firstCol">
      <w:rPr>
        <w:b/>
        <w:bCs/>
      </w:rPr>
      <w:tblPr/>
    </w:tblStylePr>
    <w:tblStylePr w:type="lastCol">
      <w:rPr>
        <w:b/>
        <w:bCs/>
      </w:rPr>
      <w:tbl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1vidutinisspalvinimas5parykinimas">
    <w:name w:val="Medium Shading 1 Accent 5"/>
    <w:basedOn w:val="prastojilentel"/>
    <w:uiPriority w:val="63"/>
    <w:pPr>
      <w:spacing w:after="0" w:line="240" w:lineRule="auto"/>
    </w:pPr>
    <w:tblPr>
      <w:tblStyleRowBandSize w:val="1"/>
      <w:tblStyleColBandSize w:val="1"/>
      <w:tblBorders>
        <w:top w:val="single" w:color="8B9B9E" w:themeColor="accent5" w:themeTint="bf" w:sz="8" w:space="0"/>
        <w:left w:val="single" w:color="8B9B9E" w:themeColor="accent5" w:themeTint="bf" w:sz="8" w:space="0"/>
        <w:bottom w:val="single" w:color="8B9B9E" w:themeColor="accent5" w:themeTint="bf" w:sz="8" w:space="0"/>
        <w:right w:val="single" w:color="8B9B9E" w:themeColor="accent5" w:themeTint="bf" w:sz="8" w:space="0"/>
        <w:insideH w:val="single" w:color="8B9B9E" w:themeColor="accent5" w:themeTint="bf" w:sz="8" w:space="0"/>
      </w:tblBorders>
    </w:tblPr>
    <w:tblStylePr w:type="firstRow">
      <w:pPr>
        <w:spacing w:before="0" w:after="0" w:line="240" w:lineRule="auto"/>
      </w:pPr>
      <w:rPr>
        <w:b/>
        <w:bCs/>
        <w:color w:themeColor="background1"/>
      </w:rPr>
      <w:tblPr/>
      <w:tcPr>
        <w:tcBorders>
          <w:top w:val="single" w:color="8B9B9E" w:themeColor="accent5" w:sz="8" w:space="0"/>
          <w:left w:val="single" w:color="8B9B9E" w:themeColor="accent5" w:sz="8" w:space="0"/>
          <w:bottom w:val="single" w:color="8B9B9E" w:themeColor="accent5" w:sz="8" w:space="0"/>
          <w:right w:val="single" w:color="8B9B9E" w:themeColor="accent5" w:sz="8" w:space="0"/>
          <w:insideH w:val="nil"/>
          <w:insideV w:val="nil"/>
        </w:tcBorders>
        <w:shd w:val="clear" w:color="auto" w:fill="67787B" w:themeFill="accent5"/>
      </w:tcPr>
    </w:tblStylePr>
    <w:tblStylePr w:type="lastRow">
      <w:pPr>
        <w:spacing w:before="0" w:after="0" w:line="240" w:lineRule="auto"/>
      </w:pPr>
      <w:rPr>
        <w:b/>
        <w:bCs/>
      </w:rPr>
      <w:tblPr/>
      <w:tcPr>
        <w:tcBorders>
          <w:top w:val="double" w:color="8B9B9E" w:themeColor="accent5" w:sz="6" w:space="0"/>
          <w:left w:val="single" w:color="8B9B9E" w:themeColor="accent5" w:sz="8" w:space="0"/>
          <w:bottom w:val="single" w:color="8B9B9E" w:themeColor="accent5" w:sz="8" w:space="0"/>
          <w:right w:val="single" w:color="8B9B9E" w:themeColor="accent5" w:sz="8" w:space="0"/>
          <w:insideH w:val="nil"/>
          <w:insideV w:val="nil"/>
        </w:tcBorders>
      </w:tcPr>
    </w:tblStylePr>
    <w:tblStylePr w:type="firstCol">
      <w:rPr>
        <w:b/>
        <w:bCs/>
      </w:rPr>
      <w:tblPr/>
    </w:tblStylePr>
    <w:tblStylePr w:type="lastCol">
      <w:rPr>
        <w:b/>
        <w:bCs/>
      </w:rPr>
      <w:tbl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1vidutinisspalvinimas6parykinimas">
    <w:name w:val="Medium Shading 1 Accent 6"/>
    <w:basedOn w:val="prastojilentel"/>
    <w:uiPriority w:val="63"/>
    <w:pPr>
      <w:spacing w:after="0" w:line="240" w:lineRule="auto"/>
    </w:pPr>
    <w:tblPr>
      <w:tblStyleRowBandSize w:val="1"/>
      <w:tblStyleColBandSize w:val="1"/>
      <w:tblBorders>
        <w:top w:val="single" w:color="B5AE93" w:themeColor="accent6" w:themeTint="bf" w:sz="8" w:space="0"/>
        <w:left w:val="single" w:color="B5AE93" w:themeColor="accent6" w:themeTint="bf" w:sz="8" w:space="0"/>
        <w:bottom w:val="single" w:color="B5AE93" w:themeColor="accent6" w:themeTint="bf" w:sz="8" w:space="0"/>
        <w:right w:val="single" w:color="B5AE93" w:themeColor="accent6" w:themeTint="bf" w:sz="8" w:space="0"/>
        <w:insideH w:val="single" w:color="B5AE93" w:themeColor="accent6" w:themeTint="bf" w:sz="8" w:space="0"/>
      </w:tblBorders>
    </w:tblPr>
    <w:tblStylePr w:type="firstRow">
      <w:pPr>
        <w:spacing w:before="0" w:after="0" w:line="240" w:lineRule="auto"/>
      </w:pPr>
      <w:rPr>
        <w:b/>
        <w:bCs/>
        <w:color w:themeColor="background1"/>
      </w:rPr>
      <w:tblPr/>
      <w:tcPr>
        <w:tcBorders>
          <w:top w:val="single" w:color="B5AE93" w:themeColor="accent6" w:sz="8" w:space="0"/>
          <w:left w:val="single" w:color="B5AE93" w:themeColor="accent6" w:sz="8" w:space="0"/>
          <w:bottom w:val="single" w:color="B5AE93" w:themeColor="accent6" w:sz="8" w:space="0"/>
          <w:right w:val="single" w:color="B5AE93" w:themeColor="accent6" w:sz="8" w:space="0"/>
          <w:insideH w:val="nil"/>
          <w:insideV w:val="nil"/>
        </w:tcBorders>
        <w:shd w:val="clear" w:color="auto" w:fill="9D936F" w:themeFill="accent6"/>
      </w:tcPr>
    </w:tblStylePr>
    <w:tblStylePr w:type="lastRow">
      <w:pPr>
        <w:spacing w:before="0" w:after="0" w:line="240" w:lineRule="auto"/>
      </w:pPr>
      <w:rPr>
        <w:b/>
        <w:bCs/>
      </w:rPr>
      <w:tblPr/>
      <w:tcPr>
        <w:tcBorders>
          <w:top w:val="double" w:color="B5AE93" w:themeColor="accent6" w:sz="6" w:space="0"/>
          <w:left w:val="single" w:color="B5AE93" w:themeColor="accent6" w:sz="8" w:space="0"/>
          <w:bottom w:val="single" w:color="B5AE93" w:themeColor="accent6" w:sz="8" w:space="0"/>
          <w:right w:val="single" w:color="B5AE93"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2vidutinisspalvinimas">
    <w:name w:val="Medium Shading 2"/>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1parykinimas">
    <w:name w:val="Medium Shading 2 Accent 1"/>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7E97AD" w:themeFill="accent1"/>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7E97AD" w:themeFill="accent1"/>
      </w:tcPr>
    </w:tblStylePr>
    <w:tblStylePr w:type="lastCol">
      <w:rPr>
        <w:b/>
        <w:bCs/>
        <w:color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2parykinimas">
    <w:name w:val="Medium Shading 2 Accent 2"/>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CC8E60" w:themeFill="accent2"/>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CC8E60" w:themeFill="accent2"/>
      </w:tcPr>
    </w:tblStylePr>
    <w:tblStylePr w:type="lastCol">
      <w:rPr>
        <w:b/>
        <w:bCs/>
        <w:color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3parykinimas">
    <w:name w:val="Medium Shading 2 Accent 3"/>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7A6A60" w:themeFill="accent3"/>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7A6A60" w:themeFill="accent3"/>
      </w:tcPr>
    </w:tblStylePr>
    <w:tblStylePr w:type="lastCol">
      <w:rPr>
        <w:b/>
        <w:bCs/>
        <w:color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4parykinimas">
    <w:name w:val="Medium Shading 2 Accent 4"/>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B4936D" w:themeFill="accent4"/>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B4936D" w:themeFill="accent4"/>
      </w:tcPr>
    </w:tblStylePr>
    <w:tblStylePr w:type="lastCol">
      <w:rPr>
        <w:b/>
        <w:bCs/>
        <w:color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5parykinimas">
    <w:name w:val="Medium Shading 2 Accent 5"/>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67787B" w:themeFill="accent5"/>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67787B" w:themeFill="accent5"/>
      </w:tcPr>
    </w:tblStylePr>
    <w:tblStylePr w:type="lastCol">
      <w:rPr>
        <w:b/>
        <w:bCs/>
        <w:color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2vidutinisspalvinimas6parykinimas">
    <w:name w:val="Medium Shading 2 Accent 6"/>
    <w:basedOn w:val="prastojilentel"/>
    <w:uiPriority w:val="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9D936F" w:themeFill="accent6"/>
      </w:tcPr>
    </w:tblStylePr>
    <w:tblStylePr w:type="lastRow">
      <w:pPr>
        <w:spacing w:before="0" w:after="0" w:line="240" w:lineRule="auto"/>
      </w:pPr>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9D936F" w:themeFill="accent6"/>
      </w:tcPr>
    </w:tblStylePr>
    <w:tblStylePr w:type="lastCol">
      <w:rPr>
        <w:b/>
        <w:bCs/>
        <w:color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LentelTrimaiaiefektai1">
    <w:name w:val="Table 3D effects 1"/>
    <w:basedOn w:val="prastojilentel"/>
    <w:uiPriority w:val="99"/>
    <w:semiHidden/>
    <w:unhideWhenUsed/>
    <w:pPr>
      <w:spacing w:line="300" w:lineRule="auto"/>
    </w:pPr>
    <w:rPr/>
    <w:tcPr>
      <w:shd w:val="solid" w:color="C0C0C0" w:fill="FFFFFF"/>
    </w:tcPr>
    <w:tblStylePr w:type="firstRow">
      <w:rPr>
        <w:b/>
        <w:bCs/>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tblPr/>
      <w:tcPr>
        <w:tcBorders>
          <w:top w:val="none" w:color="auto" w:sz="0" w:space="0"/>
          <w:right w:val="none" w:color="auto" w:sz="0" w:space="0"/>
          <w:tl2br w:val="none" w:color="auto" w:sz="0" w:space="0"/>
          <w:tr2bl w:val="none" w:color="auto" w:sz="0" w:space="0"/>
        </w:tcBorders>
      </w:tcPr>
    </w:tblStylePr>
  </w:style>
  <w:style w:type="table" w:styleId="LentelTrimaiaiefektai2">
    <w:name w:val="Table 3D effects 2"/>
    <w:basedOn w:val="prastojilentel"/>
    <w:uiPriority w:val="99"/>
    <w:semiHidden/>
    <w:unhideWhenUsed/>
    <w:pPr>
      <w:spacing w:line="300" w:lineRule="auto"/>
    </w:pPr>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Trimaiaiefektai3">
    <w:name w:val="Table 3D effects 3"/>
    <w:basedOn w:val="prastojilentel"/>
    <w:uiPriority w:val="99"/>
    <w:semiHidden/>
    <w:unhideWhenUsed/>
    <w:pPr>
      <w:spacing w:line="300" w:lineRule="auto"/>
    </w:pPr>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tblPr/>
      <w:tcPr>
        <w:shd w:val="solid" w:color="C0C0C0" w:fill="FFFFFF"/>
      </w:tcPr>
    </w:tblStylePr>
    <w:tblStylePr w:type="band2Vert">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Klasikin1">
    <w:name w:val="Table Classic 1"/>
    <w:basedOn w:val="prastojilentel"/>
    <w:uiPriority w:val="99"/>
    <w:semiHidden/>
    <w:unhideWhenUsed/>
    <w:pPr>
      <w:spacing w:line="300" w:lineRule="auto"/>
    </w:pPr>
    <w:rPr/>
    <w:tblPr>
      <w:tblBorders>
        <w:top w:val="single" w:color="000000" w:sz="12" w:space="0"/>
        <w:bottom w:val="single" w:color="000000" w:sz="12" w:space="0"/>
      </w:tblBorders>
    </w:tblPr>
    <w:tcPr>
      <w:shd w:val="clear" w:color="auto" w:fill="auto"/>
    </w:tcPr>
    <w:tblStylePr w:type="firstRow">
      <w:rPr>
        <w:i/>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Klasikin2">
    <w:name w:val="Table Classic 2"/>
    <w:basedOn w:val="prastojilentel"/>
    <w:uiPriority w:val="99"/>
    <w:semiHidden/>
    <w:unhideWhenUsed/>
    <w:pPr>
      <w:spacing w:line="300" w:lineRule="auto"/>
    </w:pPr>
    <w:rPr/>
    <w:tblPr>
      <w:tblBorders>
        <w:top w:val="single" w:color="000000" w:sz="12" w:space="0"/>
        <w:bottom w:val="single" w:color="000000" w:sz="12" w:space="0"/>
      </w:tblBorders>
    </w:tblPr>
    <w:tcPr>
      <w:shd w:val="clear" w:color="auto" w:fill="auto"/>
    </w:tcPr>
    <w:tblStylePr w:type="firstRow">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tblPr/>
      <w:tcPr>
        <w:tcBorders>
          <w:tl2br w:val="none" w:color="auto" w:sz="0" w:space="0"/>
          <w:tr2bl w:val="none" w:color="auto" w:sz="0" w:space="0"/>
        </w:tcBorders>
      </w:tcPr>
    </w:tblStylePr>
  </w:style>
  <w:style w:type="table" w:styleId="LentelKlasikin3">
    <w:name w:val="Table Classic 3"/>
    <w:basedOn w:val="prastojilente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rPr>
      <w:tblPr/>
      <w:tcPr>
        <w:tcBorders>
          <w:bottom w:val="single" w:color="000000" w:sz="6" w:space="0"/>
          <w:tl2br w:val="none" w:color="auto" w:sz="0" w:space="0"/>
          <w:tr2bl w:val="none" w:color="auto" w:sz="0" w:space="0"/>
        </w:tcBorders>
        <w:shd w:val="solid" w:color="000080" w:fill="FFFFFF"/>
      </w:tcPr>
    </w:tblStylePr>
    <w:tblStylePr w:type="lastRow">
      <w:rPr/>
      <w:tblPr/>
      <w:tcPr>
        <w:tcBorders>
          <w:top w:val="single" w:color="000000" w:sz="12" w:space="0"/>
          <w:tl2br w:val="none" w:color="auto" w:sz="0" w:space="0"/>
          <w:tr2bl w:val="none" w:color="auto" w:sz="0" w:space="0"/>
        </w:tcBorders>
        <w:shd w:val="solid" w:color="FFFFFF" w:fill="FFFFFF"/>
      </w:tcPr>
    </w:tblStylePr>
    <w:tblStylePr w:type="firstCol">
      <w:rPr>
        <w:b/>
        <w:bCs/>
      </w:rPr>
      <w:tblPr/>
      <w:tcPr>
        <w:tcBorders>
          <w:tl2br w:val="none" w:color="auto" w:sz="0" w:space="0"/>
          <w:tr2bl w:val="none" w:color="auto" w:sz="0" w:space="0"/>
        </w:tcBorders>
      </w:tcPr>
    </w:tblStylePr>
  </w:style>
  <w:style w:type="table" w:styleId="LentelKlasikin4">
    <w:name w:val="Table Classic 4"/>
    <w:basedOn w:val="prastojilentel"/>
    <w:uiPriority w:val="99"/>
    <w:semiHidden/>
    <w:unhideWhenUsed/>
    <w:pPr>
      <w:spacing w:line="300" w:lineRule="auto"/>
    </w:pPr>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rPr>
      <w:tblPr/>
      <w:tcPr>
        <w:tcBorders>
          <w:bottom w:val="single" w:color="000000" w:sz="6" w:space="0"/>
          <w:tl2br w:val="none" w:color="auto" w:sz="0" w:space="0"/>
          <w:tr2bl w:val="none" w:color="auto" w:sz="0" w:space="0"/>
        </w:tcBorders>
        <w:shd w:val="pct50" w:color="000080" w:fill="FFFFFF"/>
      </w:tcPr>
    </w:tblStylePr>
    <w:tblStylePr w:type="lastRow">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tblPr/>
      <w:tcPr>
        <w:tcBorders>
          <w:tl2br w:val="none" w:color="auto" w:sz="0" w:space="0"/>
          <w:tr2bl w:val="none" w:color="auto" w:sz="0" w:space="0"/>
        </w:tcBorders>
      </w:tcPr>
    </w:tblStylePr>
  </w:style>
  <w:style w:type="table" w:styleId="LentelSpalvota1">
    <w:name w:val="Table Colorful 1"/>
    <w:basedOn w:val="prastojilentel"/>
    <w:uiPriority w:val="99"/>
    <w:semiHidden/>
    <w:unhideWhenUsed/>
    <w:pPr>
      <w:spacing w:line="300" w:lineRule="auto"/>
    </w:pPr>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rPr>
      <w:tblPr/>
      <w:tcPr>
        <w:tcBorders>
          <w:tl2br w:val="none" w:color="auto" w:sz="0" w:space="0"/>
          <w:tr2bl w:val="none" w:color="auto" w:sz="0" w:space="0"/>
        </w:tcBorders>
        <w:shd w:val="solid" w:color="000000" w:fill="FFFFFF"/>
      </w:tcPr>
    </w:tblStylePr>
    <w:tblStylePr w:type="firstCol">
      <w:rPr>
        <w:b/>
        <w:bCs/>
        <w:i/>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rPr>
      <w:tblPr/>
      <w:tcPr>
        <w:tcBorders>
          <w:tl2br w:val="none" w:color="auto" w:sz="0" w:space="0"/>
          <w:tr2bl w:val="none" w:color="auto" w:sz="0" w:space="0"/>
        </w:tcBorders>
      </w:tcPr>
    </w:tblStylePr>
  </w:style>
  <w:style w:type="table" w:styleId="LentelSpalvota2">
    <w:name w:val="Table Colorful 2"/>
    <w:basedOn w:val="prastojilentel"/>
    <w:uiPriority w:val="99"/>
    <w:semiHidden/>
    <w:unhideWhenUsed/>
    <w:pPr>
      <w:spacing w:line="300" w:lineRule="auto"/>
    </w:pPr>
    <w:rPr/>
    <w:tblPr>
      <w:tblBorders>
        <w:bottom w:val="single" w:color="000000" w:sz="12" w:space="0"/>
      </w:tblBorders>
    </w:tblPr>
    <w:tcPr>
      <w:shd w:val="pct20" w:color="FFFF00" w:fill="FFFFFF"/>
    </w:tcPr>
    <w:tblStylePr w:type="firstRow">
      <w:rPr>
        <w:b/>
        <w:bCs/>
        <w:i/>
      </w:rPr>
      <w:tblPr/>
      <w:tcPr>
        <w:tcBorders>
          <w:bottom w:val="single" w:color="000000" w:sz="12" w:space="0"/>
          <w:tl2br w:val="none" w:color="auto" w:sz="0" w:space="0"/>
          <w:tr2bl w:val="none" w:color="auto" w:sz="0" w:space="0"/>
        </w:tcBorders>
        <w:shd w:val="solid" w:color="800000" w:fill="FFFFFF"/>
      </w:tcPr>
    </w:tblStylePr>
    <w:tblStylePr w:type="firstCol">
      <w:rPr>
        <w:b/>
        <w:bCs/>
        <w:i/>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rPr>
      <w:tblPr/>
      <w:tcPr>
        <w:tcBorders>
          <w:tl2br w:val="none" w:color="auto" w:sz="0" w:space="0"/>
          <w:tr2bl w:val="none" w:color="auto" w:sz="0" w:space="0"/>
        </w:tcBorders>
      </w:tcPr>
    </w:tblStylePr>
  </w:style>
  <w:style w:type="table" w:styleId="LentelSpalvota3">
    <w:name w:val="Table Colorful 3"/>
    <w:basedOn w:val="prastojilentel"/>
    <w:uiPriority w:val="99"/>
    <w:semiHidden/>
    <w:unhideWhenUsed/>
    <w:pPr>
      <w:spacing w:line="300" w:lineRule="auto"/>
    </w:pPr>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rPr>
      <w:tblPr/>
      <w:tcPr>
        <w:tcBorders>
          <w:tl2br w:val="none" w:color="auto" w:sz="0" w:space="0"/>
          <w:tr2bl w:val="none" w:color="auto" w:sz="0" w:space="0"/>
        </w:tcBorders>
        <w:shd w:val="solid" w:color="000000" w:fill="FFFFFF"/>
      </w:tcPr>
    </w:tblStylePr>
  </w:style>
  <w:style w:type="table" w:styleId="LentelStulpeliai1">
    <w:name w:val="Table Columns 1"/>
    <w:basedOn w:val="prastojilentel"/>
    <w:uiPriority w:val="99"/>
    <w:semiHidden/>
    <w:unhideWhenUsed/>
    <w:pPr>
      <w:spacing w:line="300" w:lineRule="auto"/>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pct25" w:color="000000" w:fill="FFFFFF"/>
      </w:tcPr>
    </w:tblStylePr>
    <w:tblStylePr w:type="band2Vert">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tulpeliai2">
    <w:name w:val="Table Columns 2"/>
    <w:basedOn w:val="prastojilentel"/>
    <w:uiPriority w:val="99"/>
    <w:semiHidden/>
    <w:unhideWhenUsed/>
    <w:pPr>
      <w:spacing w:line="300" w:lineRule="auto"/>
    </w:pPr>
    <w:rPr>
      <w:b/>
      <w:bCs/>
    </w:rPr>
    <w:tblPr>
      <w:tblStyleColBandSize w:val="1"/>
    </w:tblPr>
    <w:tblStylePr w:type="firstRow">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pct30" w:color="000000" w:fill="FFFFFF"/>
      </w:tcPr>
    </w:tblStylePr>
    <w:tblStylePr w:type="band2Vert">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tulpeliai3">
    <w:name w:val="Table Columns 3"/>
    <w:basedOn w:val="prastojilentel"/>
    <w:uiPriority w:val="99"/>
    <w:semiHidden/>
    <w:unhideWhenUsed/>
    <w:pPr>
      <w:spacing w:line="300" w:lineRule="auto"/>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tblPr/>
      <w:tcPr>
        <w:shd w:val="solid" w:color="C0C0C0" w:fill="FFFFFF"/>
      </w:tcPr>
    </w:tblStylePr>
    <w:tblStylePr w:type="band2Vert">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LentelStulpeliai4">
    <w:name w:val="Table Columns 4"/>
    <w:basedOn w:val="prastojilentel"/>
    <w:uiPriority w:val="99"/>
    <w:semiHidden/>
    <w:unhideWhenUsed/>
    <w:pPr>
      <w:spacing w:line="300" w:lineRule="auto"/>
    </w:pPr>
    <w:rPr/>
    <w:tblPr>
      <w:tblStyleColBandSize w:val="1"/>
    </w:tblPr>
    <w:tblStylePr w:type="firstRow">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tblPr/>
      <w:tcPr>
        <w:shd w:val="pct50" w:color="008080" w:fill="FFFFFF"/>
      </w:tcPr>
    </w:tblStylePr>
    <w:tblStylePr w:type="band2Vert">
      <w:rPr/>
      <w:tblPr/>
      <w:tcPr>
        <w:shd w:val="pct10" w:color="000000" w:fill="FFFFFF"/>
      </w:tcPr>
    </w:tblStylePr>
  </w:style>
  <w:style w:type="table" w:styleId="LentelStulpeliai5">
    <w:name w:val="Table Columns 5"/>
    <w:basedOn w:val="prastojilentel"/>
    <w:uiPriority w:val="99"/>
    <w:semiHidden/>
    <w:unhideWhenUsed/>
    <w:pPr>
      <w:spacing w:line="300" w:lineRule="auto"/>
    </w:pPr>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tblPr/>
      <w:tcPr>
        <w:shd w:val="solid" w:color="C0C0C0" w:fill="FFFFFF"/>
      </w:tcPr>
    </w:tblStylePr>
    <w:tblStylePr w:type="band2Vert">
      <w:rPr/>
      <w:tblPr/>
    </w:tblStylePr>
  </w:style>
  <w:style w:type="table" w:styleId="Lenteliuolaikin">
    <w:name w:val="Table Contemporary"/>
    <w:basedOn w:val="prastojilentel"/>
    <w:uiPriority w:val="99"/>
    <w:semiHidden/>
    <w:unhideWhenUsed/>
    <w:pPr>
      <w:spacing w:line="300" w:lineRule="auto"/>
    </w:pPr>
    <w:tblPr>
      <w:tblStyleRowBandSize w:val="1"/>
      <w:tblBorders>
        <w:insideH w:val="single" w:color="FFFFFF" w:sz="18" w:space="0"/>
        <w:insideV w:val="single" w:color="FFFFFF" w:sz="18" w:space="0"/>
      </w:tblBorders>
    </w:tblPr>
    <w:tblStylePr w:type="firstRow">
      <w:rPr>
        <w:b/>
        <w:bCs/>
      </w:rPr>
      <w:tblPr/>
      <w:tcPr>
        <w:tcBorders>
          <w:tl2br w:val="none" w:color="auto" w:sz="0" w:space="0"/>
          <w:tr2bl w:val="none" w:color="auto" w:sz="0" w:space="0"/>
        </w:tcBorders>
        <w:shd w:val="pct20" w:color="000000" w:fill="FFFFFF"/>
      </w:tcPr>
    </w:tblStylePr>
    <w:tblStylePr w:type="band1Horz">
      <w:rPr/>
      <w:tblPr/>
      <w:tcPr>
        <w:tcBorders>
          <w:tl2br w:val="none" w:color="auto" w:sz="0" w:space="0"/>
          <w:tr2bl w:val="none" w:color="auto" w:sz="0" w:space="0"/>
        </w:tcBorders>
        <w:shd w:val="pct5" w:color="000000" w:fill="FFFFFF"/>
      </w:tcPr>
    </w:tblStylePr>
    <w:tblStylePr w:type="band2Horz">
      <w:rPr/>
      <w:tblPr/>
      <w:tcPr>
        <w:tcBorders>
          <w:tl2br w:val="none" w:color="auto" w:sz="0" w:space="0"/>
          <w:tr2bl w:val="none" w:color="auto" w:sz="0" w:space="0"/>
        </w:tcBorders>
        <w:shd w:val="pct20" w:color="000000" w:fill="FFFFFF"/>
      </w:tcPr>
    </w:tblStylePr>
  </w:style>
  <w:style w:type="table" w:styleId="LentelElegantika">
    <w:name w:val="Table Elegant"/>
    <w:basedOn w:val="prastojilentel"/>
    <w:uiPriority w:val="99"/>
    <w:semiHidden/>
    <w:unhideWhenUsed/>
    <w:pPr>
      <w:spacing w:line="300" w:lineRule="auto"/>
    </w:pPr>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rPr>
      <w:tblPr/>
      <w:tcPr>
        <w:tcBorders>
          <w:tl2br w:val="none" w:color="auto" w:sz="0" w:space="0"/>
          <w:tr2bl w:val="none" w:color="auto" w:sz="0" w:space="0"/>
        </w:tcBorders>
      </w:tcPr>
    </w:tblStylePr>
  </w:style>
  <w:style w:type="table" w:styleId="LentelTinklelis1">
    <w:name w:val="Table Grid 1"/>
    <w:basedOn w:val="prastojilente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rPr>
      <w:tblPr/>
      <w:tcPr>
        <w:tcBorders>
          <w:tl2br w:val="none" w:color="auto" w:sz="0" w:space="0"/>
          <w:tr2bl w:val="none" w:color="auto" w:sz="0" w:space="0"/>
        </w:tcBorders>
      </w:tcPr>
    </w:tblStylePr>
    <w:tblStylePr w:type="lastCol">
      <w:rPr>
        <w:i/>
      </w:rPr>
      <w:tblPr/>
      <w:tcPr>
        <w:tcBorders>
          <w:tl2br w:val="none" w:color="auto" w:sz="0" w:space="0"/>
          <w:tr2bl w:val="none" w:color="auto" w:sz="0" w:space="0"/>
        </w:tcBorders>
      </w:tcPr>
    </w:tblStylePr>
  </w:style>
  <w:style w:type="table" w:styleId="LentelTinklelis2">
    <w:name w:val="Table Grid 2"/>
    <w:basedOn w:val="prastojilentel"/>
    <w:uiPriority w:val="99"/>
    <w:semiHidden/>
    <w:unhideWhenUsed/>
    <w:pPr>
      <w:spacing w:line="300" w:lineRule="auto"/>
    </w:pPr>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LentelTinklelis3">
    <w:name w:val="Table Grid 3"/>
    <w:basedOn w:val="prastojilentel"/>
    <w:uiPriority w:val="99"/>
    <w:semiHidden/>
    <w:unhideWhenUsed/>
    <w:pPr>
      <w:spacing w:line="300" w:lineRule="auto"/>
    </w:pPr>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LentelTinklelis4">
    <w:name w:val="Table Grid 4"/>
    <w:basedOn w:val="prastojilentel"/>
    <w:uiPriority w:val="99"/>
    <w:semiHidden/>
    <w:unhideWhenUsed/>
    <w:pPr>
      <w:spacing w:line="300" w:lineRule="auto"/>
    </w:pPr>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op w:val="single" w:color="000000" w:sz="6" w:space="0"/>
          <w:tl2br w:val="none" w:color="auto" w:sz="0" w:space="0"/>
          <w:tr2bl w:val="none" w:color="auto" w:sz="0" w:space="0"/>
        </w:tcBorders>
        <w:shd w:val="pct30" w:color="FFFF00" w:fill="FFFFFF"/>
      </w:tcPr>
    </w:tblStylePr>
    <w:tblStylePr w:type="lastCol">
      <w:rPr>
        <w:b/>
        <w:bCs/>
      </w:rPr>
      <w:tblPr/>
      <w:tcPr>
        <w:tcBorders>
          <w:tl2br w:val="none" w:color="auto" w:sz="0" w:space="0"/>
          <w:tr2bl w:val="none" w:color="auto" w:sz="0" w:space="0"/>
        </w:tcBorders>
      </w:tcPr>
    </w:tblStylePr>
  </w:style>
  <w:style w:type="table" w:styleId="LentelTinklelis5">
    <w:name w:val="Table Grid 5"/>
    <w:basedOn w:val="prastojilente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LentelTinklelis6">
    <w:name w:val="Table Grid 6"/>
    <w:basedOn w:val="prastojilente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LentelTinklelis7">
    <w:name w:val="Table Grid 7"/>
    <w:basedOn w:val="prastojilentel"/>
    <w:uiPriority w:val="99"/>
    <w:semiHidden/>
    <w:unhideWhenUsed/>
    <w:pPr>
      <w:spacing w:line="300"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LentelTinklelis8">
    <w:name w:val="Table Grid 8"/>
    <w:basedOn w:val="prastojilentel"/>
    <w:uiPriority w:val="99"/>
    <w:semiHidden/>
    <w:unhideWhenUsed/>
    <w:pPr>
      <w:spacing w:line="300" w:lineRule="auto"/>
    </w:pPr>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rPr>
      <w:tblPr/>
      <w:tcPr>
        <w:tcBorders>
          <w:tl2br w:val="none" w:color="auto" w:sz="0" w:space="0"/>
          <w:tr2bl w:val="none" w:color="auto" w:sz="0" w:space="0"/>
        </w:tcBorders>
        <w:shd w:val="solid" w:color="00008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LentelSraas1">
    <w:name w:val="Table List 1"/>
    <w:basedOn w:val="prastojilentel"/>
    <w:uiPriority w:val="99"/>
    <w:semiHidden/>
    <w:unhideWhenUsed/>
    <w:pPr>
      <w:spacing w:line="300" w:lineRule="auto"/>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tblPr/>
      <w:tcPr>
        <w:tcBorders>
          <w:tl2br w:val="none" w:color="auto" w:sz="0" w:space="0"/>
          <w:tr2bl w:val="none" w:color="auto" w:sz="0" w:space="0"/>
        </w:tcBorders>
        <w:shd w:val="solid" w:color="C0C0C0" w:fill="FFFFFF"/>
      </w:tcPr>
    </w:tblStylePr>
    <w:tblStylePr w:type="band2Horz">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raas2">
    <w:name w:val="Table List 2"/>
    <w:basedOn w:val="prastojilentel"/>
    <w:uiPriority w:val="99"/>
    <w:semiHidden/>
    <w:unhideWhenUsed/>
    <w:pPr>
      <w:spacing w:line="300" w:lineRule="auto"/>
    </w:pPr>
    <w:tblPr>
      <w:tblStyleRowBandSize w:val="2"/>
      <w:tblBorders>
        <w:bottom w:val="single" w:color="808080" w:sz="12" w:space="0"/>
      </w:tblBorders>
    </w:tblPr>
    <w:tblStylePr w:type="firstRow">
      <w:rPr>
        <w:b/>
        <w:bCs/>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tblPr/>
      <w:tcPr>
        <w:tcBorders>
          <w:tl2br w:val="none" w:color="auto" w:sz="0" w:space="0"/>
          <w:tr2bl w:val="none" w:color="auto" w:sz="0" w:space="0"/>
        </w:tcBorders>
        <w:shd w:val="pct20" w:color="00FF00" w:fill="FFFFFF"/>
      </w:tcPr>
    </w:tblStylePr>
    <w:tblStylePr w:type="band2Horz">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raas3">
    <w:name w:val="Table List 3"/>
    <w:basedOn w:val="prastojilentel"/>
    <w:uiPriority w:val="99"/>
    <w:semiHidden/>
    <w:unhideWhenUsed/>
    <w:pPr>
      <w:spacing w:line="300" w:lineRule="auto"/>
    </w:pPr>
    <w:rPr/>
    <w:tblPr>
      <w:tblBorders>
        <w:top w:val="single" w:color="000000" w:sz="12" w:space="0"/>
        <w:bottom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rPr>
      <w:tblPr/>
      <w:tcPr>
        <w:tcBorders>
          <w:tl2br w:val="none" w:color="auto" w:sz="0" w:space="0"/>
          <w:tr2bl w:val="none" w:color="auto" w:sz="0" w:space="0"/>
        </w:tcBorders>
      </w:tcPr>
    </w:tblStylePr>
  </w:style>
  <w:style w:type="table" w:styleId="LentelSraas4">
    <w:name w:val="Table List 4"/>
    <w:basedOn w:val="prastojilente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shd w:val="solid" w:color="808080" w:fill="FFFFFF"/>
      </w:tcPr>
    </w:tblStylePr>
  </w:style>
  <w:style w:type="table" w:styleId="LentelSraas5">
    <w:name w:val="Table List 5"/>
    <w:basedOn w:val="prastojilente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LentelSraas6">
    <w:name w:val="Table List 6"/>
    <w:basedOn w:val="prastojilentel"/>
    <w:uiPriority w:val="99"/>
    <w:semiHidden/>
    <w:unhideWhenUsed/>
    <w:pPr>
      <w:spacing w:line="300" w:lineRule="auto"/>
    </w:pPr>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LentelSraas7">
    <w:name w:val="Table List 7"/>
    <w:basedOn w:val="prastojilentel"/>
    <w:uiPriority w:val="99"/>
    <w:semiHidden/>
    <w:unhideWhenUsed/>
    <w:pPr>
      <w:spacing w:line="300" w:lineRule="auto"/>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LentelSraas8">
    <w:name w:val="Table List 8"/>
    <w:basedOn w:val="prastojilentel"/>
    <w:uiPriority w:val="99"/>
    <w:semiHidden/>
    <w:unhideWhenUsed/>
    <w:pPr>
      <w:spacing w:line="300" w:lineRule="auto"/>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LentelProfesionali">
    <w:name w:val="Table Professional"/>
    <w:basedOn w:val="prastojilentel"/>
    <w:uiPriority w:val="99"/>
    <w:semiHidden/>
    <w:unhideWhenUsed/>
    <w:pPr>
      <w:spacing w:line="300" w:lineRule="auto"/>
    </w:pPr>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LentelPaprasta1">
    <w:name w:val="Table Simple 1"/>
    <w:basedOn w:val="prastojilentel"/>
    <w:uiPriority w:val="99"/>
    <w:semiHidden/>
    <w:unhideWhenUsed/>
    <w:pPr>
      <w:spacing w:line="300" w:lineRule="auto"/>
    </w:pPr>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LentelPaprasta2">
    <w:name w:val="Table Simple 2"/>
    <w:basedOn w:val="prastojilentel"/>
    <w:uiPriority w:val="99"/>
    <w:semiHidden/>
    <w:unhideWhenUsed/>
    <w:pPr>
      <w:spacing w:line="300" w:lineRule="auto"/>
    </w:pPr>
    <w:tblStylePr w:type="firstRow">
      <w:rPr>
        <w:b/>
        <w:bCs/>
      </w:rPr>
      <w:tblPr/>
      <w:tcPr>
        <w:tcBorders>
          <w:bottom w:val="single" w:color="000000" w:sz="12" w:space="0"/>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LentelPaprasta3">
    <w:name w:val="Table Simple 3"/>
    <w:basedOn w:val="prastojilentel"/>
    <w:uiPriority w:val="99"/>
    <w:semiHidden/>
    <w:unhideWhenUsed/>
    <w:pPr>
      <w:spacing w:line="300" w:lineRule="auto"/>
    </w:pPr>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rPr>
      <w:tblPr/>
      <w:tcPr>
        <w:tcBorders>
          <w:tl2br w:val="none" w:color="auto" w:sz="0" w:space="0"/>
          <w:tr2bl w:val="none" w:color="auto" w:sz="0" w:space="0"/>
        </w:tcBorders>
        <w:shd w:val="solid" w:color="000000" w:fill="FFFFFF"/>
      </w:tcPr>
    </w:tblStylePr>
  </w:style>
  <w:style w:type="table" w:styleId="LentelSubtili1">
    <w:name w:val="Table Subtle 1"/>
    <w:basedOn w:val="prastojilentel"/>
    <w:uiPriority w:val="99"/>
    <w:semiHidden/>
    <w:unhideWhenUsed/>
    <w:pPr>
      <w:spacing w:line="300" w:lineRule="auto"/>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ubtili2">
    <w:name w:val="Table Subtle 2"/>
    <w:basedOn w:val="prastojilentel"/>
    <w:uiPriority w:val="99"/>
    <w:semiHidden/>
    <w:unhideWhenUsed/>
    <w:pPr>
      <w:spacing w:line="300" w:lineRule="auto"/>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Lentelstema">
    <w:name w:val="Table Theme"/>
    <w:basedOn w:val="prastojilentel"/>
    <w:uiPriority w:val="99"/>
    <w:semiHidden/>
    <w:unhideWhenUsed/>
    <w:pPr>
      <w:spacing w:line="30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enteliniatinklis1">
    <w:name w:val="Table Web 1"/>
    <w:basedOn w:val="prastojilentel"/>
    <w:uiPriority w:val="99"/>
    <w:semiHidden/>
    <w:unhideWhenUsed/>
    <w:pPr>
      <w:spacing w:line="300" w:lineRule="auto"/>
    </w:pPr>
    <w:rPr/>
    <w:tblP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styleId="Lenteliniatinklis2">
    <w:name w:val="Table Web 2"/>
    <w:basedOn w:val="prastojilentel"/>
    <w:uiPriority w:val="99"/>
    <w:semiHidden/>
    <w:unhideWhenUsed/>
    <w:pPr>
      <w:spacing w:line="300" w:lineRule="auto"/>
    </w:pPr>
    <w:rPr/>
    <w:tblPr>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styleId="Lenteliniatinklis3">
    <w:name w:val="Table Web 3"/>
    <w:basedOn w:val="prastojilentel"/>
    <w:uiPriority w:val="99"/>
    <w:semiHidden/>
    <w:unhideWhenUsed/>
    <w:pPr>
      <w:spacing w:line="300" w:lineRule="auto"/>
    </w:pPr>
    <w:rPr/>
    <w:tblPr>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cPr>
      <w:shd w:val="clear" w:color="auto" w:fill="auto"/>
    </w:tcPr>
    <w:tblStylePr w:type="firstRow">
      <w:rPr/>
      <w:tblPr/>
      <w:tcPr>
        <w:tcBorders>
          <w:tl2br w:val="none" w:color="auto" w:sz="0" w:space="0"/>
          <w:tr2bl w:val="none" w:color="auto" w:sz="0" w:space="0"/>
        </w:tcBorders>
      </w:tcPr>
    </w:tblStylePr>
  </w:style>
  <w:style w:type="table" w:customStyle="1" w:styleId="FinancialTable">
    <w:name w:val="Financial Table"/>
    <w:basedOn w:val="prastojilentel"/>
    <w:uiPriority w:val="99"/>
    <w:pPr>
      <w:ind w:right="144"/>
      <w:spacing w:after="0" w:line="240" w:lineRule="auto"/>
    </w:pPr>
    <w:tblPr>
      <w:tblBorders>
        <w:insideH w:val="single" w:color="D9D9D9" w:themeColor="background1" w:sz="4" w:space="0"/>
      </w:tblBorders>
      <w:tblCellMar>
        <w:left w:w="0" w:type="dxa"/>
        <w:right w:w="0" w:type="dxa"/>
      </w:tblCellMar>
    </w:tblPr>
    <w:tblStylePr w:type="firstRow">
      <w:rPr>
        <w:rFonts w:asciiTheme="majorHAnsi" w:hAnsiTheme="majorHAnsi"/>
        <w:b w:val="0"/>
        <w:caps/>
        <w:smallCaps w:val="0"/>
        <w:color w:themeColor="accent1"/>
        <w:sz w:val="22"/>
      </w:rPr>
      <w:tblPr/>
    </w:tblStylePr>
    <w:tblStylePr w:type="firstCol">
      <w:rPr>
        <w:b/>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oleObject" Target="embeddings/oleObject1.bin"/><Relationship Id="rId5" Type="http://schemas.openxmlformats.org/officeDocument/2006/relationships/image" Target="media/image1.wmf"/><Relationship Id="rId6" Type="http://schemas.openxmlformats.org/officeDocument/2006/relationships/oleObject" Target="embeddings/oleObject2.bin"/><Relationship Id="rId7" Type="http://schemas.openxmlformats.org/officeDocument/2006/relationships/image" Target="media/image2.wmf"/><Relationship Id="rId8" Type="http://schemas.openxmlformats.org/officeDocument/2006/relationships/oleObject" Target="embeddings/oleObject3.bin"/><Relationship Id="rId9" Type="http://schemas.openxmlformats.org/officeDocument/2006/relationships/image" Target="media/image3.wmf"/><Relationship Id="rId10" Type="http://schemas.openxmlformats.org/officeDocument/2006/relationships/image" Target="media/image4.png"/><Relationship Id="rId11" Type="http://schemas.openxmlformats.org/officeDocument/2006/relationships/oleObject" Target="embeddings/oleObject4.bin"/><Relationship Id="rId12" Type="http://schemas.openxmlformats.org/officeDocument/2006/relationships/image" Target="media/image5.wmf"/><Relationship Id="rId13" Type="http://schemas.openxmlformats.org/officeDocument/2006/relationships/oleObject" Target="embeddings/oleObject5.bin"/><Relationship Id="rId14" Type="http://schemas.openxmlformats.org/officeDocument/2006/relationships/image" Target="media/image6.wmf"/><Relationship Id="rId15" Type="http://schemas.openxmlformats.org/officeDocument/2006/relationships/oleObject" Target="embeddings/oleObject6.bin"/><Relationship Id="rId16" Type="http://schemas.openxmlformats.org/officeDocument/2006/relationships/image" Target="media/image7.wmf"/><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footer" Target="footer2.xml"/><Relationship Id="rId20" Type="http://schemas.openxmlformats.org/officeDocument/2006/relationships/footer" Target="footer3.xml"/><Relationship Id="rId21" Type="http://schemas.openxmlformats.org/officeDocument/2006/relationships/oleObject" Target="embeddings/oleObject7.bin"/><Relationship Id="rId22" Type="http://schemas.openxmlformats.org/officeDocument/2006/relationships/image" Target="media/image8.wmf"/><Relationship Id="rId23" Type="http://schemas.openxmlformats.org/officeDocument/2006/relationships/image" Target="media/image9.png"/><Relationship Id="rId24" Type="http://schemas.openxmlformats.org/officeDocument/2006/relationships/image" Target="media/image9.png"/><Relationship Id="rId25" Type="http://schemas.openxmlformats.org/officeDocument/2006/relationships/oleObject" Target="embeddings/oleObject8.bin"/><Relationship Id="rId26" Type="http://schemas.openxmlformats.org/officeDocument/2006/relationships/image" Target="media/image10.wmf"/><Relationship Id="rId27" Type="http://schemas.openxmlformats.org/officeDocument/2006/relationships/oleObject" Target="embeddings/oleObject9.bin"/><Relationship Id="rId28" Type="http://schemas.openxmlformats.org/officeDocument/2006/relationships/image" Target="media/image11.wmf"/><Relationship Id="rId29" Type="http://schemas.openxmlformats.org/officeDocument/2006/relationships/oleObject" Target="embeddings/oleObject10.bin"/><Relationship Id="rId30" Type="http://schemas.openxmlformats.org/officeDocument/2006/relationships/image" Target="media/image12.wmf"/><Relationship Id="rId31" Type="http://schemas.openxmlformats.org/officeDocument/2006/relationships/hyperlink" Target="https://e-seimas.lrs.lt/rs/legalact/TAD/7b5b0592ca8411ed9b3c9397e1236c2a/" TargetMode="External"/><Relationship Id="rId32" Type="http://schemas.openxmlformats.org/officeDocument/2006/relationships/hyperlink" Target="https://e-seimas.lrs.lt/portal/legalAct/lt/ TAD/b574b900481b11e4ba2fc5e712e90cd4/asr" TargetMode="External"/><Relationship Id="rId33" Type="http://schemas.openxmlformats.org/officeDocument/2006/relationships/hyperlink" Target="https://www.hi.lt/uploads/Sveikatos stiprinimo centras/ SKL ataskaitos/ SSP_SKL_CD_2023_duomenu _suvestine_pagal_savivaldybes.pdf" TargetMode="External"/><Relationship Id="rId34" Type="http://schemas.openxmlformats.org/officeDocument/2006/relationships/hyperlink" Target="https://e-seimas.lrs.lt/portal/legalAct/lt/TAD/ a1d90172017c11eebc0bd16e3a4d3b97" TargetMode="External"/><Relationship Id="rId35" Type="http://schemas.openxmlformats.org/officeDocument/2006/relationships/hyperlink" Target="https://e-seimas.lrs.lt/portal/legalAct/lt/ TAD/65d00fa18d3911edb55e9d42c1579bdf" TargetMode="External"/><Relationship Id="rId36" Type="http://schemas.openxmlformats.org/officeDocument/2006/relationships/hyperlink" Target="https://e-seimas.lrs.lt/portal/legalAct/lt/TAD/ 979a1521d57c11ea8f4ce1816a470b26?jfwid=-yj5zr00nx" TargetMode="External"/><Relationship Id="rId37" Type="http://schemas.openxmlformats.org/officeDocument/2006/relationships/hyperlink" Target="https://e-seimas.lrs.lt/portal/legalAct/lt/ TAD/0285e6606cde11e99684a7f33a9827ac/asr" TargetMode="External"/><Relationship Id="rId38" Type="http://schemas.openxmlformats.org/officeDocument/2006/relationships/hyperlink" Target="https://e-seimas.lrs.lt/portal/legalAct/lt/TAD/f422f501129911ebbedbd456d2fb030d" TargetMode="External"/><Relationship Id="rId39" Type="http://schemas.openxmlformats.org/officeDocument/2006/relationships/hyperlink" Target="https://e-seimas.lrs.lt/portal/legalAct/lt/ TAD/25689912b18611ee8172b53a675305ab" TargetMode="External"/><Relationship Id="rId40" Type="http://schemas.openxmlformats.org/officeDocument/2006/relationships/hyperlink" Target="https://www.hi.lt/uploads/Products/product_389/ Saviudybi_prevencijos_koordinavimo_savivaldybse _TA_gairs_(2024)_.pdf" TargetMode="External"/><Relationship Id="rId41" Type="http://schemas.openxmlformats.org/officeDocument/2006/relationships/image" Target="media/image13.png"/><Relationship Id="rId42" Type="http://schemas.openxmlformats.org/officeDocument/2006/relationships/header" Target="header4.xml"/><Relationship Id="rId43" Type="http://schemas.openxmlformats.org/officeDocument/2006/relationships/header" Target="header5.xml"/><Relationship Id="rId44" Type="http://schemas.openxmlformats.org/officeDocument/2006/relationships/footer" Target="footer4.xml"/><Relationship Id="rId45" Type="http://schemas.openxmlformats.org/officeDocument/2006/relationships/footer" Target="footer5.xml"/><Relationship Id="rId46" Type="http://schemas.openxmlformats.org/officeDocument/2006/relationships/numbering" Target="numbering.xml"/><Relationship Id="rId47" Type="http://schemas.openxmlformats.org/officeDocument/2006/relationships/fontTable" Target="fontTable.xml"/><Relationship Id="rId48" Type="http://schemas.openxmlformats.org/officeDocument/2006/relationships/settings" Target="settings.xml"/><Relationship Id="rId49" Type="http://schemas.openxmlformats.org/officeDocument/2006/relationships/theme" Target="theme/theme1.xml"/><Relationship Id="rId50" Type="http://schemas.openxmlformats.org/officeDocument/2006/relationships/customXml" Target="../customXml/item1.xml"/><Relationship Id="rId51" Type="http://schemas.openxmlformats.org/officeDocument/2006/relationships/customXml" Target="../customXml/item2.xml"/><Relationship Id="rId52" Type="http://schemas.openxmlformats.org/officeDocument/2006/relationships/customXml" Target="../customXml/item3.xml"/><Relationship Id="rId53" Type="http://schemas.openxmlformats.org/officeDocument/2006/relationships/customXml" Target="../customXml/item4.xml"/>
</Relationships>
</file>

<file path=word/theme/theme1.xml><?xml version="1.0" encoding="utf-8"?>
<a:theme xmlns:a="http://schemas.openxmlformats.org/drawingml/2006/main" xmlns:r="http://schemas.openxmlformats.org/officeDocument/2006/relationships"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2024-09-30T00:00:00</PublishDate>
  <Abstract/>
  <CompanyAddress/>
  <CompanyPhone/>
  <CompanyFax/>
  <CompanyEmail/>
</CoverPageProperties>
</file>

<file path=customXml/item3.xml><?xml version="1.0" encoding="utf-8"?>
<FormTemplates xmlns="http://schemas.microsoft.com/sharepoint/v3/contenttype/forms">
  <Display>DocumentLibraryForm</Display>
  <Edit>AssetEditForm</Edit>
  <New>DocumentLibraryForm</New>
</FormTemplates>
</file>

<file path=customXml/item4.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Props1.xml><?xml version="1.0" encoding="utf-8"?>
<ds:datastoreItem xmlns:ds="http://schemas.openxmlformats.org/officeDocument/2006/customXml" ds:itemID="{B27CB7C1-C068-4A8D-B0C4-E8FAD4EDD0A4}">
  <ds:schemaRefs>
    <ds:schemaRef ds:uri="http://schemas.openxmlformats.org/officeDocument/2006/bibliography"/>
  </ds:schemaRefs>
</ds:datastoreItem>
</file>

<file path=customXml/itemProps2.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3.xml><?xml version="1.0" encoding="utf-8"?>
<ds:datastoreItem xmlns:ds="http://schemas.openxmlformats.org/officeDocument/2006/customXml" ds:itemID="{5BC57544-08A9-431D-B7E1-E223A81C4B52}">
  <ds:schemaRefs>
    <ds:schemaRef ds:uri="http://schemas.microsoft.com/sharepoint/v3/contenttype/forms"/>
  </ds:schemaRefs>
</ds:datastoreItem>
</file>

<file path=customXml/itemProps4.xml><?xml version="1.0" encoding="utf-8"?>
<ds:datastoreItem xmlns:ds="http://schemas.openxmlformats.org/officeDocument/2006/customXml" ds:itemID="{F679E4D8-73D9-412D-B716-777944E71373}">
  <ds:schemaRefs>
    <ds:schemaRef ds:uri="http://schemas.microsoft.com/pics"/>
  </ds:schemaRefs>
</ds:datastoreItem>
</file>

<file path=docProps/app.xml><?xml version="1.0" encoding="utf-8"?>
<Properties xmlns="http://schemas.openxmlformats.org/officeDocument/2006/extended-properties" xmlns:vt="http://schemas.openxmlformats.org/officeDocument/2006/docPropsVTypes">
  <Template>TimelessReport</Template>
  <TotalTime>6</TotalTime>
  <Application>LibreOffice/7.6.4.1$Windows_X86_64 LibreOffice_project/e19e193f88cd6c0525a17fb7a176ed8e6a3e2aa1</Application>
  <AppVersion>15.0000</AppVersion>
  <Pages>90</Pages>
  <Words>13859</Words>
  <Characters>100177</Characters>
  <CharactersWithSpaces>112061</CharactersWithSpaces>
  <Paragraphs>1731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2025-02-27T15:32:00Z</dcterms:created>
  <dc:creator>Asta Urma</dc:creator>
  <dc:description/>
  <dc:language>en-US</dc:language>
  <cp:lastModifiedBy/>
  <cp:lastPrinted>2011-08-05T20:35:00Z</cp:lastPrinted>
  <dcterms:modified xsi:type="dcterms:W3CDTF">2025-02-28T12:01:29Z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TC028350639991</vt:lpwstr>
  </property>
</Properties>
</file>