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ABDCD" w14:textId="2A8DE385" w:rsidR="00494DA9" w:rsidRPr="009A2BB7" w:rsidRDefault="00473E13" w:rsidP="00D539B1">
      <w:pPr>
        <w:pStyle w:val="Heading2"/>
        <w:spacing w:line="276" w:lineRule="auto"/>
        <w:jc w:val="center"/>
        <w:rPr>
          <w:rFonts w:ascii="Times New Roman" w:hAnsi="Times New Roman" w:cs="Times New Roman"/>
        </w:rPr>
      </w:pPr>
      <w:bookmarkStart w:id="0" w:name="_GoBack"/>
      <w:bookmarkEnd w:id="0"/>
      <w:r w:rsidRPr="009A2BB7">
        <w:rPr>
          <w:rFonts w:ascii="Times New Roman" w:hAnsi="Times New Roman" w:cs="Times New Roman"/>
          <w:i w:val="0"/>
          <w:sz w:val="22"/>
          <w:szCs w:val="22"/>
          <w:lang w:val="lt-LT"/>
        </w:rPr>
        <w:t xml:space="preserve">TECHNINĖ SPECIFIKACIJA </w:t>
      </w:r>
    </w:p>
    <w:tbl>
      <w:tblPr>
        <w:tblStyle w:val="TableGrid"/>
        <w:tblW w:w="15855" w:type="dxa"/>
        <w:tblInd w:w="-459" w:type="dxa"/>
        <w:tblLayout w:type="fixed"/>
        <w:tblLook w:val="04A0" w:firstRow="1" w:lastRow="0" w:firstColumn="1" w:lastColumn="0" w:noHBand="0" w:noVBand="1"/>
      </w:tblPr>
      <w:tblGrid>
        <w:gridCol w:w="738"/>
        <w:gridCol w:w="4956"/>
        <w:gridCol w:w="4258"/>
        <w:gridCol w:w="850"/>
        <w:gridCol w:w="964"/>
        <w:gridCol w:w="4089"/>
      </w:tblGrid>
      <w:tr w:rsidR="005021C0" w:rsidRPr="009A2BB7" w14:paraId="293DCDDF" w14:textId="77777777" w:rsidTr="00642696">
        <w:trPr>
          <w:trHeight w:val="801"/>
        </w:trPr>
        <w:tc>
          <w:tcPr>
            <w:tcW w:w="738" w:type="dxa"/>
            <w:tcBorders>
              <w:bottom w:val="single" w:sz="4" w:space="0" w:color="auto"/>
            </w:tcBorders>
            <w:vAlign w:val="center"/>
          </w:tcPr>
          <w:p w14:paraId="51DED604"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Eil.</w:t>
            </w:r>
          </w:p>
          <w:p w14:paraId="6CC52886"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Nr.</w:t>
            </w:r>
          </w:p>
        </w:tc>
        <w:tc>
          <w:tcPr>
            <w:tcW w:w="4956" w:type="dxa"/>
            <w:tcBorders>
              <w:bottom w:val="single" w:sz="4" w:space="0" w:color="auto"/>
              <w:right w:val="nil"/>
            </w:tcBorders>
            <w:vAlign w:val="center"/>
          </w:tcPr>
          <w:p w14:paraId="62B08B0C"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Gaminio pavadinimas ir techniniai reikalavimai</w:t>
            </w:r>
          </w:p>
        </w:tc>
        <w:tc>
          <w:tcPr>
            <w:tcW w:w="4258" w:type="dxa"/>
            <w:tcBorders>
              <w:bottom w:val="single" w:sz="4" w:space="0" w:color="auto"/>
            </w:tcBorders>
            <w:vAlign w:val="center"/>
          </w:tcPr>
          <w:p w14:paraId="29D33AA1" w14:textId="05D80F5C"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Preliminari vizualizacija</w:t>
            </w:r>
          </w:p>
        </w:tc>
        <w:tc>
          <w:tcPr>
            <w:tcW w:w="850" w:type="dxa"/>
            <w:tcBorders>
              <w:bottom w:val="single" w:sz="4" w:space="0" w:color="auto"/>
            </w:tcBorders>
            <w:vAlign w:val="center"/>
          </w:tcPr>
          <w:p w14:paraId="277D0237" w14:textId="1C7A7627" w:rsidR="005021C0" w:rsidRPr="009A2BB7" w:rsidRDefault="00D539B1">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Kiekis</w:t>
            </w:r>
          </w:p>
        </w:tc>
        <w:tc>
          <w:tcPr>
            <w:tcW w:w="964" w:type="dxa"/>
            <w:tcBorders>
              <w:bottom w:val="single" w:sz="4" w:space="0" w:color="auto"/>
            </w:tcBorders>
            <w:vAlign w:val="center"/>
          </w:tcPr>
          <w:p w14:paraId="01CAB5A7" w14:textId="5A9CD8CA" w:rsidR="005021C0" w:rsidRPr="009A2BB7" w:rsidRDefault="00D539B1">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Mato vnt.</w:t>
            </w:r>
          </w:p>
        </w:tc>
        <w:tc>
          <w:tcPr>
            <w:tcW w:w="4089" w:type="dxa"/>
            <w:tcBorders>
              <w:bottom w:val="single" w:sz="4" w:space="0" w:color="auto"/>
            </w:tcBorders>
            <w:vAlign w:val="center"/>
          </w:tcPr>
          <w:p w14:paraId="58A76796"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Siūloma techninė charakteristika</w:t>
            </w:r>
          </w:p>
        </w:tc>
      </w:tr>
      <w:tr w:rsidR="005021C0" w:rsidRPr="009A2BB7" w14:paraId="153DDF04" w14:textId="77777777" w:rsidTr="00642696">
        <w:trPr>
          <w:trHeight w:val="454"/>
        </w:trPr>
        <w:tc>
          <w:tcPr>
            <w:tcW w:w="738" w:type="dxa"/>
            <w:tcBorders>
              <w:top w:val="single" w:sz="4" w:space="0" w:color="auto"/>
              <w:bottom w:val="single" w:sz="4" w:space="0" w:color="auto"/>
            </w:tcBorders>
          </w:tcPr>
          <w:p w14:paraId="783B5611" w14:textId="47BA84DB" w:rsidR="005021C0" w:rsidRPr="009A2BB7" w:rsidRDefault="006A3B9F" w:rsidP="00325856">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4956" w:type="dxa"/>
            <w:tcBorders>
              <w:top w:val="single" w:sz="4" w:space="0" w:color="auto"/>
              <w:bottom w:val="single" w:sz="4" w:space="0" w:color="auto"/>
              <w:right w:val="nil"/>
            </w:tcBorders>
          </w:tcPr>
          <w:p w14:paraId="64A99A61" w14:textId="3B9041ED"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Minkštasuolių komplektas t</w:t>
            </w:r>
            <w:r w:rsidR="008B53C4">
              <w:rPr>
                <w:rFonts w:ascii="Times New Roman" w:eastAsia="Calibri" w:hAnsi="Times New Roman" w:cs="Times New Roman"/>
                <w:color w:val="000000"/>
              </w:rPr>
              <w:t>ur</w:t>
            </w:r>
            <w:r>
              <w:rPr>
                <w:rFonts w:ascii="Times New Roman" w:eastAsia="Calibri" w:hAnsi="Times New Roman" w:cs="Times New Roman"/>
                <w:color w:val="000000"/>
              </w:rPr>
              <w:t>i atitikti tokius reikalavimus:</w:t>
            </w:r>
          </w:p>
          <w:p w14:paraId="7C2F17F1" w14:textId="156AEC7D"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Bendras minkštasuolių ilgis -  4</w:t>
            </w:r>
            <w:r w:rsidR="00D84285">
              <w:rPr>
                <w:rFonts w:ascii="Times New Roman" w:eastAsia="Calibri" w:hAnsi="Times New Roman" w:cs="Times New Roman"/>
                <w:color w:val="000000"/>
              </w:rPr>
              <w:t>1</w:t>
            </w:r>
            <w:r>
              <w:rPr>
                <w:rFonts w:ascii="Times New Roman" w:eastAsia="Calibri" w:hAnsi="Times New Roman" w:cs="Times New Roman"/>
                <w:color w:val="000000"/>
              </w:rPr>
              <w:t>00 ± 100 mm;</w:t>
            </w:r>
          </w:p>
          <w:p w14:paraId="6EE2F2E5" w14:textId="7CCEE489"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Bendras minkštasuolių plotis – 2100 ± 100 mm;</w:t>
            </w:r>
          </w:p>
          <w:p w14:paraId="1EBFE0F8" w14:textId="1993C21D" w:rsidR="00F45B9A"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Minkštasuolių aukštis – 7</w:t>
            </w:r>
            <w:r w:rsidR="00D84285">
              <w:rPr>
                <w:rFonts w:ascii="Times New Roman" w:eastAsia="Calibri" w:hAnsi="Times New Roman" w:cs="Times New Roman"/>
                <w:color w:val="000000"/>
              </w:rPr>
              <w:t>6</w:t>
            </w:r>
            <w:r>
              <w:rPr>
                <w:rFonts w:ascii="Times New Roman" w:eastAsia="Calibri" w:hAnsi="Times New Roman" w:cs="Times New Roman"/>
                <w:color w:val="000000"/>
              </w:rPr>
              <w:t>0 ± 50 mm;</w:t>
            </w:r>
          </w:p>
          <w:p w14:paraId="23992006" w14:textId="6149AA4B" w:rsidR="009420FA" w:rsidRDefault="009420FA"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Sėdimosios dalies gylis – apytiksliai 500 mm;</w:t>
            </w:r>
          </w:p>
          <w:p w14:paraId="6FC44EF4" w14:textId="14F5365A" w:rsidR="006A3B9F" w:rsidRDefault="00D84285"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Atlošo storis ne mažiau 200 mm</w:t>
            </w:r>
            <w:r w:rsidR="006A3B9F">
              <w:rPr>
                <w:rFonts w:ascii="Times New Roman" w:eastAsia="Calibri" w:hAnsi="Times New Roman" w:cs="Times New Roman"/>
                <w:color w:val="000000"/>
              </w:rPr>
              <w:t>.</w:t>
            </w:r>
          </w:p>
          <w:p w14:paraId="25C0A3BE" w14:textId="600A0E44" w:rsidR="00D84285" w:rsidRDefault="00D84285" w:rsidP="00D84285">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Minkštasuoliai</w:t>
            </w:r>
            <w:r w:rsidRPr="006A3B9F">
              <w:rPr>
                <w:rFonts w:ascii="Times New Roman" w:eastAsia="Calibri" w:hAnsi="Times New Roman" w:cs="Times New Roman"/>
                <w:color w:val="000000"/>
              </w:rPr>
              <w:t xml:space="preserve"> turi būti aptraukt</w:t>
            </w:r>
            <w:r>
              <w:rPr>
                <w:rFonts w:ascii="Times New Roman" w:eastAsia="Calibri" w:hAnsi="Times New Roman" w:cs="Times New Roman"/>
                <w:color w:val="000000"/>
              </w:rPr>
              <w:t>i</w:t>
            </w:r>
            <w:r w:rsidRPr="006A3B9F">
              <w:rPr>
                <w:rFonts w:ascii="Times New Roman" w:eastAsia="Calibri" w:hAnsi="Times New Roman" w:cs="Times New Roman"/>
                <w:color w:val="000000"/>
              </w:rPr>
              <w:t xml:space="preserve"> tvirtu audiniu</w:t>
            </w:r>
            <w:r>
              <w:rPr>
                <w:rFonts w:ascii="Times New Roman" w:eastAsia="Calibri" w:hAnsi="Times New Roman" w:cs="Times New Roman"/>
                <w:color w:val="000000"/>
              </w:rPr>
              <w:t xml:space="preserve"> (eko-oda)</w:t>
            </w:r>
            <w:r w:rsidRPr="006A3B9F">
              <w:rPr>
                <w:rFonts w:ascii="Times New Roman" w:eastAsia="Calibri" w:hAnsi="Times New Roman" w:cs="Times New Roman"/>
                <w:color w:val="000000"/>
              </w:rPr>
              <w:t xml:space="preserve">, kuris tinkamas viešoms erdvėms. </w:t>
            </w:r>
            <w:r>
              <w:rPr>
                <w:rFonts w:ascii="Times New Roman" w:eastAsia="Calibri" w:hAnsi="Times New Roman" w:cs="Times New Roman"/>
                <w:color w:val="000000"/>
              </w:rPr>
              <w:t>Eko o</w:t>
            </w:r>
            <w:r w:rsidRPr="00D84285">
              <w:rPr>
                <w:rFonts w:ascii="Times New Roman" w:eastAsia="Calibri" w:hAnsi="Times New Roman" w:cs="Times New Roman"/>
                <w:color w:val="000000"/>
              </w:rPr>
              <w:t xml:space="preserve">da </w:t>
            </w:r>
            <w:r>
              <w:rPr>
                <w:rFonts w:ascii="Times New Roman" w:eastAsia="Calibri" w:hAnsi="Times New Roman" w:cs="Times New Roman"/>
                <w:color w:val="000000"/>
              </w:rPr>
              <w:t xml:space="preserve">būti </w:t>
            </w:r>
            <w:r w:rsidRPr="00D84285">
              <w:rPr>
                <w:rFonts w:ascii="Times New Roman" w:eastAsia="Calibri" w:hAnsi="Times New Roman" w:cs="Times New Roman"/>
                <w:color w:val="000000"/>
              </w:rPr>
              <w:t xml:space="preserve">padengta danga, </w:t>
            </w:r>
            <w:r>
              <w:rPr>
                <w:rFonts w:ascii="Times New Roman" w:eastAsia="Calibri" w:hAnsi="Times New Roman" w:cs="Times New Roman"/>
                <w:color w:val="000000"/>
              </w:rPr>
              <w:t xml:space="preserve">kuri </w:t>
            </w:r>
            <w:r w:rsidRPr="00D84285">
              <w:rPr>
                <w:rFonts w:ascii="Times New Roman" w:eastAsia="Calibri" w:hAnsi="Times New Roman" w:cs="Times New Roman"/>
                <w:color w:val="000000"/>
              </w:rPr>
              <w:t>pasižymi antigrybelinėmis, antimikrobinėmis, antibakterinėmis savybėmis. Dildymo atsparumas pagal Ma</w:t>
            </w:r>
            <w:r w:rsidR="000C0AF8">
              <w:rPr>
                <w:rFonts w:ascii="Times New Roman" w:eastAsia="Calibri" w:hAnsi="Times New Roman" w:cs="Times New Roman"/>
                <w:color w:val="000000"/>
              </w:rPr>
              <w:t>rtindale testą - &gt;300 000 ciklų</w:t>
            </w:r>
            <w:r w:rsidRPr="00D84285">
              <w:rPr>
                <w:rFonts w:ascii="Times New Roman" w:eastAsia="Calibri" w:hAnsi="Times New Roman" w:cs="Times New Roman"/>
                <w:color w:val="000000"/>
              </w:rPr>
              <w:t>.</w:t>
            </w:r>
          </w:p>
          <w:p w14:paraId="6A56661F" w14:textId="04E07DA0" w:rsidR="00D84285" w:rsidRDefault="00D84285" w:rsidP="00D84285">
            <w:pPr>
              <w:pStyle w:val="NoSpacing"/>
              <w:jc w:val="both"/>
              <w:rPr>
                <w:rFonts w:ascii="Times New Roman" w:eastAsia="Calibri" w:hAnsi="Times New Roman" w:cs="Times New Roman"/>
                <w:color w:val="000000"/>
              </w:rPr>
            </w:pPr>
            <w:r w:rsidRPr="006A3B9F">
              <w:rPr>
                <w:rFonts w:ascii="Times New Roman" w:eastAsia="Calibri" w:hAnsi="Times New Roman" w:cs="Times New Roman"/>
                <w:color w:val="000000"/>
              </w:rPr>
              <w:t>Turi būti pasiūlytas audinys iš ne mažiau nei 6 spal</w:t>
            </w:r>
            <w:r w:rsidR="00642696">
              <w:rPr>
                <w:rFonts w:ascii="Times New Roman" w:eastAsia="Calibri" w:hAnsi="Times New Roman" w:cs="Times New Roman"/>
                <w:color w:val="000000"/>
              </w:rPr>
              <w:t>vų paletės.</w:t>
            </w:r>
          </w:p>
          <w:p w14:paraId="0A8A184B" w14:textId="1B07201F"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Konstrukcija:</w:t>
            </w:r>
          </w:p>
          <w:p w14:paraId="7B67F8F5" w14:textId="3661D4E4" w:rsidR="00D84285" w:rsidRDefault="00D84285"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Minkštasuoliai turi būti su atlošais. Išoriniai minkštasuolio kampai turi būti užapvalinti;</w:t>
            </w:r>
          </w:p>
          <w:p w14:paraId="2ACFEAAD" w14:textId="77777777" w:rsidR="00EE55A0" w:rsidRPr="00EE55A0" w:rsidRDefault="006A3B9F" w:rsidP="00EE55A0">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EE55A0" w:rsidRPr="00EE55A0">
              <w:rPr>
                <w:rFonts w:ascii="Times New Roman" w:eastAsia="Calibri" w:hAnsi="Times New Roman" w:cs="Times New Roman"/>
                <w:color w:val="000000"/>
              </w:rPr>
              <w:t>Baldas turi būti pagamintas iš ne prastesnės medžiagos nei baldinė fanera bei mediena. Baldo sėdimosios dalies viršus ir dugnas pilnaviduriai, iš ne mažiau kaip 12 mm storio faneros, baldo šonai iš ne mažiau 3 mm storio faneros, sustiprintos mediena.</w:t>
            </w:r>
          </w:p>
          <w:p w14:paraId="485F9AF5" w14:textId="5267FA0B" w:rsidR="00EE55A0" w:rsidRDefault="00EE55A0" w:rsidP="00EE55A0">
            <w:pPr>
              <w:pStyle w:val="NoSpacing"/>
              <w:jc w:val="both"/>
              <w:rPr>
                <w:rFonts w:ascii="Times New Roman" w:eastAsia="Calibri" w:hAnsi="Times New Roman" w:cs="Times New Roman"/>
                <w:color w:val="000000"/>
              </w:rPr>
            </w:pPr>
            <w:r w:rsidRPr="00EE55A0">
              <w:rPr>
                <w:rFonts w:ascii="Times New Roman" w:eastAsia="Calibri" w:hAnsi="Times New Roman" w:cs="Times New Roman"/>
                <w:color w:val="000000"/>
              </w:rPr>
              <w:t xml:space="preserve">Baldas turi būti paminkštintas aukšto tankio porolonu – ne mažiau </w:t>
            </w:r>
            <w:r w:rsidR="003D43AB">
              <w:rPr>
                <w:rFonts w:ascii="Times New Roman" w:eastAsia="Calibri" w:hAnsi="Times New Roman" w:cs="Times New Roman"/>
                <w:color w:val="000000"/>
              </w:rPr>
              <w:t>40</w:t>
            </w:r>
            <w:r w:rsidRPr="00EE55A0">
              <w:rPr>
                <w:rFonts w:ascii="Times New Roman" w:eastAsia="Calibri" w:hAnsi="Times New Roman" w:cs="Times New Roman"/>
                <w:color w:val="000000"/>
              </w:rPr>
              <w:t xml:space="preserve"> kg/m³ sėdimoji dalis ir ne mažiau </w:t>
            </w:r>
            <w:r w:rsidR="003D43AB">
              <w:rPr>
                <w:rFonts w:ascii="Times New Roman" w:eastAsia="Calibri" w:hAnsi="Times New Roman" w:cs="Times New Roman"/>
                <w:color w:val="000000"/>
              </w:rPr>
              <w:t>33</w:t>
            </w:r>
            <w:r w:rsidRPr="00EE55A0">
              <w:rPr>
                <w:rFonts w:ascii="Times New Roman" w:eastAsia="Calibri" w:hAnsi="Times New Roman" w:cs="Times New Roman"/>
                <w:color w:val="000000"/>
              </w:rPr>
              <w:t xml:space="preserve"> kg/</w:t>
            </w:r>
            <w:r>
              <w:rPr>
                <w:rFonts w:ascii="Times New Roman" w:eastAsia="Calibri" w:hAnsi="Times New Roman" w:cs="Times New Roman"/>
                <w:color w:val="000000"/>
              </w:rPr>
              <w:t>m³ šonai bei aptrauktas odos pa</w:t>
            </w:r>
            <w:r w:rsidRPr="00EE55A0">
              <w:rPr>
                <w:rFonts w:ascii="Times New Roman" w:eastAsia="Calibri" w:hAnsi="Times New Roman" w:cs="Times New Roman"/>
                <w:color w:val="000000"/>
              </w:rPr>
              <w:t>kaitalu.</w:t>
            </w:r>
          </w:p>
          <w:p w14:paraId="45E50E10" w14:textId="70AD6DF1" w:rsidR="00642696" w:rsidRDefault="00642696" w:rsidP="00EE55A0">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EE55A0">
              <w:rPr>
                <w:rFonts w:ascii="Times New Roman" w:eastAsia="Calibri" w:hAnsi="Times New Roman" w:cs="Times New Roman"/>
                <w:color w:val="000000"/>
              </w:rPr>
              <w:t xml:space="preserve">Minkštasuoliai turi būti su </w:t>
            </w:r>
            <w:r>
              <w:rPr>
                <w:rFonts w:ascii="Times New Roman" w:eastAsia="Calibri" w:hAnsi="Times New Roman" w:cs="Times New Roman"/>
                <w:color w:val="000000"/>
              </w:rPr>
              <w:t>metalin</w:t>
            </w:r>
            <w:r w:rsidR="00EE55A0">
              <w:rPr>
                <w:rFonts w:ascii="Times New Roman" w:eastAsia="Calibri" w:hAnsi="Times New Roman" w:cs="Times New Roman"/>
                <w:color w:val="000000"/>
              </w:rPr>
              <w:t xml:space="preserve">ėmis kojomis </w:t>
            </w:r>
            <w:r w:rsidRPr="00642696">
              <w:rPr>
                <w:rFonts w:ascii="Times New Roman" w:eastAsia="Calibri" w:hAnsi="Times New Roman" w:cs="Times New Roman"/>
                <w:color w:val="000000"/>
              </w:rPr>
              <w:t xml:space="preserve">ir kurių padas su apsauga nuo </w:t>
            </w:r>
            <w:r>
              <w:rPr>
                <w:rFonts w:ascii="Times New Roman" w:eastAsia="Calibri" w:hAnsi="Times New Roman" w:cs="Times New Roman"/>
                <w:color w:val="000000"/>
              </w:rPr>
              <w:t>grindų braižymo.</w:t>
            </w:r>
          </w:p>
          <w:p w14:paraId="444F99CB" w14:textId="5591708F" w:rsidR="00D84285" w:rsidRDefault="00642696" w:rsidP="0064269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6A3B9F" w:rsidRPr="006A3B9F">
              <w:rPr>
                <w:rFonts w:ascii="Times New Roman" w:eastAsia="Calibri" w:hAnsi="Times New Roman" w:cs="Times New Roman"/>
                <w:color w:val="000000"/>
              </w:rPr>
              <w:t>Minkštasuoli</w:t>
            </w:r>
            <w:r w:rsidR="006A3B9F">
              <w:rPr>
                <w:rFonts w:ascii="Times New Roman" w:eastAsia="Calibri" w:hAnsi="Times New Roman" w:cs="Times New Roman"/>
                <w:color w:val="000000"/>
              </w:rPr>
              <w:t>ai tarpusavyje</w:t>
            </w:r>
            <w:r w:rsidR="006A3B9F" w:rsidRPr="006A3B9F">
              <w:rPr>
                <w:rFonts w:ascii="Times New Roman" w:eastAsia="Calibri" w:hAnsi="Times New Roman" w:cs="Times New Roman"/>
                <w:color w:val="000000"/>
              </w:rPr>
              <w:t xml:space="preserve"> turi turėti galimybę </w:t>
            </w:r>
            <w:r w:rsidR="00EE55A0">
              <w:rPr>
                <w:rFonts w:ascii="Times New Roman" w:eastAsia="Calibri" w:hAnsi="Times New Roman" w:cs="Times New Roman"/>
                <w:color w:val="000000"/>
              </w:rPr>
              <w:t xml:space="preserve">tarpusavyje </w:t>
            </w:r>
            <w:r w:rsidR="006A3B9F" w:rsidRPr="006A3B9F">
              <w:rPr>
                <w:rFonts w:ascii="Times New Roman" w:eastAsia="Calibri" w:hAnsi="Times New Roman" w:cs="Times New Roman"/>
                <w:color w:val="000000"/>
              </w:rPr>
              <w:t>jungtis metalinėmis plokštelėmis su kitais moduliniais minkštasuoliais</w:t>
            </w:r>
            <w:r>
              <w:rPr>
                <w:rFonts w:ascii="Times New Roman" w:eastAsia="Calibri" w:hAnsi="Times New Roman" w:cs="Times New Roman"/>
                <w:color w:val="000000"/>
              </w:rPr>
              <w:t>;</w:t>
            </w:r>
          </w:p>
          <w:p w14:paraId="4046A0CF" w14:textId="77777777" w:rsidR="00642696" w:rsidRDefault="00642696" w:rsidP="0064269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642696">
              <w:rPr>
                <w:rFonts w:ascii="Times New Roman" w:eastAsia="Calibri" w:hAnsi="Times New Roman" w:cs="Times New Roman"/>
                <w:color w:val="000000"/>
              </w:rPr>
              <w:t xml:space="preserve">Baldas turi būti stabilus, konstrukcija sumontuota taip, kad užtikrintų </w:t>
            </w:r>
            <w:r>
              <w:rPr>
                <w:rFonts w:ascii="Times New Roman" w:eastAsia="Calibri" w:hAnsi="Times New Roman" w:cs="Times New Roman"/>
                <w:color w:val="000000"/>
              </w:rPr>
              <w:t>ilgalaikį, bei patogų naudojimą;</w:t>
            </w:r>
          </w:p>
          <w:p w14:paraId="1F35EAA0" w14:textId="401A931C" w:rsidR="00642696" w:rsidRPr="009A2BB7" w:rsidRDefault="00642696" w:rsidP="0064269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642696">
              <w:rPr>
                <w:rFonts w:ascii="Times New Roman" w:eastAsia="Calibri" w:hAnsi="Times New Roman" w:cs="Times New Roman"/>
                <w:color w:val="000000"/>
              </w:rPr>
              <w:t>Tikslūs baldo matmenys, konstrukcija ir spalvos derinami su užsakovu.</w:t>
            </w:r>
          </w:p>
        </w:tc>
        <w:tc>
          <w:tcPr>
            <w:tcW w:w="4258" w:type="dxa"/>
            <w:tcBorders>
              <w:top w:val="single" w:sz="4" w:space="0" w:color="auto"/>
              <w:bottom w:val="single" w:sz="4" w:space="0" w:color="auto"/>
            </w:tcBorders>
          </w:tcPr>
          <w:p w14:paraId="2896892F" w14:textId="1F966557" w:rsidR="000C0AF8" w:rsidRDefault="000C0AF8" w:rsidP="00325856">
            <w:pPr>
              <w:widowControl w:val="0"/>
              <w:tabs>
                <w:tab w:val="left" w:pos="142"/>
              </w:tabs>
              <w:spacing w:after="0" w:line="240" w:lineRule="auto"/>
              <w:jc w:val="both"/>
              <w:rPr>
                <w:rFonts w:ascii="Times New Roman" w:eastAsia="Calibri" w:hAnsi="Times New Roman" w:cs="Times New Roman"/>
                <w:b/>
              </w:rPr>
            </w:pPr>
            <w:r w:rsidRPr="000C0AF8">
              <w:rPr>
                <w:rFonts w:ascii="Times New Roman" w:eastAsia="Calibri" w:hAnsi="Times New Roman" w:cs="Times New Roman"/>
                <w:b/>
                <w:noProof/>
                <w:lang w:eastAsia="lt-LT"/>
              </w:rPr>
              <w:drawing>
                <wp:inline distT="0" distB="0" distL="0" distR="0" wp14:anchorId="67BA701A" wp14:editId="766B89CE">
                  <wp:extent cx="2495678" cy="1739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5678" cy="1739989"/>
                          </a:xfrm>
                          <a:prstGeom prst="rect">
                            <a:avLst/>
                          </a:prstGeom>
                        </pic:spPr>
                      </pic:pic>
                    </a:graphicData>
                  </a:graphic>
                </wp:inline>
              </w:drawing>
            </w:r>
          </w:p>
          <w:p w14:paraId="60A4D0CA" w14:textId="77777777" w:rsidR="000C0AF8" w:rsidRDefault="000C0AF8" w:rsidP="00325856">
            <w:pPr>
              <w:widowControl w:val="0"/>
              <w:tabs>
                <w:tab w:val="left" w:pos="142"/>
              </w:tabs>
              <w:spacing w:after="0" w:line="240" w:lineRule="auto"/>
              <w:jc w:val="both"/>
              <w:rPr>
                <w:rFonts w:ascii="Times New Roman" w:eastAsia="Calibri" w:hAnsi="Times New Roman" w:cs="Times New Roman"/>
                <w:b/>
              </w:rPr>
            </w:pPr>
          </w:p>
          <w:p w14:paraId="6EAED71C" w14:textId="77777777" w:rsidR="000C0AF8" w:rsidRDefault="000C0AF8" w:rsidP="00325856">
            <w:pPr>
              <w:widowControl w:val="0"/>
              <w:tabs>
                <w:tab w:val="left" w:pos="142"/>
              </w:tabs>
              <w:spacing w:after="0" w:line="240" w:lineRule="auto"/>
              <w:jc w:val="both"/>
              <w:rPr>
                <w:rFonts w:ascii="Times New Roman" w:eastAsia="Calibri" w:hAnsi="Times New Roman" w:cs="Times New Roman"/>
                <w:b/>
              </w:rPr>
            </w:pPr>
          </w:p>
          <w:p w14:paraId="7276AC60" w14:textId="0F5FF10A" w:rsidR="005021C0" w:rsidRPr="00325856" w:rsidRDefault="000C0AF8" w:rsidP="00325856">
            <w:pPr>
              <w:widowControl w:val="0"/>
              <w:tabs>
                <w:tab w:val="left" w:pos="142"/>
              </w:tabs>
              <w:spacing w:after="0" w:line="240" w:lineRule="auto"/>
              <w:jc w:val="both"/>
              <w:rPr>
                <w:rFonts w:ascii="Times New Roman" w:eastAsia="Calibri" w:hAnsi="Times New Roman" w:cs="Times New Roman"/>
                <w:b/>
              </w:rPr>
            </w:pPr>
            <w:r w:rsidRPr="000C0AF8">
              <w:rPr>
                <w:rFonts w:ascii="Times New Roman" w:eastAsia="Calibri" w:hAnsi="Times New Roman" w:cs="Times New Roman"/>
                <w:b/>
                <w:noProof/>
                <w:lang w:eastAsia="lt-LT"/>
              </w:rPr>
              <w:drawing>
                <wp:inline distT="0" distB="0" distL="0" distR="0" wp14:anchorId="1DA5DC0C" wp14:editId="7EF77F04">
                  <wp:extent cx="2559182" cy="1371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9182" cy="1371670"/>
                          </a:xfrm>
                          <a:prstGeom prst="rect">
                            <a:avLst/>
                          </a:prstGeom>
                        </pic:spPr>
                      </pic:pic>
                    </a:graphicData>
                  </a:graphic>
                </wp:inline>
              </w:drawing>
            </w:r>
          </w:p>
        </w:tc>
        <w:tc>
          <w:tcPr>
            <w:tcW w:w="850" w:type="dxa"/>
            <w:tcBorders>
              <w:top w:val="single" w:sz="4" w:space="0" w:color="auto"/>
              <w:bottom w:val="single" w:sz="4" w:space="0" w:color="auto"/>
            </w:tcBorders>
          </w:tcPr>
          <w:p w14:paraId="54BB5590" w14:textId="1A08A792" w:rsidR="005021C0" w:rsidRPr="009A2BB7" w:rsidRDefault="009D20F4">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964" w:type="dxa"/>
            <w:tcBorders>
              <w:top w:val="single" w:sz="4" w:space="0" w:color="auto"/>
              <w:bottom w:val="single" w:sz="4" w:space="0" w:color="auto"/>
            </w:tcBorders>
          </w:tcPr>
          <w:p w14:paraId="5562DE72" w14:textId="10C7EF26" w:rsidR="005021C0" w:rsidRPr="009A2BB7" w:rsidRDefault="009D20F4">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Kompl.</w:t>
            </w:r>
          </w:p>
        </w:tc>
        <w:tc>
          <w:tcPr>
            <w:tcW w:w="4089" w:type="dxa"/>
            <w:tcBorders>
              <w:top w:val="single" w:sz="4" w:space="0" w:color="auto"/>
              <w:bottom w:val="single" w:sz="4" w:space="0" w:color="auto"/>
            </w:tcBorders>
          </w:tcPr>
          <w:p w14:paraId="4CFCB1CD" w14:textId="715906DE" w:rsidR="005021C0" w:rsidRPr="009A2BB7" w:rsidRDefault="005021C0" w:rsidP="00325856">
            <w:pPr>
              <w:widowControl w:val="0"/>
              <w:spacing w:after="0" w:line="240" w:lineRule="auto"/>
              <w:jc w:val="both"/>
              <w:rPr>
                <w:rFonts w:ascii="Times New Roman" w:eastAsia="Calibri" w:hAnsi="Times New Roman" w:cs="Times New Roman"/>
              </w:rPr>
            </w:pPr>
          </w:p>
        </w:tc>
      </w:tr>
    </w:tbl>
    <w:p w14:paraId="1B53C0DF" w14:textId="56DBD77E" w:rsidR="00144BA9" w:rsidRPr="00DE6376" w:rsidRDefault="00144BA9">
      <w:pPr>
        <w:spacing w:after="120"/>
        <w:jc w:val="both"/>
        <w:rPr>
          <w:rFonts w:ascii="Times New Roman" w:hAnsi="Times New Roman" w:cs="Times New Roman"/>
          <w:bCs/>
          <w:color w:val="000000"/>
        </w:rPr>
      </w:pPr>
    </w:p>
    <w:p w14:paraId="58945E8A" w14:textId="55BE862C" w:rsidR="00801781" w:rsidRDefault="00801781" w:rsidP="00801781">
      <w:pPr>
        <w:spacing w:after="120"/>
        <w:jc w:val="both"/>
        <w:rPr>
          <w:rFonts w:ascii="Times New Roman" w:hAnsi="Times New Roman" w:cs="Times New Roman"/>
        </w:rPr>
      </w:pPr>
      <w:r w:rsidRPr="009A2BB7">
        <w:rPr>
          <w:rFonts w:ascii="Times New Roman" w:hAnsi="Times New Roman" w:cs="Times New Roman"/>
        </w:rPr>
        <w:t>BENDRIEJI REIKALAVIMAI</w:t>
      </w:r>
      <w:r>
        <w:rPr>
          <w:rFonts w:ascii="Times New Roman" w:hAnsi="Times New Roman" w:cs="Times New Roman"/>
        </w:rPr>
        <w:t>:</w:t>
      </w:r>
    </w:p>
    <w:p w14:paraId="092E2EF2" w14:textId="77777777" w:rsidR="00801781" w:rsidRPr="00C605FB" w:rsidRDefault="00801781" w:rsidP="00801781">
      <w:pPr>
        <w:spacing w:after="120"/>
        <w:jc w:val="both"/>
        <w:rPr>
          <w:rFonts w:ascii="Times New Roman" w:hAnsi="Times New Roman" w:cs="Times New Roman"/>
        </w:rPr>
      </w:pPr>
    </w:p>
    <w:p w14:paraId="4EFBB863" w14:textId="77777777" w:rsidR="00801781" w:rsidRDefault="00801781" w:rsidP="00801781">
      <w:pPr>
        <w:pStyle w:val="ListParagraph"/>
        <w:widowControl w:val="0"/>
        <w:numPr>
          <w:ilvl w:val="0"/>
          <w:numId w:val="3"/>
        </w:numPr>
        <w:spacing w:after="0" w:line="240" w:lineRule="auto"/>
        <w:ind w:hanging="357"/>
        <w:contextualSpacing w:val="0"/>
        <w:jc w:val="both"/>
        <w:rPr>
          <w:rFonts w:ascii="Times New Roman" w:hAnsi="Times New Roman" w:cs="Times New Roman"/>
        </w:rPr>
      </w:pPr>
      <w:r>
        <w:rPr>
          <w:rFonts w:ascii="Times New Roman" w:hAnsi="Times New Roman" w:cs="Times New Roman"/>
        </w:rPr>
        <w:t>Tiekėjas prieš baldų gamybą privalo atvykti į Užsakovo nurodytą vietą ir atlikti galutinį tikslių matmenų išmatavimą vietoje. Su Užsakovu, turi būti suderinta:</w:t>
      </w:r>
    </w:p>
    <w:p w14:paraId="29DD8927" w14:textId="77777777" w:rsidR="00801781" w:rsidRDefault="00801781" w:rsidP="00801781">
      <w:pPr>
        <w:pStyle w:val="ListParagraph"/>
        <w:widowControl w:val="0"/>
        <w:numPr>
          <w:ilvl w:val="0"/>
          <w:numId w:val="4"/>
        </w:numPr>
        <w:spacing w:after="0" w:line="240" w:lineRule="auto"/>
        <w:ind w:hanging="357"/>
        <w:contextualSpacing w:val="0"/>
        <w:jc w:val="both"/>
        <w:rPr>
          <w:rFonts w:ascii="Times New Roman" w:hAnsi="Times New Roman" w:cs="Times New Roman"/>
        </w:rPr>
      </w:pPr>
      <w:r>
        <w:rPr>
          <w:rFonts w:ascii="Times New Roman" w:hAnsi="Times New Roman" w:cs="Times New Roman"/>
        </w:rPr>
        <w:t>Tiksli baldų ir komplektuojančių dalių spalva;</w:t>
      </w:r>
    </w:p>
    <w:p w14:paraId="32E3792E" w14:textId="77777777" w:rsidR="00801781" w:rsidRDefault="00801781" w:rsidP="00801781">
      <w:pPr>
        <w:pStyle w:val="ListParagraph"/>
        <w:widowControl w:val="0"/>
        <w:numPr>
          <w:ilvl w:val="0"/>
          <w:numId w:val="4"/>
        </w:numPr>
        <w:spacing w:after="0" w:line="240" w:lineRule="auto"/>
        <w:ind w:hanging="357"/>
        <w:contextualSpacing w:val="0"/>
        <w:jc w:val="both"/>
        <w:rPr>
          <w:rFonts w:ascii="Times New Roman" w:hAnsi="Times New Roman" w:cs="Times New Roman"/>
        </w:rPr>
      </w:pPr>
      <w:r>
        <w:rPr>
          <w:rFonts w:ascii="Times New Roman" w:hAnsi="Times New Roman" w:cs="Times New Roman"/>
        </w:rPr>
        <w:t>Kiti klausimai.</w:t>
      </w:r>
    </w:p>
    <w:p w14:paraId="5BACB5A6" w14:textId="77777777" w:rsidR="00801781" w:rsidRDefault="00801781" w:rsidP="00801781">
      <w:pPr>
        <w:widowControl w:val="0"/>
        <w:spacing w:after="0" w:line="240" w:lineRule="auto"/>
        <w:ind w:left="723"/>
        <w:jc w:val="both"/>
        <w:rPr>
          <w:rFonts w:ascii="Times New Roman" w:hAnsi="Times New Roman" w:cs="Times New Roman"/>
        </w:rPr>
      </w:pPr>
      <w:r>
        <w:rPr>
          <w:rFonts w:ascii="Times New Roman" w:hAnsi="Times New Roman" w:cs="Times New Roman"/>
        </w:rPr>
        <w:t>Visi baldai, jų komplektuojančios dalys turi būti nauji, nenaudoti.</w:t>
      </w:r>
    </w:p>
    <w:p w14:paraId="0BC17647" w14:textId="77777777" w:rsidR="00801781" w:rsidRDefault="00801781" w:rsidP="00801781">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Techninėje specifikacijoje nurodytų reikalavimų baldų savybėms bei matmenims būtina laikytis. Leistinas tik tobulesnės konstrukcijos ir geresnių baldinių medžiagų panaudojimas vietoje nurodytų specifikacijoje, t.y. pagaminamas baldas turėtų būti lygiavertis tam, kurio aprašas pateikiamas.</w:t>
      </w:r>
    </w:p>
    <w:p w14:paraId="17E33486" w14:textId="77777777" w:rsidR="00801781" w:rsidRPr="009A2BB7"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 </w:t>
      </w:r>
    </w:p>
    <w:p w14:paraId="0262AB09" w14:textId="77777777" w:rsidR="00801781" w:rsidRPr="009A2BB7"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turi būti suprojektuoti laikantis ergonomikos principų. Jie turi būti patogūs, o konstrukcija apgalvota ir leidžianti pritaikyti baldus įvairiai grupuoti ir keisti vietos konfigūraciją. </w:t>
      </w:r>
    </w:p>
    <w:p w14:paraId="1E482E25" w14:textId="77777777" w:rsidR="00801781" w:rsidRPr="009A2BB7"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521F0BEC" w14:textId="77777777" w:rsidR="00801781"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w:t>
      </w:r>
      <w:r w:rsidRPr="009A2BB7">
        <w:rPr>
          <w:rFonts w:ascii="Times New Roman" w:hAnsi="Times New Roman" w:cs="Times New Roman"/>
        </w:rPr>
        <w:lastRenderedPageBreak/>
        <w:t>charakteristikoms.</w:t>
      </w:r>
    </w:p>
    <w:p w14:paraId="3F2CCD1E" w14:textId="77777777" w:rsidR="00801781"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34C5C6E0" w14:textId="77777777" w:rsidR="00801781"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C605FB">
        <w:rPr>
          <w:rFonts w:ascii="Times New Roman" w:hAnsi="Times New Roman" w:cs="Times New Roman"/>
        </w:rPr>
        <w:t>Pagaminti baldai turi būti pateikiami su visais varžtais, bei kitais priedais ar furnitūra, reikalingais tinkamai sumontuoti ir eksploatuoti baldus.</w:t>
      </w:r>
    </w:p>
    <w:p w14:paraId="226B4416" w14:textId="77777777" w:rsidR="00801781" w:rsidRPr="00C605FB" w:rsidRDefault="00801781" w:rsidP="00801781">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Baldai turi būti pagaminti, pristatyti ir sumontuoti Tiekėjo lėšomis į Kauno klinikų nurodytą vietą. Prekių pristatymo ir sumontavimo metu susidariusias atliekas, pakavimo medžiagas ir / arba tarą Tiekėjas turi išvežti savo jėgomis.</w:t>
      </w:r>
    </w:p>
    <w:p w14:paraId="081FC920" w14:textId="5B07A829" w:rsidR="00801781" w:rsidRDefault="00801781" w:rsidP="0080178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05F08CD3" w14:textId="77777777" w:rsidR="00801781" w:rsidRPr="00801781" w:rsidRDefault="00801781" w:rsidP="00801781">
      <w:pPr>
        <w:widowControl w:val="0"/>
        <w:numPr>
          <w:ilvl w:val="0"/>
          <w:numId w:val="3"/>
        </w:numPr>
        <w:spacing w:after="0" w:line="240" w:lineRule="auto"/>
        <w:rPr>
          <w:rFonts w:ascii="Times New Roman" w:hAnsi="Times New Roman" w:cs="Times New Roman"/>
        </w:rPr>
      </w:pPr>
      <w:r w:rsidRPr="00801781">
        <w:rPr>
          <w:rFonts w:ascii="Times New Roman" w:hAnsi="Times New Roman" w:cs="Times New Roman"/>
        </w:rPr>
        <w:t>Taikytini aplinkos apsaugos kriterijai (bent vienas iš žemiau išvardintų su atitiktį įrodančiais dokumentais):</w:t>
      </w:r>
    </w:p>
    <w:p w14:paraId="785730BF" w14:textId="77777777" w:rsidR="00801781" w:rsidRPr="00801781" w:rsidRDefault="00801781" w:rsidP="00801781">
      <w:pPr>
        <w:widowControl w:val="0"/>
        <w:numPr>
          <w:ilvl w:val="1"/>
          <w:numId w:val="3"/>
        </w:numPr>
        <w:spacing w:after="0" w:line="240" w:lineRule="auto"/>
        <w:rPr>
          <w:rFonts w:ascii="Times New Roman" w:hAnsi="Times New Roman" w:cs="Times New Roman"/>
        </w:rPr>
      </w:pPr>
      <w:r w:rsidRPr="00801781">
        <w:rPr>
          <w:rFonts w:ascii="Times New Roman" w:hAnsi="Times New Roman" w:cs="Times New Roman"/>
        </w:rPr>
        <w:t>Ne mažiau kaip 80 proc. balduose naudojamos medienos, medienos medžiagų ir gaminių turi būti iš miškų, sertifikuotų naudojant FSC ar PEFC miškų sertifikavimo sistemas arba lygiavertes sertifikavimo sistemas;</w:t>
      </w:r>
    </w:p>
    <w:p w14:paraId="43F61522" w14:textId="77777777" w:rsidR="00801781" w:rsidRPr="00801781" w:rsidRDefault="00801781" w:rsidP="00801781">
      <w:pPr>
        <w:widowControl w:val="0"/>
        <w:numPr>
          <w:ilvl w:val="1"/>
          <w:numId w:val="3"/>
        </w:numPr>
        <w:spacing w:after="0" w:line="240" w:lineRule="auto"/>
        <w:rPr>
          <w:rFonts w:ascii="Times New Roman" w:hAnsi="Times New Roman" w:cs="Times New Roman"/>
        </w:rPr>
      </w:pPr>
      <w:r w:rsidRPr="00801781">
        <w:rPr>
          <w:rFonts w:ascii="Times New Roman" w:hAnsi="Times New Roman" w:cs="Times New Roman"/>
        </w:rPr>
        <w:t>Visos plastikinės dalys, kurių masė ≥ 50 g, turi būti paženklintos kaip tinkamos perdirbti pagal LST EN ISO 11469 „Bendrasis plastikinių gaminių identifikavimas ir ženklinimas“ (toliau – LST EN ISO 11469) ar lygiavertį standartą;</w:t>
      </w:r>
    </w:p>
    <w:p w14:paraId="52959C08" w14:textId="77777777" w:rsidR="00801781" w:rsidRPr="00801781" w:rsidRDefault="00801781" w:rsidP="00801781">
      <w:pPr>
        <w:widowControl w:val="0"/>
        <w:numPr>
          <w:ilvl w:val="1"/>
          <w:numId w:val="3"/>
        </w:numPr>
        <w:spacing w:after="0" w:line="240" w:lineRule="auto"/>
        <w:rPr>
          <w:rFonts w:ascii="Times New Roman" w:hAnsi="Times New Roman" w:cs="Times New Roman"/>
        </w:rPr>
      </w:pPr>
      <w:r w:rsidRPr="00801781">
        <w:rPr>
          <w:rFonts w:ascii="Times New Roman" w:hAnsi="Times New Roman" w:cs="Times New Roman"/>
        </w:rPr>
        <w:t>Jei baldo kamšalo sudėtyje naudojamos sintetinės poliesterio medžiagos, jų sudėtyje turi būti dalis perdirbtų medžiagų;</w:t>
      </w:r>
    </w:p>
    <w:p w14:paraId="508FC136" w14:textId="77777777" w:rsidR="00801781" w:rsidRPr="00801781" w:rsidRDefault="00801781" w:rsidP="00801781">
      <w:pPr>
        <w:widowControl w:val="0"/>
        <w:numPr>
          <w:ilvl w:val="1"/>
          <w:numId w:val="3"/>
        </w:numPr>
        <w:spacing w:after="0" w:line="240" w:lineRule="auto"/>
        <w:rPr>
          <w:rFonts w:ascii="Times New Roman" w:hAnsi="Times New Roman" w:cs="Times New Roman"/>
        </w:rPr>
      </w:pPr>
      <w:r w:rsidRPr="00801781">
        <w:rPr>
          <w:rFonts w:ascii="Times New Roman" w:hAnsi="Times New Roman" w:cs="Times New Roman"/>
        </w:rPr>
        <w:t>Paviršiams dengti naudojamuose produktuose:</w:t>
      </w:r>
    </w:p>
    <w:p w14:paraId="35F41A72" w14:textId="77777777" w:rsidR="00801781" w:rsidRPr="00801781" w:rsidRDefault="00801781" w:rsidP="00801781">
      <w:pPr>
        <w:widowControl w:val="0"/>
        <w:numPr>
          <w:ilvl w:val="2"/>
          <w:numId w:val="3"/>
        </w:numPr>
        <w:spacing w:after="0" w:line="240" w:lineRule="auto"/>
        <w:rPr>
          <w:rFonts w:ascii="Times New Roman" w:hAnsi="Times New Roman" w:cs="Times New Roman"/>
        </w:rPr>
      </w:pPr>
      <w:r w:rsidRPr="00801781">
        <w:rPr>
          <w:rFonts w:ascii="Times New Roman" w:hAnsi="Times New Roman" w:cs="Times New Roman"/>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0A75B7B" w14:textId="77777777" w:rsidR="00801781" w:rsidRPr="00801781" w:rsidRDefault="00801781" w:rsidP="00801781">
      <w:pPr>
        <w:widowControl w:val="0"/>
        <w:numPr>
          <w:ilvl w:val="2"/>
          <w:numId w:val="3"/>
        </w:numPr>
        <w:spacing w:after="0" w:line="240" w:lineRule="auto"/>
        <w:rPr>
          <w:rFonts w:ascii="Times New Roman" w:hAnsi="Times New Roman" w:cs="Times New Roman"/>
        </w:rPr>
      </w:pPr>
      <w:r w:rsidRPr="00801781">
        <w:rPr>
          <w:rFonts w:ascii="Times New Roman" w:hAnsi="Times New Roman" w:cs="Times New Roman"/>
        </w:rPr>
        <w:t xml:space="preserve">neturi būti daugiau kaip 5 proc. masės lakiųjų organinių junginių (LOJ); </w:t>
      </w:r>
    </w:p>
    <w:p w14:paraId="5F6D763E" w14:textId="77777777" w:rsidR="00801781" w:rsidRPr="00801781" w:rsidRDefault="00801781" w:rsidP="00801781">
      <w:pPr>
        <w:widowControl w:val="0"/>
        <w:numPr>
          <w:ilvl w:val="2"/>
          <w:numId w:val="3"/>
        </w:numPr>
        <w:spacing w:after="0" w:line="240" w:lineRule="auto"/>
        <w:rPr>
          <w:rFonts w:ascii="Times New Roman" w:hAnsi="Times New Roman" w:cs="Times New Roman"/>
        </w:rPr>
      </w:pPr>
      <w:r w:rsidRPr="00801781">
        <w:rPr>
          <w:rFonts w:ascii="Times New Roman" w:hAnsi="Times New Roman" w:cs="Times New Roman"/>
        </w:rPr>
        <w:t xml:space="preserve">neturi būti chromo (VI) junginių; </w:t>
      </w:r>
    </w:p>
    <w:p w14:paraId="055E0C68" w14:textId="77777777" w:rsidR="00801781" w:rsidRPr="00801781" w:rsidRDefault="00801781" w:rsidP="00801781">
      <w:pPr>
        <w:widowControl w:val="0"/>
        <w:numPr>
          <w:ilvl w:val="2"/>
          <w:numId w:val="3"/>
        </w:numPr>
        <w:spacing w:after="0" w:line="240" w:lineRule="auto"/>
        <w:rPr>
          <w:rFonts w:ascii="Times New Roman" w:hAnsi="Times New Roman" w:cs="Times New Roman"/>
        </w:rPr>
      </w:pPr>
      <w:r w:rsidRPr="00801781">
        <w:rPr>
          <w:rFonts w:ascii="Times New Roman" w:hAnsi="Times New Roman" w:cs="Times New Roman"/>
        </w:rPr>
        <w:t>formaldehido išmetamieji teršalai neturi viršyti 0,05 ppm.</w:t>
      </w:r>
    </w:p>
    <w:p w14:paraId="040EAA22" w14:textId="77777777" w:rsidR="00801781" w:rsidRPr="00801781" w:rsidRDefault="00801781" w:rsidP="00801781">
      <w:pPr>
        <w:widowControl w:val="0"/>
        <w:numPr>
          <w:ilvl w:val="1"/>
          <w:numId w:val="3"/>
        </w:numPr>
        <w:spacing w:after="0" w:line="240" w:lineRule="auto"/>
        <w:rPr>
          <w:rFonts w:ascii="Times New Roman" w:hAnsi="Times New Roman" w:cs="Times New Roman"/>
        </w:rPr>
      </w:pPr>
      <w:r w:rsidRPr="00801781">
        <w:rPr>
          <w:rFonts w:ascii="Times New Roman" w:hAnsi="Times New Roman" w:cs="Times New Roman"/>
        </w:rPr>
        <w:t>Siūlomas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1A17E3E" w14:textId="77777777" w:rsidR="00801781" w:rsidRPr="00F30140" w:rsidRDefault="00801781" w:rsidP="00801781">
      <w:pPr>
        <w:widowControl w:val="0"/>
        <w:spacing w:after="0" w:line="240" w:lineRule="auto"/>
        <w:ind w:left="1440"/>
        <w:rPr>
          <w:rFonts w:asciiTheme="majorHAnsi" w:hAnsiTheme="majorHAnsi" w:cs="Times New Roman"/>
          <w:sz w:val="24"/>
          <w:szCs w:val="20"/>
        </w:rPr>
      </w:pPr>
    </w:p>
    <w:p w14:paraId="3E43BD23" w14:textId="77777777" w:rsidR="00801781" w:rsidRPr="00B706CF" w:rsidRDefault="00801781" w:rsidP="00801781">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47BBAF92" w14:textId="77777777" w:rsidR="00801781" w:rsidRPr="00B706CF" w:rsidRDefault="00801781" w:rsidP="00801781">
      <w:pPr>
        <w:widowControl w:val="0"/>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06CF">
        <w:rPr>
          <w:rFonts w:ascii="Times New Roman" w:eastAsia="Times New Roman" w:hAnsi="Times New Roman" w:cs="Times New Roman"/>
          <w:sz w:val="20"/>
          <w:szCs w:val="20"/>
          <w:lang w:eastAsia="lt-LT"/>
        </w:rPr>
        <w:t>_________________________________</w:t>
      </w:r>
    </w:p>
    <w:p w14:paraId="064B60C4" w14:textId="77777777" w:rsidR="00801781" w:rsidRPr="00B706CF" w:rsidRDefault="00801781" w:rsidP="00801781">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14CBE1D3" w14:textId="77777777" w:rsidR="00801781" w:rsidRPr="00B706CF" w:rsidRDefault="00801781" w:rsidP="00801781">
      <w:pPr>
        <w:widowControl w:val="0"/>
        <w:suppressAutoHyphens w:val="0"/>
        <w:autoSpaceDE w:val="0"/>
        <w:autoSpaceDN w:val="0"/>
        <w:adjustRightInd w:val="0"/>
        <w:spacing w:after="0" w:line="240" w:lineRule="auto"/>
        <w:rPr>
          <w:rFonts w:ascii="Times New Roman" w:eastAsia="Times New Roman" w:hAnsi="Times New Roman" w:cs="Times New Roman"/>
          <w:color w:val="000000"/>
          <w:lang w:eastAsia="lt-LT"/>
        </w:rPr>
      </w:pPr>
    </w:p>
    <w:p w14:paraId="6CA30BFB" w14:textId="77777777" w:rsidR="00801781" w:rsidRPr="00B706CF" w:rsidRDefault="00801781" w:rsidP="00801781">
      <w:pPr>
        <w:widowControl w:val="0"/>
        <w:spacing w:after="120" w:line="240" w:lineRule="auto"/>
        <w:jc w:val="both"/>
        <w:rPr>
          <w:rFonts w:ascii="Times New Roman" w:hAnsi="Times New Roman" w:cs="Times New Roman"/>
        </w:rPr>
      </w:pPr>
    </w:p>
    <w:p w14:paraId="25578288" w14:textId="1B34EDD2" w:rsidR="005351F1" w:rsidRDefault="005351F1" w:rsidP="00801781">
      <w:pPr>
        <w:spacing w:after="120"/>
        <w:jc w:val="both"/>
        <w:rPr>
          <w:rFonts w:ascii="Times New Roman" w:hAnsi="Times New Roman" w:cs="Times New Roman"/>
        </w:rPr>
      </w:pPr>
    </w:p>
    <w:sectPr w:rsidR="005351F1" w:rsidSect="005C63A3">
      <w:footerReference w:type="default" r:id="rId13"/>
      <w:pgSz w:w="16838" w:h="11906" w:orient="landscape"/>
      <w:pgMar w:top="851" w:right="851" w:bottom="284" w:left="1134"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28F0C" w14:textId="77777777" w:rsidR="00E954E4" w:rsidRDefault="00E954E4" w:rsidP="00605A37">
      <w:pPr>
        <w:spacing w:after="0" w:line="240" w:lineRule="auto"/>
      </w:pPr>
      <w:r>
        <w:separator/>
      </w:r>
    </w:p>
  </w:endnote>
  <w:endnote w:type="continuationSeparator" w:id="0">
    <w:p w14:paraId="53B4CC08" w14:textId="77777777" w:rsidR="00E954E4" w:rsidRDefault="00E954E4" w:rsidP="0060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81280"/>
      <w:docPartObj>
        <w:docPartGallery w:val="Page Numbers (Bottom of Page)"/>
        <w:docPartUnique/>
      </w:docPartObj>
    </w:sdtPr>
    <w:sdtEndPr/>
    <w:sdtContent>
      <w:p w14:paraId="69E0D02E" w14:textId="01A8CBE0" w:rsidR="00605A37" w:rsidRDefault="00605A37">
        <w:pPr>
          <w:pStyle w:val="Footer"/>
          <w:jc w:val="center"/>
        </w:pPr>
        <w:r>
          <w:fldChar w:fldCharType="begin"/>
        </w:r>
        <w:r>
          <w:instrText>PAGE   \* MERGEFORMAT</w:instrText>
        </w:r>
        <w:r>
          <w:fldChar w:fldCharType="separate"/>
        </w:r>
        <w:r w:rsidR="002E5CD6">
          <w:rPr>
            <w:noProof/>
          </w:rPr>
          <w:t>1</w:t>
        </w:r>
        <w:r>
          <w:fldChar w:fldCharType="end"/>
        </w:r>
      </w:p>
    </w:sdtContent>
  </w:sdt>
  <w:p w14:paraId="71B402D6" w14:textId="77777777" w:rsidR="00605A37" w:rsidRDefault="0060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93C96" w14:textId="77777777" w:rsidR="00E954E4" w:rsidRDefault="00E954E4" w:rsidP="00605A37">
      <w:pPr>
        <w:spacing w:after="0" w:line="240" w:lineRule="auto"/>
      </w:pPr>
      <w:r>
        <w:separator/>
      </w:r>
    </w:p>
  </w:footnote>
  <w:footnote w:type="continuationSeparator" w:id="0">
    <w:p w14:paraId="309669B2" w14:textId="77777777" w:rsidR="00E954E4" w:rsidRDefault="00E954E4" w:rsidP="00605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22D4"/>
    <w:multiLevelType w:val="hybridMultilevel"/>
    <w:tmpl w:val="026E6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50EBA"/>
    <w:multiLevelType w:val="multilevel"/>
    <w:tmpl w:val="75F83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B66794"/>
    <w:multiLevelType w:val="multilevel"/>
    <w:tmpl w:val="E7E60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A926C63"/>
    <w:multiLevelType w:val="multilevel"/>
    <w:tmpl w:val="A20672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2DD15FA"/>
    <w:multiLevelType w:val="hybridMultilevel"/>
    <w:tmpl w:val="FCAABE44"/>
    <w:lvl w:ilvl="0" w:tplc="EBFA6854">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5306233"/>
    <w:multiLevelType w:val="hybridMultilevel"/>
    <w:tmpl w:val="1AE66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033021"/>
    <w:multiLevelType w:val="hybridMultilevel"/>
    <w:tmpl w:val="BC3E16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B62550"/>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C0"/>
    <w:rsid w:val="00090603"/>
    <w:rsid w:val="00096DFC"/>
    <w:rsid w:val="000A40C0"/>
    <w:rsid w:val="000C0AF8"/>
    <w:rsid w:val="00144BA9"/>
    <w:rsid w:val="00176F58"/>
    <w:rsid w:val="00207EC0"/>
    <w:rsid w:val="002176B8"/>
    <w:rsid w:val="002E5CD6"/>
    <w:rsid w:val="00325856"/>
    <w:rsid w:val="003443EF"/>
    <w:rsid w:val="003D43AB"/>
    <w:rsid w:val="003E10C4"/>
    <w:rsid w:val="004167AD"/>
    <w:rsid w:val="00451BA3"/>
    <w:rsid w:val="00457F54"/>
    <w:rsid w:val="004603EE"/>
    <w:rsid w:val="00473E13"/>
    <w:rsid w:val="00494DA9"/>
    <w:rsid w:val="004A13E0"/>
    <w:rsid w:val="004C570B"/>
    <w:rsid w:val="004D7D53"/>
    <w:rsid w:val="004E4109"/>
    <w:rsid w:val="005021C0"/>
    <w:rsid w:val="005351F1"/>
    <w:rsid w:val="005C63A3"/>
    <w:rsid w:val="00605A37"/>
    <w:rsid w:val="00642696"/>
    <w:rsid w:val="006A3746"/>
    <w:rsid w:val="006A3B9F"/>
    <w:rsid w:val="006B0ED5"/>
    <w:rsid w:val="007061A8"/>
    <w:rsid w:val="0071198F"/>
    <w:rsid w:val="00734784"/>
    <w:rsid w:val="00801781"/>
    <w:rsid w:val="008A4304"/>
    <w:rsid w:val="008B53C4"/>
    <w:rsid w:val="009420FA"/>
    <w:rsid w:val="009A2BB7"/>
    <w:rsid w:val="009D20F4"/>
    <w:rsid w:val="00AB6E42"/>
    <w:rsid w:val="00AC3A29"/>
    <w:rsid w:val="00AF44CE"/>
    <w:rsid w:val="00BB3B3D"/>
    <w:rsid w:val="00BC452C"/>
    <w:rsid w:val="00C1370F"/>
    <w:rsid w:val="00C20564"/>
    <w:rsid w:val="00C605FB"/>
    <w:rsid w:val="00D539B1"/>
    <w:rsid w:val="00D55E7F"/>
    <w:rsid w:val="00D84285"/>
    <w:rsid w:val="00DC74E4"/>
    <w:rsid w:val="00DE15B5"/>
    <w:rsid w:val="00DE6376"/>
    <w:rsid w:val="00DF363C"/>
    <w:rsid w:val="00E04AB5"/>
    <w:rsid w:val="00E9046D"/>
    <w:rsid w:val="00E954E4"/>
    <w:rsid w:val="00ED7606"/>
    <w:rsid w:val="00EE55A0"/>
    <w:rsid w:val="00F45B9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F513"/>
  <w15:docId w15:val="{9D5FB3C6-7B98-430A-8B2B-B8C6E34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62"/>
    <w:pPr>
      <w:spacing w:after="200" w:line="276" w:lineRule="auto"/>
    </w:pPr>
  </w:style>
  <w:style w:type="paragraph" w:styleId="Heading2">
    <w:name w:val="heading 2"/>
    <w:basedOn w:val="Normal"/>
    <w:next w:val="Normal"/>
    <w:link w:val="Heading2Char"/>
    <w:uiPriority w:val="99"/>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link w:val="Quote"/>
    <w:uiPriority w:val="29"/>
    <w:qFormat/>
    <w:rsid w:val="0033111D"/>
    <w:rPr>
      <w:i/>
      <w:iCs/>
      <w:color w:val="000000" w:themeColor="text1"/>
    </w:rPr>
  </w:style>
  <w:style w:type="character" w:customStyle="1" w:styleId="Heading2Char">
    <w:name w:val="Heading 2 Char"/>
    <w:basedOn w:val="DefaultParagraphFont"/>
    <w:link w:val="Heading2"/>
    <w:uiPriority w:val="99"/>
    <w:qFormat/>
    <w:rsid w:val="007F2EB0"/>
    <w:rPr>
      <w:rFonts w:ascii="Arial" w:eastAsia="Times New Roman" w:hAnsi="Arial" w:cs="Arial"/>
      <w:b/>
      <w:bCs/>
      <w:i/>
      <w:iCs/>
      <w:sz w:val="28"/>
      <w:szCs w:val="28"/>
      <w:lang w:val="en-US"/>
    </w:rPr>
  </w:style>
  <w:style w:type="character" w:customStyle="1" w:styleId="Inaosprieraias">
    <w:name w:val="Išnašos prieraišas"/>
    <w:rPr>
      <w:rFonts w:cs="Times New Roman"/>
      <w:vertAlign w:val="superscript"/>
    </w:rPr>
  </w:style>
  <w:style w:type="character" w:customStyle="1" w:styleId="FootnoteCharacters">
    <w:name w:val="Footnote Characters"/>
    <w:uiPriority w:val="99"/>
    <w:semiHidden/>
    <w:qFormat/>
    <w:rsid w:val="001D031D"/>
    <w:rPr>
      <w:rFonts w:cs="Times New Roman"/>
      <w:vertAlign w:val="superscript"/>
    </w:rPr>
  </w:style>
  <w:style w:type="character" w:customStyle="1" w:styleId="ListParagraphChar">
    <w:name w:val="List Paragraph Char"/>
    <w:link w:val="ListParagraph"/>
    <w:uiPriority w:val="34"/>
    <w:qFormat/>
    <w:locked/>
    <w:rsid w:val="001D031D"/>
  </w:style>
  <w:style w:type="character" w:customStyle="1" w:styleId="BalloonTextChar">
    <w:name w:val="Balloon Text Char"/>
    <w:basedOn w:val="DefaultParagraphFont"/>
    <w:link w:val="BalloonText"/>
    <w:uiPriority w:val="99"/>
    <w:semiHidden/>
    <w:qFormat/>
    <w:rsid w:val="004F3B67"/>
    <w:rPr>
      <w:rFonts w:ascii="Segoe UI" w:hAnsi="Segoe UI" w:cs="Segoe UI"/>
      <w:sz w:val="18"/>
      <w:szCs w:val="18"/>
    </w:rPr>
  </w:style>
  <w:style w:type="character" w:customStyle="1" w:styleId="Stiprusparykinimas">
    <w:name w:val="Stiprus paryškinimas"/>
    <w:qFormat/>
    <w:rPr>
      <w:b/>
      <w:bCs/>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paragraph" w:styleId="BalloonText">
    <w:name w:val="Balloon Text"/>
    <w:basedOn w:val="Normal"/>
    <w:link w:val="BalloonTextChar"/>
    <w:uiPriority w:val="99"/>
    <w:semiHidden/>
    <w:unhideWhenUsed/>
    <w:qFormat/>
    <w:rsid w:val="004F3B67"/>
    <w:pPr>
      <w:spacing w:after="0" w:line="240" w:lineRule="auto"/>
    </w:pPr>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59"/>
    <w:rsid w:val="00B5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4DA9"/>
    <w:pPr>
      <w:suppressAutoHyphens w:val="0"/>
    </w:pPr>
  </w:style>
  <w:style w:type="paragraph" w:styleId="Header">
    <w:name w:val="header"/>
    <w:basedOn w:val="Normal"/>
    <w:link w:val="HeaderChar"/>
    <w:uiPriority w:val="99"/>
    <w:unhideWhenUsed/>
    <w:rsid w:val="00605A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5A37"/>
  </w:style>
  <w:style w:type="paragraph" w:styleId="Footer">
    <w:name w:val="footer"/>
    <w:basedOn w:val="Normal"/>
    <w:link w:val="FooterChar"/>
    <w:uiPriority w:val="99"/>
    <w:unhideWhenUsed/>
    <w:rsid w:val="00605A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5A37"/>
  </w:style>
  <w:style w:type="table" w:customStyle="1" w:styleId="TableGrid1">
    <w:name w:val="Table Grid1"/>
    <w:basedOn w:val="TableNormal"/>
    <w:next w:val="TableGrid"/>
    <w:uiPriority w:val="39"/>
    <w:rsid w:val="00801781"/>
    <w:pPr>
      <w:widowControl w:val="0"/>
      <w:suppressAutoHyphens w:val="0"/>
      <w:autoSpaceDE w:val="0"/>
      <w:autoSpaceDN w:val="0"/>
      <w:adjustRightInd w:val="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1181A-4C23-4ED8-BFC0-EDECAEA5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3.xml><?xml version="1.0" encoding="utf-8"?>
<ds:datastoreItem xmlns:ds="http://schemas.openxmlformats.org/officeDocument/2006/customXml" ds:itemID="{E437DE38-7ABA-4C5B-85BD-2EAC4047A97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60D25E98-328F-471B-80F6-0A656D9C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4235</Words>
  <Characters>2415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almnav</dc:creator>
  <dc:description/>
  <cp:lastModifiedBy>Lina Glebė</cp:lastModifiedBy>
  <cp:revision>2</cp:revision>
  <cp:lastPrinted>2022-03-09T11:43:00Z</cp:lastPrinted>
  <dcterms:created xsi:type="dcterms:W3CDTF">2025-02-28T08:57:00Z</dcterms:created>
  <dcterms:modified xsi:type="dcterms:W3CDTF">2025-02-28T08:57:00Z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