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Layout w:type="fixed"/>
        <w:tblLook w:val="04A0" w:firstRow="1" w:lastRow="0" w:firstColumn="1" w:lastColumn="0" w:noHBand="0" w:noVBand="1"/>
      </w:tblPr>
      <w:tblGrid>
        <w:gridCol w:w="10065"/>
      </w:tblGrid>
      <w:tr w:rsidR="00F76525" w:rsidRPr="00D97583" w14:paraId="02495284" w14:textId="77777777" w:rsidTr="00564245">
        <w:tc>
          <w:tcPr>
            <w:tcW w:w="10065" w:type="dxa"/>
            <w:hideMark/>
          </w:tcPr>
          <w:p w14:paraId="744E7E1F" w14:textId="77777777" w:rsidR="00F76525" w:rsidRPr="00D97583" w:rsidRDefault="00F76525" w:rsidP="00D662D7">
            <w:pPr>
              <w:spacing w:after="0" w:line="256" w:lineRule="auto"/>
              <w:jc w:val="center"/>
              <w:rPr>
                <w:rFonts w:ascii="Times New Roman" w:eastAsia="Times New Roman" w:hAnsi="Times New Roman" w:cs="Times New Roman"/>
                <w:b/>
                <w:sz w:val="24"/>
                <w:szCs w:val="20"/>
                <w:lang w:eastAsia="lt-LT"/>
              </w:rPr>
            </w:pPr>
            <w:r w:rsidRPr="00D97583">
              <w:rPr>
                <w:rFonts w:ascii="Times New Roman" w:eastAsia="Times New Roman" w:hAnsi="Times New Roman" w:cs="Times New Roman"/>
                <w:b/>
                <w:noProof/>
                <w:sz w:val="20"/>
                <w:szCs w:val="20"/>
                <w:lang w:eastAsia="lt-LT"/>
              </w:rPr>
              <w:drawing>
                <wp:inline distT="0" distB="0" distL="0" distR="0" wp14:anchorId="709675FF" wp14:editId="5739B690">
                  <wp:extent cx="477520" cy="525145"/>
                  <wp:effectExtent l="0" t="0" r="0"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7520" cy="525145"/>
                          </a:xfrm>
                          <a:prstGeom prst="rect">
                            <a:avLst/>
                          </a:prstGeom>
                          <a:noFill/>
                          <a:ln>
                            <a:noFill/>
                          </a:ln>
                        </pic:spPr>
                      </pic:pic>
                    </a:graphicData>
                  </a:graphic>
                </wp:inline>
              </w:drawing>
            </w:r>
          </w:p>
        </w:tc>
      </w:tr>
      <w:tr w:rsidR="00F76525" w:rsidRPr="00D97583" w14:paraId="6507CA75" w14:textId="77777777" w:rsidTr="00564245">
        <w:tc>
          <w:tcPr>
            <w:tcW w:w="10065" w:type="dxa"/>
          </w:tcPr>
          <w:p w14:paraId="51EF511E" w14:textId="77777777" w:rsidR="00F76525" w:rsidRPr="00D97583" w:rsidRDefault="00F76525" w:rsidP="00D662D7">
            <w:pPr>
              <w:spacing w:after="0" w:line="256" w:lineRule="auto"/>
              <w:jc w:val="center"/>
              <w:rPr>
                <w:rFonts w:ascii="Times New Roman" w:eastAsia="Times New Roman" w:hAnsi="Times New Roman" w:cs="Times New Roman"/>
                <w:sz w:val="24"/>
                <w:szCs w:val="20"/>
                <w:lang w:eastAsia="lt-LT"/>
              </w:rPr>
            </w:pPr>
          </w:p>
        </w:tc>
      </w:tr>
      <w:tr w:rsidR="00F76525" w:rsidRPr="00D97583" w14:paraId="45B4DEAD" w14:textId="77777777" w:rsidTr="00564245">
        <w:tc>
          <w:tcPr>
            <w:tcW w:w="10065" w:type="dxa"/>
            <w:hideMark/>
          </w:tcPr>
          <w:p w14:paraId="76EEE42F" w14:textId="77777777" w:rsidR="00F76525" w:rsidRPr="00D97583" w:rsidRDefault="00F76525" w:rsidP="00D662D7">
            <w:pPr>
              <w:keepNext/>
              <w:spacing w:after="0" w:line="256" w:lineRule="auto"/>
              <w:jc w:val="center"/>
              <w:outlineLvl w:val="1"/>
              <w:rPr>
                <w:rFonts w:ascii="Times New Roman" w:eastAsia="Times New Roman" w:hAnsi="Times New Roman" w:cs="Times New Roman"/>
                <w:b/>
                <w:sz w:val="24"/>
                <w:szCs w:val="20"/>
                <w:lang w:eastAsia="lt-LT"/>
              </w:rPr>
            </w:pPr>
            <w:r w:rsidRPr="00D97583">
              <w:rPr>
                <w:rFonts w:ascii="Times New Roman" w:eastAsia="Times New Roman" w:hAnsi="Times New Roman" w:cs="Times New Roman"/>
                <w:b/>
                <w:sz w:val="24"/>
                <w:szCs w:val="20"/>
                <w:lang w:eastAsia="lt-LT"/>
              </w:rPr>
              <w:t>ALYTAUS MIESTO SAVIVALDYBĖS ADMINISTRACIJOS</w:t>
            </w:r>
          </w:p>
        </w:tc>
      </w:tr>
      <w:tr w:rsidR="00F76525" w:rsidRPr="00D97583" w14:paraId="2077D75E" w14:textId="77777777" w:rsidTr="00564245">
        <w:tc>
          <w:tcPr>
            <w:tcW w:w="10065" w:type="dxa"/>
            <w:hideMark/>
          </w:tcPr>
          <w:p w14:paraId="46CF7993" w14:textId="77777777" w:rsidR="00F76525" w:rsidRPr="00D97583" w:rsidRDefault="00F76525" w:rsidP="00D662D7">
            <w:pPr>
              <w:keepNext/>
              <w:spacing w:after="0" w:line="256" w:lineRule="auto"/>
              <w:jc w:val="center"/>
              <w:outlineLvl w:val="1"/>
              <w:rPr>
                <w:rFonts w:ascii="Times New Roman" w:eastAsia="Times New Roman" w:hAnsi="Times New Roman" w:cs="Times New Roman"/>
                <w:b/>
                <w:sz w:val="24"/>
                <w:szCs w:val="20"/>
                <w:lang w:eastAsia="lt-LT"/>
              </w:rPr>
            </w:pPr>
            <w:r w:rsidRPr="00D97583">
              <w:rPr>
                <w:rFonts w:ascii="Times New Roman" w:eastAsia="Times New Roman" w:hAnsi="Times New Roman" w:cs="Times New Roman"/>
                <w:b/>
                <w:sz w:val="24"/>
                <w:szCs w:val="20"/>
                <w:lang w:eastAsia="lt-LT"/>
              </w:rPr>
              <w:t>VIEŠŲJŲ PIRKIMŲ SKYRIUS</w:t>
            </w:r>
          </w:p>
        </w:tc>
      </w:tr>
      <w:tr w:rsidR="00F76525" w:rsidRPr="00D97583" w14:paraId="5179BDEA" w14:textId="77777777" w:rsidTr="00564245">
        <w:tc>
          <w:tcPr>
            <w:tcW w:w="10065" w:type="dxa"/>
          </w:tcPr>
          <w:p w14:paraId="308DF842" w14:textId="77777777" w:rsidR="00F76525" w:rsidRPr="00D97583" w:rsidRDefault="00F76525" w:rsidP="00D662D7">
            <w:pPr>
              <w:keepNext/>
              <w:spacing w:after="0" w:line="256" w:lineRule="auto"/>
              <w:jc w:val="center"/>
              <w:outlineLvl w:val="1"/>
              <w:rPr>
                <w:rFonts w:ascii="Times New Roman" w:eastAsia="Times New Roman" w:hAnsi="Times New Roman" w:cs="Times New Roman"/>
                <w:b/>
                <w:sz w:val="24"/>
                <w:szCs w:val="20"/>
                <w:lang w:eastAsia="lt-LT"/>
              </w:rPr>
            </w:pPr>
          </w:p>
        </w:tc>
      </w:tr>
      <w:tr w:rsidR="00F76525" w:rsidRPr="00D97583" w14:paraId="220696B2" w14:textId="77777777" w:rsidTr="00564245">
        <w:tc>
          <w:tcPr>
            <w:tcW w:w="10065" w:type="dxa"/>
            <w:tcBorders>
              <w:top w:val="nil"/>
              <w:left w:val="nil"/>
              <w:bottom w:val="single" w:sz="6" w:space="0" w:color="auto"/>
              <w:right w:val="nil"/>
            </w:tcBorders>
            <w:hideMark/>
          </w:tcPr>
          <w:p w14:paraId="46778DDA" w14:textId="77777777" w:rsidR="00F76525" w:rsidRPr="00D97583" w:rsidRDefault="00F76525" w:rsidP="00D662D7">
            <w:pPr>
              <w:spacing w:after="0" w:line="256" w:lineRule="auto"/>
              <w:jc w:val="center"/>
              <w:rPr>
                <w:rFonts w:ascii="Times New Roman" w:eastAsia="Times New Roman" w:hAnsi="Times New Roman" w:cs="Times New Roman"/>
                <w:sz w:val="20"/>
                <w:szCs w:val="20"/>
                <w:lang w:eastAsia="lt-LT"/>
              </w:rPr>
            </w:pPr>
            <w:r w:rsidRPr="00D97583">
              <w:rPr>
                <w:rFonts w:ascii="Times New Roman" w:eastAsia="Times New Roman" w:hAnsi="Times New Roman" w:cs="Times New Roman"/>
                <w:sz w:val="20"/>
                <w:szCs w:val="20"/>
                <w:lang w:eastAsia="lt-LT"/>
              </w:rPr>
              <w:t xml:space="preserve">Biudžetinė įstaiga, Rotušės a. 4, LT-62504 Alytus, tel. (8 315) 55 127, faks. (8 315) 55 191, </w:t>
            </w:r>
          </w:p>
          <w:p w14:paraId="7389C7D9" w14:textId="77777777" w:rsidR="00F76525" w:rsidRPr="00D97583" w:rsidRDefault="00F76525" w:rsidP="00D662D7">
            <w:pPr>
              <w:spacing w:after="0" w:line="256" w:lineRule="auto"/>
              <w:jc w:val="center"/>
              <w:rPr>
                <w:rFonts w:ascii="Times New Roman" w:eastAsia="Times New Roman" w:hAnsi="Times New Roman" w:cs="Times New Roman"/>
                <w:sz w:val="20"/>
                <w:szCs w:val="20"/>
                <w:lang w:eastAsia="lt-LT"/>
              </w:rPr>
            </w:pPr>
            <w:r w:rsidRPr="00D97583">
              <w:rPr>
                <w:rFonts w:ascii="Times New Roman" w:eastAsia="Times New Roman" w:hAnsi="Times New Roman" w:cs="Times New Roman"/>
                <w:sz w:val="20"/>
                <w:szCs w:val="20"/>
                <w:lang w:eastAsia="lt-LT"/>
              </w:rPr>
              <w:t xml:space="preserve">el. p. viesieji_pirkimai@alytus.lt. </w:t>
            </w:r>
          </w:p>
          <w:p w14:paraId="07C4C001" w14:textId="77777777" w:rsidR="00F76525" w:rsidRPr="00D97583" w:rsidRDefault="00F76525" w:rsidP="00D662D7">
            <w:pPr>
              <w:spacing w:after="0" w:line="256" w:lineRule="auto"/>
              <w:jc w:val="center"/>
              <w:rPr>
                <w:rFonts w:ascii="Times New Roman" w:eastAsia="Times New Roman" w:hAnsi="Times New Roman" w:cs="Times New Roman"/>
                <w:sz w:val="20"/>
                <w:szCs w:val="20"/>
                <w:lang w:eastAsia="lt-LT"/>
              </w:rPr>
            </w:pPr>
            <w:r w:rsidRPr="00D97583">
              <w:rPr>
                <w:rFonts w:ascii="Times New Roman" w:eastAsia="Times New Roman" w:hAnsi="Times New Roman" w:cs="Times New Roman"/>
                <w:sz w:val="20"/>
                <w:szCs w:val="20"/>
                <w:lang w:eastAsia="lt-LT"/>
              </w:rPr>
              <w:t>Duomenys kaupiami ir saugomi Juridinių asmenų registre, kodas 188706935</w:t>
            </w:r>
          </w:p>
        </w:tc>
      </w:tr>
    </w:tbl>
    <w:p w14:paraId="71CFE435" w14:textId="77777777" w:rsidR="00F76525" w:rsidRPr="00D97583" w:rsidRDefault="00F76525" w:rsidP="00F76525">
      <w:pPr>
        <w:spacing w:after="0" w:line="240" w:lineRule="auto"/>
        <w:jc w:val="center"/>
        <w:rPr>
          <w:rFonts w:ascii="Times New Roman" w:eastAsia="Times New Roman" w:hAnsi="Times New Roman" w:cs="Times New Roman"/>
          <w:sz w:val="24"/>
          <w:szCs w:val="20"/>
          <w:lang w:eastAsia="lt-LT"/>
        </w:rPr>
      </w:pPr>
    </w:p>
    <w:tbl>
      <w:tblPr>
        <w:tblW w:w="11629" w:type="dxa"/>
        <w:tblInd w:w="108" w:type="dxa"/>
        <w:tblLayout w:type="fixed"/>
        <w:tblLook w:val="04A0" w:firstRow="1" w:lastRow="0" w:firstColumn="1" w:lastColumn="0" w:noHBand="0" w:noVBand="1"/>
      </w:tblPr>
      <w:tblGrid>
        <w:gridCol w:w="4536"/>
        <w:gridCol w:w="2586"/>
        <w:gridCol w:w="4507"/>
      </w:tblGrid>
      <w:tr w:rsidR="00F76525" w:rsidRPr="00D97583" w14:paraId="6B13B504" w14:textId="77777777" w:rsidTr="00D662D7">
        <w:trPr>
          <w:cantSplit/>
        </w:trPr>
        <w:tc>
          <w:tcPr>
            <w:tcW w:w="4536" w:type="dxa"/>
            <w:hideMark/>
          </w:tcPr>
          <w:p w14:paraId="4F72B246" w14:textId="77777777" w:rsidR="00F76525" w:rsidRPr="00D97583" w:rsidRDefault="00F76525" w:rsidP="00D662D7">
            <w:pPr>
              <w:spacing w:after="0" w:line="256" w:lineRule="auto"/>
              <w:ind w:left="-113" w:right="-113"/>
              <w:rPr>
                <w:rFonts w:ascii="Arial" w:eastAsia="Times New Roman" w:hAnsi="Arial" w:cs="Arial"/>
                <w:sz w:val="24"/>
                <w:szCs w:val="24"/>
                <w:lang w:eastAsia="lt-LT"/>
              </w:rPr>
            </w:pPr>
            <w:r w:rsidRPr="00D97583">
              <w:rPr>
                <w:rFonts w:ascii="Arial" w:eastAsia="Times New Roman" w:hAnsi="Arial" w:cs="Arial"/>
                <w:sz w:val="24"/>
                <w:szCs w:val="24"/>
                <w:lang w:eastAsia="lt-LT"/>
              </w:rPr>
              <w:t>Tiekėjams</w:t>
            </w:r>
          </w:p>
        </w:tc>
        <w:tc>
          <w:tcPr>
            <w:tcW w:w="2586" w:type="dxa"/>
          </w:tcPr>
          <w:p w14:paraId="7E2E0C5B" w14:textId="77777777" w:rsidR="00F76525" w:rsidRPr="00D97583" w:rsidRDefault="00F76525" w:rsidP="00D662D7">
            <w:pPr>
              <w:spacing w:after="0" w:line="256" w:lineRule="auto"/>
              <w:rPr>
                <w:rFonts w:ascii="Arial" w:eastAsia="Times New Roman" w:hAnsi="Arial" w:cs="Arial"/>
                <w:sz w:val="24"/>
                <w:szCs w:val="24"/>
                <w:lang w:eastAsia="lt-LT"/>
              </w:rPr>
            </w:pPr>
          </w:p>
        </w:tc>
        <w:tc>
          <w:tcPr>
            <w:tcW w:w="4507" w:type="dxa"/>
            <w:hideMark/>
          </w:tcPr>
          <w:p w14:paraId="479CF299" w14:textId="5DA80E81" w:rsidR="00F76525" w:rsidRPr="00D97583" w:rsidRDefault="00E216FF" w:rsidP="00F76525">
            <w:pPr>
              <w:spacing w:after="0" w:line="256" w:lineRule="auto"/>
              <w:ind w:left="-113"/>
              <w:rPr>
                <w:rFonts w:ascii="Arial" w:eastAsia="Times New Roman" w:hAnsi="Arial" w:cs="Arial"/>
                <w:sz w:val="24"/>
                <w:szCs w:val="24"/>
                <w:lang w:eastAsia="lt-LT"/>
              </w:rPr>
            </w:pPr>
            <w:r w:rsidRPr="00D97583">
              <w:rPr>
                <w:rFonts w:ascii="Arial" w:eastAsia="Times New Roman" w:hAnsi="Arial" w:cs="Arial"/>
                <w:sz w:val="24"/>
                <w:szCs w:val="24"/>
                <w:lang w:eastAsia="lt-LT"/>
              </w:rPr>
              <w:t>2025-02-2</w:t>
            </w:r>
            <w:r w:rsidR="00015807">
              <w:rPr>
                <w:rFonts w:ascii="Arial" w:eastAsia="Times New Roman" w:hAnsi="Arial" w:cs="Arial"/>
                <w:sz w:val="24"/>
                <w:szCs w:val="24"/>
                <w:lang w:eastAsia="lt-LT"/>
              </w:rPr>
              <w:t>8</w:t>
            </w:r>
          </w:p>
        </w:tc>
      </w:tr>
      <w:tr w:rsidR="00F76525" w:rsidRPr="00D97583" w14:paraId="1602B13D" w14:textId="77777777" w:rsidTr="00D662D7">
        <w:trPr>
          <w:cantSplit/>
        </w:trPr>
        <w:tc>
          <w:tcPr>
            <w:tcW w:w="4536" w:type="dxa"/>
          </w:tcPr>
          <w:p w14:paraId="6E1447B2" w14:textId="77777777" w:rsidR="00F76525" w:rsidRPr="00D97583" w:rsidRDefault="00F76525" w:rsidP="00D662D7">
            <w:pPr>
              <w:spacing w:after="0" w:line="256" w:lineRule="auto"/>
              <w:ind w:left="-113" w:right="-113"/>
              <w:rPr>
                <w:rFonts w:ascii="Arial" w:eastAsia="Times New Roman" w:hAnsi="Arial" w:cs="Arial"/>
                <w:sz w:val="24"/>
                <w:szCs w:val="24"/>
                <w:lang w:eastAsia="lt-LT"/>
              </w:rPr>
            </w:pPr>
          </w:p>
        </w:tc>
        <w:tc>
          <w:tcPr>
            <w:tcW w:w="2586" w:type="dxa"/>
          </w:tcPr>
          <w:p w14:paraId="1B0F7193" w14:textId="77777777" w:rsidR="00F76525" w:rsidRPr="00D97583" w:rsidRDefault="00F76525" w:rsidP="00D662D7">
            <w:pPr>
              <w:spacing w:after="0" w:line="256" w:lineRule="auto"/>
              <w:rPr>
                <w:rFonts w:ascii="Arial" w:eastAsia="Times New Roman" w:hAnsi="Arial" w:cs="Arial"/>
                <w:sz w:val="24"/>
                <w:szCs w:val="24"/>
                <w:lang w:eastAsia="lt-LT"/>
              </w:rPr>
            </w:pPr>
          </w:p>
        </w:tc>
        <w:tc>
          <w:tcPr>
            <w:tcW w:w="4507" w:type="dxa"/>
          </w:tcPr>
          <w:p w14:paraId="3A84DC42" w14:textId="77777777" w:rsidR="00F76525" w:rsidRPr="00D97583" w:rsidRDefault="00F76525" w:rsidP="00D662D7">
            <w:pPr>
              <w:spacing w:after="0" w:line="256" w:lineRule="auto"/>
              <w:ind w:left="1" w:hanging="1"/>
              <w:rPr>
                <w:rFonts w:ascii="Arial" w:eastAsia="Times New Roman" w:hAnsi="Arial" w:cs="Arial"/>
                <w:sz w:val="24"/>
                <w:szCs w:val="24"/>
                <w:lang w:eastAsia="lt-LT"/>
              </w:rPr>
            </w:pPr>
          </w:p>
        </w:tc>
      </w:tr>
      <w:tr w:rsidR="00F76525" w:rsidRPr="00D97583" w14:paraId="75A7613B" w14:textId="77777777" w:rsidTr="00D662D7">
        <w:trPr>
          <w:cantSplit/>
          <w:trHeight w:val="459"/>
        </w:trPr>
        <w:tc>
          <w:tcPr>
            <w:tcW w:w="4536" w:type="dxa"/>
          </w:tcPr>
          <w:p w14:paraId="00561BCC" w14:textId="77777777" w:rsidR="00F76525" w:rsidRPr="00D97583" w:rsidRDefault="00F76525" w:rsidP="00D662D7">
            <w:pPr>
              <w:spacing w:after="0" w:line="256" w:lineRule="auto"/>
              <w:ind w:right="-113"/>
              <w:rPr>
                <w:rFonts w:ascii="Arial" w:eastAsia="Times New Roman" w:hAnsi="Arial" w:cs="Arial"/>
                <w:sz w:val="24"/>
                <w:szCs w:val="24"/>
                <w:lang w:eastAsia="lt-LT"/>
              </w:rPr>
            </w:pPr>
          </w:p>
        </w:tc>
        <w:tc>
          <w:tcPr>
            <w:tcW w:w="2586" w:type="dxa"/>
          </w:tcPr>
          <w:p w14:paraId="02752227" w14:textId="77777777" w:rsidR="00F76525" w:rsidRPr="00D97583" w:rsidRDefault="00F76525" w:rsidP="00D662D7">
            <w:pPr>
              <w:spacing w:after="0" w:line="256" w:lineRule="auto"/>
              <w:rPr>
                <w:rFonts w:ascii="Arial" w:eastAsia="Times New Roman" w:hAnsi="Arial" w:cs="Arial"/>
                <w:sz w:val="24"/>
                <w:szCs w:val="24"/>
                <w:lang w:eastAsia="lt-LT"/>
              </w:rPr>
            </w:pPr>
          </w:p>
        </w:tc>
        <w:tc>
          <w:tcPr>
            <w:tcW w:w="4507" w:type="dxa"/>
          </w:tcPr>
          <w:p w14:paraId="62ABD8C1" w14:textId="77777777" w:rsidR="00F76525" w:rsidRPr="00D97583" w:rsidRDefault="00F76525" w:rsidP="00D662D7">
            <w:pPr>
              <w:spacing w:after="0" w:line="256" w:lineRule="auto"/>
              <w:ind w:left="-113"/>
              <w:rPr>
                <w:rFonts w:ascii="Arial" w:eastAsia="Times New Roman" w:hAnsi="Arial" w:cs="Arial"/>
                <w:sz w:val="24"/>
                <w:szCs w:val="24"/>
                <w:lang w:eastAsia="lt-LT"/>
              </w:rPr>
            </w:pPr>
          </w:p>
        </w:tc>
      </w:tr>
      <w:tr w:rsidR="00F76525" w:rsidRPr="00D97583" w14:paraId="7E3DCE9E" w14:textId="77777777" w:rsidTr="00D662D7">
        <w:trPr>
          <w:cantSplit/>
        </w:trPr>
        <w:tc>
          <w:tcPr>
            <w:tcW w:w="11629" w:type="dxa"/>
            <w:gridSpan w:val="3"/>
            <w:hideMark/>
          </w:tcPr>
          <w:p w14:paraId="3149FB63" w14:textId="77777777" w:rsidR="00F76525" w:rsidRPr="00D97583" w:rsidRDefault="00F76525" w:rsidP="00F76525">
            <w:pPr>
              <w:tabs>
                <w:tab w:val="left" w:pos="567"/>
                <w:tab w:val="left" w:pos="993"/>
                <w:tab w:val="right" w:pos="9072"/>
              </w:tabs>
              <w:spacing w:after="0" w:line="240" w:lineRule="auto"/>
              <w:rPr>
                <w:rFonts w:ascii="Arial" w:eastAsia="Times New Roman" w:hAnsi="Arial" w:cs="Arial"/>
                <w:b/>
                <w:bCs/>
                <w:caps/>
                <w:sz w:val="24"/>
                <w:szCs w:val="24"/>
                <w:lang w:eastAsia="lt-LT"/>
              </w:rPr>
            </w:pPr>
            <w:r w:rsidRPr="00D97583">
              <w:rPr>
                <w:rFonts w:ascii="Arial" w:eastAsia="Calibri" w:hAnsi="Arial" w:cs="Arial"/>
                <w:b/>
                <w:caps/>
                <w:sz w:val="24"/>
                <w:szCs w:val="24"/>
              </w:rPr>
              <w:t xml:space="preserve">Dėl PRANEŠIMŲ NAGRINĖJIMO </w:t>
            </w:r>
          </w:p>
        </w:tc>
      </w:tr>
    </w:tbl>
    <w:p w14:paraId="242C7272" w14:textId="77777777" w:rsidR="006F70C8" w:rsidRPr="00D97583" w:rsidRDefault="006F70C8" w:rsidP="006F70C8">
      <w:pPr>
        <w:rPr>
          <w:rFonts w:ascii="Arial" w:hAnsi="Arial" w:cs="Arial"/>
          <w:sz w:val="24"/>
          <w:szCs w:val="24"/>
        </w:rPr>
      </w:pPr>
    </w:p>
    <w:p w14:paraId="1E11A9BD" w14:textId="3A09230B" w:rsidR="00D97583" w:rsidRPr="00805731" w:rsidRDefault="00D97583" w:rsidP="00805731">
      <w:pPr>
        <w:tabs>
          <w:tab w:val="left" w:pos="1701"/>
          <w:tab w:val="left" w:pos="1843"/>
        </w:tabs>
        <w:spacing w:after="0" w:line="240" w:lineRule="auto"/>
        <w:ind w:firstLine="1298"/>
        <w:jc w:val="both"/>
        <w:rPr>
          <w:rFonts w:ascii="Arial" w:eastAsia="Times New Roman" w:hAnsi="Arial" w:cs="Arial"/>
          <w:color w:val="000000" w:themeColor="text1"/>
          <w:sz w:val="24"/>
          <w:szCs w:val="24"/>
          <w:lang w:eastAsia="lt-LT"/>
        </w:rPr>
      </w:pPr>
      <w:r w:rsidRPr="00805731">
        <w:rPr>
          <w:rFonts w:ascii="Arial" w:eastAsia="Times New Roman" w:hAnsi="Arial" w:cs="Arial"/>
          <w:color w:val="000000"/>
          <w:sz w:val="24"/>
          <w:szCs w:val="24"/>
          <w:lang w:eastAsia="lt-LT"/>
        </w:rPr>
        <w:t xml:space="preserve">Alytaus </w:t>
      </w:r>
      <w:r w:rsidRPr="00805731">
        <w:rPr>
          <w:rFonts w:ascii="Arial" w:eastAsia="Times New Roman" w:hAnsi="Arial" w:cs="Arial"/>
          <w:color w:val="000000" w:themeColor="text1"/>
          <w:sz w:val="24"/>
          <w:szCs w:val="24"/>
          <w:lang w:eastAsia="lt-LT"/>
        </w:rPr>
        <w:t xml:space="preserve">miesto savivaldybės administracijos viešųjų pirkimų komisija (toliau – komisija), vykdydama </w:t>
      </w:r>
      <w:bookmarkStart w:id="0" w:name="_Hlk177381301"/>
      <w:r w:rsidRPr="00805731">
        <w:rPr>
          <w:rFonts w:ascii="Arial" w:eastAsia="Times New Roman" w:hAnsi="Arial" w:cs="Arial"/>
          <w:color w:val="000000" w:themeColor="text1"/>
          <w:sz w:val="24"/>
          <w:szCs w:val="24"/>
          <w:lang w:eastAsia="lt-LT"/>
        </w:rPr>
        <w:t>supaprastinto viešojo pirkimo „</w:t>
      </w:r>
      <w:r w:rsidRPr="00805731">
        <w:rPr>
          <w:rFonts w:ascii="Arial" w:hAnsi="Arial" w:cs="Arial"/>
          <w:color w:val="000000" w:themeColor="text1"/>
          <w:sz w:val="24"/>
          <w:szCs w:val="24"/>
        </w:rPr>
        <w:t>Priklausomybės prevencija: svarbu žinoti kiekvienam</w:t>
      </w:r>
      <w:r w:rsidRPr="00805731">
        <w:rPr>
          <w:rFonts w:ascii="Arial" w:eastAsia="Times New Roman" w:hAnsi="Arial" w:cs="Arial"/>
          <w:color w:val="000000" w:themeColor="text1"/>
          <w:sz w:val="24"/>
          <w:szCs w:val="24"/>
          <w:lang w:eastAsia="lt-LT"/>
        </w:rPr>
        <w:t xml:space="preserve">“ </w:t>
      </w:r>
      <w:bookmarkEnd w:id="0"/>
      <w:r w:rsidRPr="00805731">
        <w:rPr>
          <w:rFonts w:ascii="Arial" w:eastAsia="Times New Roman" w:hAnsi="Arial" w:cs="Arial"/>
          <w:color w:val="000000" w:themeColor="text1"/>
          <w:sz w:val="24"/>
          <w:szCs w:val="24"/>
          <w:lang w:eastAsia="lt-LT"/>
        </w:rPr>
        <w:t>atvirą konkursą, 2025-02-2</w:t>
      </w:r>
      <w:r w:rsidR="00015807">
        <w:rPr>
          <w:rFonts w:ascii="Arial" w:eastAsia="Times New Roman" w:hAnsi="Arial" w:cs="Arial"/>
          <w:color w:val="000000" w:themeColor="text1"/>
          <w:sz w:val="24"/>
          <w:szCs w:val="24"/>
          <w:lang w:eastAsia="lt-LT"/>
        </w:rPr>
        <w:t>8</w:t>
      </w:r>
      <w:r w:rsidRPr="00805731">
        <w:rPr>
          <w:rFonts w:ascii="Arial" w:eastAsia="Times New Roman" w:hAnsi="Arial" w:cs="Arial"/>
          <w:color w:val="000000" w:themeColor="text1"/>
          <w:sz w:val="24"/>
          <w:szCs w:val="24"/>
          <w:lang w:eastAsia="lt-LT"/>
        </w:rPr>
        <w:t xml:space="preserve"> posėdžio metu, išnagrinėjo centrinės viešųjų pirkimų informacinės sistemos (toliau – CVP IS) priemonėmis gautą tiekėjo 202-02-2</w:t>
      </w:r>
      <w:r w:rsidR="00015807">
        <w:rPr>
          <w:rFonts w:ascii="Arial" w:eastAsia="Times New Roman" w:hAnsi="Arial" w:cs="Arial"/>
          <w:color w:val="000000" w:themeColor="text1"/>
          <w:sz w:val="24"/>
          <w:szCs w:val="24"/>
          <w:lang w:eastAsia="lt-LT"/>
        </w:rPr>
        <w:t>7</w:t>
      </w:r>
      <w:r w:rsidRPr="00805731">
        <w:rPr>
          <w:rFonts w:ascii="Arial" w:eastAsia="Times New Roman" w:hAnsi="Arial" w:cs="Arial"/>
          <w:color w:val="000000" w:themeColor="text1"/>
          <w:sz w:val="24"/>
          <w:szCs w:val="24"/>
          <w:lang w:eastAsia="lt-LT"/>
        </w:rPr>
        <w:t xml:space="preserve"> pranešimą „</w:t>
      </w:r>
      <w:r w:rsidR="00015807">
        <w:rPr>
          <w:rFonts w:ascii="Arial" w:eastAsia="Times New Roman" w:hAnsi="Arial" w:cs="Arial"/>
          <w:color w:val="000000" w:themeColor="text1"/>
          <w:sz w:val="24"/>
          <w:szCs w:val="24"/>
          <w:lang w:eastAsia="lt-LT"/>
        </w:rPr>
        <w:t>Pakl</w:t>
      </w:r>
      <w:r w:rsidRPr="00805731">
        <w:rPr>
          <w:rFonts w:ascii="Arial" w:eastAsia="Times New Roman" w:hAnsi="Arial" w:cs="Arial"/>
          <w:color w:val="000000" w:themeColor="text1"/>
          <w:sz w:val="24"/>
          <w:szCs w:val="24"/>
          <w:lang w:eastAsia="lt-LT"/>
        </w:rPr>
        <w:t>ausimas“ (ID</w:t>
      </w:r>
      <w:r w:rsidR="00E40C3C">
        <w:rPr>
          <w:rFonts w:ascii="Arial" w:eastAsia="Times New Roman" w:hAnsi="Arial" w:cs="Arial"/>
          <w:color w:val="000000" w:themeColor="text1"/>
          <w:sz w:val="24"/>
          <w:szCs w:val="24"/>
          <w:lang w:eastAsia="lt-LT"/>
        </w:rPr>
        <w:t xml:space="preserve"> </w:t>
      </w:r>
      <w:r w:rsidR="00015807">
        <w:rPr>
          <w:rFonts w:ascii="Arial" w:eastAsia="Times New Roman" w:hAnsi="Arial" w:cs="Arial"/>
          <w:color w:val="000000" w:themeColor="text1"/>
          <w:sz w:val="24"/>
          <w:szCs w:val="24"/>
          <w:lang w:eastAsia="lt-LT"/>
        </w:rPr>
        <w:t>94214</w:t>
      </w:r>
      <w:r w:rsidRPr="00805731">
        <w:rPr>
          <w:rFonts w:ascii="Arial" w:eastAsia="Times New Roman" w:hAnsi="Arial" w:cs="Arial"/>
          <w:color w:val="000000" w:themeColor="text1"/>
          <w:sz w:val="24"/>
          <w:szCs w:val="24"/>
          <w:lang w:eastAsia="lt-LT"/>
        </w:rPr>
        <w:t>), vadovaudamasi Lietuvos Respublikos viešųjų pirkimų įstatymo (toliau – Viešųjų pirkimų įstatymas)</w:t>
      </w:r>
      <w:r w:rsidRPr="00805731">
        <w:rPr>
          <w:rFonts w:ascii="Arial" w:hAnsi="Arial" w:cs="Arial"/>
          <w:color w:val="000000" w:themeColor="text1"/>
          <w:sz w:val="24"/>
          <w:szCs w:val="24"/>
        </w:rPr>
        <w:t xml:space="preserve"> </w:t>
      </w:r>
      <w:r w:rsidRPr="00805731">
        <w:rPr>
          <w:rFonts w:ascii="Arial" w:eastAsia="Times New Roman" w:hAnsi="Arial" w:cs="Arial"/>
          <w:color w:val="000000" w:themeColor="text1"/>
          <w:sz w:val="24"/>
          <w:szCs w:val="24"/>
          <w:lang w:eastAsia="lt-LT"/>
        </w:rPr>
        <w:t xml:space="preserve">36 str. 5 d. bei </w:t>
      </w:r>
      <w:bookmarkStart w:id="1" w:name="_Hlk177381859"/>
      <w:bookmarkStart w:id="2" w:name="_Hlk177381585"/>
      <w:r w:rsidRPr="00805731">
        <w:rPr>
          <w:rFonts w:ascii="Arial" w:eastAsia="Times New Roman" w:hAnsi="Arial" w:cs="Arial"/>
          <w:color w:val="000000" w:themeColor="text1"/>
          <w:sz w:val="24"/>
          <w:szCs w:val="24"/>
          <w:lang w:eastAsia="lt-LT"/>
        </w:rPr>
        <w:t>komisijos 2025-02-20 posėdžio protokolu Nr. VP-120 patvirtintų supaprastinto viešojo pirkimo „</w:t>
      </w:r>
      <w:r w:rsidRPr="00805731">
        <w:rPr>
          <w:rFonts w:ascii="Arial" w:hAnsi="Arial" w:cs="Arial"/>
          <w:color w:val="000000" w:themeColor="text1"/>
          <w:sz w:val="24"/>
          <w:szCs w:val="24"/>
        </w:rPr>
        <w:t>Priklausomybės prevencija: svarbu žinoti kiekvienam</w:t>
      </w:r>
      <w:r w:rsidRPr="00805731">
        <w:rPr>
          <w:rFonts w:ascii="Arial" w:eastAsia="Times New Roman" w:hAnsi="Arial" w:cs="Arial"/>
          <w:color w:val="000000" w:themeColor="text1"/>
          <w:sz w:val="24"/>
          <w:szCs w:val="24"/>
          <w:lang w:eastAsia="lt-LT"/>
        </w:rPr>
        <w:t xml:space="preserve">“ </w:t>
      </w:r>
      <w:r w:rsidRPr="00805731">
        <w:rPr>
          <w:rFonts w:ascii="Arial" w:eastAsia="Calibri" w:hAnsi="Arial" w:cs="Arial"/>
          <w:color w:val="000000" w:themeColor="text1"/>
          <w:sz w:val="24"/>
          <w:szCs w:val="24"/>
        </w:rPr>
        <w:t>atviro konkurso bendrųjų sąlygų (toliau – bendrosios pirkimo sąlygos)</w:t>
      </w:r>
      <w:r w:rsidRPr="00805731">
        <w:rPr>
          <w:rFonts w:ascii="Arial" w:eastAsia="Times New Roman" w:hAnsi="Arial" w:cs="Arial"/>
          <w:color w:val="000000" w:themeColor="text1"/>
          <w:sz w:val="24"/>
          <w:szCs w:val="24"/>
          <w:lang w:eastAsia="lt-LT"/>
        </w:rPr>
        <w:t xml:space="preserve"> 5.2 </w:t>
      </w:r>
      <w:bookmarkEnd w:id="1"/>
      <w:bookmarkEnd w:id="2"/>
      <w:r w:rsidRPr="00805731">
        <w:rPr>
          <w:rFonts w:ascii="Arial" w:eastAsia="Times New Roman" w:hAnsi="Arial" w:cs="Arial"/>
          <w:color w:val="000000" w:themeColor="text1"/>
          <w:sz w:val="24"/>
          <w:szCs w:val="24"/>
          <w:lang w:eastAsia="lt-LT"/>
        </w:rPr>
        <w:t>p., ir teikia atsakymą.</w:t>
      </w:r>
    </w:p>
    <w:p w14:paraId="6D0B5020" w14:textId="77777777" w:rsidR="00D97583" w:rsidRPr="00805731" w:rsidRDefault="00C90ACD" w:rsidP="00805731">
      <w:pPr>
        <w:tabs>
          <w:tab w:val="left" w:pos="1560"/>
        </w:tabs>
        <w:spacing w:after="0" w:line="240" w:lineRule="auto"/>
        <w:ind w:firstLine="1298"/>
        <w:jc w:val="both"/>
        <w:rPr>
          <w:rFonts w:ascii="Arial" w:eastAsia="Times New Roman" w:hAnsi="Arial" w:cs="Arial"/>
          <w:color w:val="000000"/>
          <w:sz w:val="24"/>
          <w:szCs w:val="24"/>
          <w:lang w:eastAsia="lt-LT"/>
        </w:rPr>
      </w:pPr>
      <w:r w:rsidRPr="00805731">
        <w:rPr>
          <w:rFonts w:ascii="Arial" w:eastAsia="Times New Roman" w:hAnsi="Arial" w:cs="Arial"/>
          <w:color w:val="000000"/>
          <w:sz w:val="24"/>
          <w:szCs w:val="24"/>
          <w:lang w:eastAsia="lt-LT"/>
        </w:rPr>
        <w:t xml:space="preserve"> </w:t>
      </w:r>
    </w:p>
    <w:p w14:paraId="61AAB7BC" w14:textId="77777777" w:rsidR="00C90ACD" w:rsidRPr="00805731" w:rsidRDefault="00C90ACD" w:rsidP="00805731">
      <w:pPr>
        <w:tabs>
          <w:tab w:val="left" w:pos="553"/>
        </w:tabs>
        <w:spacing w:after="0" w:line="240" w:lineRule="auto"/>
        <w:ind w:firstLine="1298"/>
        <w:jc w:val="both"/>
        <w:rPr>
          <w:rFonts w:ascii="Arial" w:hAnsi="Arial" w:cs="Arial"/>
          <w:color w:val="000000" w:themeColor="text1"/>
          <w:sz w:val="24"/>
          <w:szCs w:val="24"/>
        </w:rPr>
      </w:pPr>
      <w:r w:rsidRPr="00805731">
        <w:rPr>
          <w:rFonts w:ascii="Arial" w:hAnsi="Arial" w:cs="Arial"/>
          <w:b/>
          <w:bCs/>
          <w:sz w:val="24"/>
          <w:szCs w:val="24"/>
        </w:rPr>
        <w:t>Klausimas.</w:t>
      </w:r>
    </w:p>
    <w:p w14:paraId="061D6D5A" w14:textId="7F9B7579" w:rsidR="0020040E" w:rsidRDefault="00C90ACD" w:rsidP="00015807">
      <w:pPr>
        <w:pStyle w:val="prastasiniatinklio"/>
        <w:shd w:val="clear" w:color="auto" w:fill="FFFFFF"/>
        <w:spacing w:before="0" w:beforeAutospacing="0" w:after="0" w:afterAutospacing="0"/>
        <w:ind w:firstLine="1298"/>
        <w:jc w:val="both"/>
        <w:rPr>
          <w:rFonts w:ascii="Arial" w:hAnsi="Arial" w:cs="Arial"/>
          <w:color w:val="333333"/>
        </w:rPr>
      </w:pPr>
      <w:r w:rsidRPr="00015807">
        <w:rPr>
          <w:rFonts w:ascii="Arial" w:hAnsi="Arial" w:cs="Arial"/>
          <w:color w:val="000000" w:themeColor="text1"/>
        </w:rPr>
        <w:t>„</w:t>
      </w:r>
      <w:r w:rsidR="00AC09CA" w:rsidRPr="00015807">
        <w:rPr>
          <w:rFonts w:ascii="Arial" w:hAnsi="Arial" w:cs="Arial"/>
          <w:color w:val="333333"/>
        </w:rPr>
        <w:t xml:space="preserve">Vadovaujantis Viešųjų pirkimų įstatymo 17 str. 3 p., o būtent „ 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 </w:t>
      </w:r>
      <w:r w:rsidR="00AC09CA" w:rsidRPr="00015807">
        <w:rPr>
          <w:rFonts w:ascii="Arial" w:hAnsi="Arial" w:cs="Arial"/>
          <w:i/>
          <w:iCs/>
          <w:color w:val="333333"/>
        </w:rPr>
        <w:t>prašome patikslinti Jūsų specialiose prikimo sąlygose įvardintą sąlygą</w:t>
      </w:r>
      <w:r w:rsidR="00AC09CA" w:rsidRPr="00015807">
        <w:rPr>
          <w:rFonts w:ascii="Arial" w:hAnsi="Arial" w:cs="Arial"/>
          <w:color w:val="333333"/>
        </w:rPr>
        <w:t>, susijusią su poreikiu naudoti jūsų perkamose paslaugose priemonę „LegoSerious Play, kadangi, turimais duomenims, minėtą priemonę gali turėti itin mažai tiekėjų Lietuvoje, o tai pažeidžia aukščiau minimo Viešųjų pirkimų įstatymų nuostatą susijusią su konkurencijos mažinimu.</w:t>
      </w:r>
      <w:r w:rsidR="00AC09CA" w:rsidRPr="00015807">
        <w:rPr>
          <w:rFonts w:ascii="Arial" w:hAnsi="Arial" w:cs="Arial"/>
          <w:color w:val="333333"/>
        </w:rPr>
        <w:br/>
        <w:t>Taip pat prašome paaiškinti kodėl ši priemonė numatoma kaip būtinoji, taikant mokyklose paslaugas, susijusias su priklausomybės prevencijos įgyvendinimu, kadangi LR teisės aktuose</w:t>
      </w:r>
      <w:r w:rsidR="0020040E">
        <w:rPr>
          <w:rFonts w:ascii="Arial" w:hAnsi="Arial" w:cs="Arial"/>
          <w:color w:val="333333"/>
        </w:rPr>
        <w:t xml:space="preserve"> </w:t>
      </w:r>
      <w:r w:rsidR="00AC09CA" w:rsidRPr="00015807">
        <w:rPr>
          <w:rFonts w:ascii="Arial" w:hAnsi="Arial" w:cs="Arial"/>
          <w:color w:val="333333"/>
        </w:rPr>
        <w:t>taikyti būtent šią priemonę, tai yra, „LegoSerious Play“ nėra numatoma.</w:t>
      </w:r>
      <w:r w:rsidR="00AC09CA" w:rsidRPr="00015807">
        <w:rPr>
          <w:rFonts w:ascii="Arial" w:hAnsi="Arial" w:cs="Arial"/>
          <w:color w:val="333333"/>
        </w:rPr>
        <w:br/>
        <w:t xml:space="preserve">Priešingai: LR SAM 2024 m. lapkričio 8 d įsakymas Nr. V-1089 </w:t>
      </w:r>
      <w:r w:rsidR="00015807">
        <w:rPr>
          <w:rFonts w:ascii="Arial" w:hAnsi="Arial" w:cs="Arial"/>
          <w:color w:val="333333"/>
        </w:rPr>
        <w:t>„</w:t>
      </w:r>
      <w:r w:rsidR="00AC09CA" w:rsidRPr="00015807">
        <w:rPr>
          <w:rFonts w:ascii="Arial" w:hAnsi="Arial" w:cs="Arial"/>
          <w:color w:val="333333"/>
        </w:rPr>
        <w:t>Dėl priklausomybių konsultavimo paslaugų teikimo tvarkos aprašo patvirtinimo“ numato visai kitokias priklausomybės konsultanto kompetencijas.</w:t>
      </w:r>
      <w:r w:rsidR="0020040E">
        <w:rPr>
          <w:rFonts w:ascii="Arial" w:hAnsi="Arial" w:cs="Arial"/>
          <w:color w:val="333333"/>
        </w:rPr>
        <w:t xml:space="preserve"> k</w:t>
      </w:r>
      <w:r w:rsidR="00AC09CA" w:rsidRPr="00015807">
        <w:rPr>
          <w:rFonts w:ascii="Arial" w:hAnsi="Arial" w:cs="Arial"/>
          <w:color w:val="333333"/>
        </w:rPr>
        <w:t>ūrybiškumo metodikos, tokias kaip „Design Thinking“, „Method Kit“, „Points of You“, „Lego® Serious Play®“ ir kt. nėra specializuotos priklausomybių tematikai.</w:t>
      </w:r>
      <w:r w:rsidR="0020040E">
        <w:rPr>
          <w:rFonts w:ascii="Arial" w:hAnsi="Arial" w:cs="Arial"/>
          <w:color w:val="333333"/>
        </w:rPr>
        <w:t xml:space="preserve"> </w:t>
      </w:r>
    </w:p>
    <w:p w14:paraId="6D57A4B9" w14:textId="31F8BD7C" w:rsidR="00C90ACD" w:rsidRPr="00015807" w:rsidRDefault="00AC09CA" w:rsidP="00015807">
      <w:pPr>
        <w:pStyle w:val="prastasiniatinklio"/>
        <w:shd w:val="clear" w:color="auto" w:fill="FFFFFF"/>
        <w:spacing w:before="0" w:beforeAutospacing="0" w:after="0" w:afterAutospacing="0"/>
        <w:ind w:firstLine="1298"/>
        <w:jc w:val="both"/>
        <w:rPr>
          <w:rFonts w:ascii="Arial" w:hAnsi="Arial" w:cs="Arial"/>
          <w:color w:val="333333"/>
        </w:rPr>
      </w:pPr>
      <w:r w:rsidRPr="00015807">
        <w:rPr>
          <w:rFonts w:ascii="Arial" w:hAnsi="Arial" w:cs="Arial"/>
          <w:color w:val="333333"/>
        </w:rPr>
        <w:t>Jos gali būti panaudojamos, pvz., ugdant komandinio darbo kompetencijas etikos pamokose vyresnėse klasėse ar plėtojant pirmos klasės mokinių žodyną, bet ne siekiant mažinti priklausomybių plitimą.</w:t>
      </w:r>
      <w:r w:rsidR="00805731" w:rsidRPr="00015807">
        <w:rPr>
          <w:rFonts w:ascii="Arial" w:hAnsi="Arial" w:cs="Arial"/>
          <w:color w:val="333333"/>
        </w:rPr>
        <w:t xml:space="preserve"> </w:t>
      </w:r>
      <w:r w:rsidR="00C90ACD" w:rsidRPr="00015807">
        <w:rPr>
          <w:rFonts w:ascii="Arial" w:hAnsi="Arial" w:cs="Arial"/>
          <w:color w:val="333333"/>
        </w:rPr>
        <w:t>"</w:t>
      </w:r>
    </w:p>
    <w:p w14:paraId="58A6A58F" w14:textId="77777777" w:rsidR="00C90ACD" w:rsidRPr="00015807" w:rsidRDefault="00C90ACD" w:rsidP="00015807">
      <w:pPr>
        <w:pStyle w:val="prastasiniatinklio"/>
        <w:shd w:val="clear" w:color="auto" w:fill="FFFFFF"/>
        <w:spacing w:before="0" w:beforeAutospacing="0" w:after="0" w:afterAutospacing="0"/>
        <w:ind w:firstLine="1298"/>
        <w:jc w:val="both"/>
        <w:rPr>
          <w:rFonts w:ascii="Arial" w:hAnsi="Arial" w:cs="Arial"/>
          <w:color w:val="333333"/>
        </w:rPr>
      </w:pPr>
    </w:p>
    <w:p w14:paraId="085303E9" w14:textId="48490644" w:rsidR="00AC09CA" w:rsidRPr="00015807" w:rsidRDefault="00C90ACD" w:rsidP="00015807">
      <w:pPr>
        <w:spacing w:after="0" w:line="240" w:lineRule="auto"/>
        <w:ind w:firstLine="1298"/>
        <w:jc w:val="both"/>
        <w:rPr>
          <w:rFonts w:ascii="Arial" w:hAnsi="Arial" w:cs="Arial"/>
          <w:sz w:val="24"/>
          <w:szCs w:val="24"/>
        </w:rPr>
      </w:pPr>
      <w:r w:rsidRPr="00015807">
        <w:rPr>
          <w:rFonts w:ascii="Arial" w:hAnsi="Arial" w:cs="Arial"/>
          <w:b/>
          <w:bCs/>
          <w:color w:val="000000" w:themeColor="text1"/>
          <w:sz w:val="24"/>
          <w:szCs w:val="24"/>
        </w:rPr>
        <w:lastRenderedPageBreak/>
        <w:t>Atsakymas.</w:t>
      </w:r>
      <w:r w:rsidRPr="00015807">
        <w:rPr>
          <w:rFonts w:ascii="Arial" w:hAnsi="Arial" w:cs="Arial"/>
          <w:color w:val="000000" w:themeColor="text1"/>
          <w:sz w:val="24"/>
          <w:szCs w:val="24"/>
        </w:rPr>
        <w:t xml:space="preserve"> </w:t>
      </w:r>
    </w:p>
    <w:p w14:paraId="47A731D4" w14:textId="77777777" w:rsidR="00AC09CA" w:rsidRPr="00015807" w:rsidRDefault="00AC09CA" w:rsidP="00015807">
      <w:pPr>
        <w:spacing w:after="0" w:line="240" w:lineRule="auto"/>
        <w:ind w:firstLine="1298"/>
        <w:jc w:val="both"/>
        <w:rPr>
          <w:rFonts w:ascii="Arial" w:hAnsi="Arial" w:cs="Arial"/>
          <w:sz w:val="24"/>
          <w:szCs w:val="24"/>
        </w:rPr>
      </w:pPr>
      <w:r w:rsidRPr="00015807">
        <w:rPr>
          <w:rFonts w:ascii="Arial" w:hAnsi="Arial" w:cs="Arial"/>
          <w:sz w:val="24"/>
          <w:szCs w:val="24"/>
        </w:rPr>
        <w:t>Siekiant įgyvendinti projektą „Visuomenės sveikatos paslaugų gerinimas Alytaus mieste“, buvo įsigytos „Lego Serious Play“ priemonės. Vienas iš šio projekto reikalavimų yra, kad priemonės būtų naudojamos užsiėmimų metu. Taigi taikyti LEGO SERIOUS PLAY metodiką būtina užsiėmimų metu, o šią veiklą gali vykdyti tik sertifikuoti LEGO SERIOUS PLAY mentoriai. Lego kompanija labai griežtai reglamentuoja veiklas, kurių metu yra naudojamos LEGO kaladėles siekiant uždirbti pinigų. Pagal jų sertifikavimo programą, mokymų metu LEGO metodiką gali naudoti tik sertifikuoti mentoriai. LEGO kaladėlių pagalba kiekvienas dalyvis į lektoriaus klausimą atsako sukonstruodamas savo 3D modelį iš specialiai parinktų LEGO detalių,  šie 3D modeliai tampa grupinių diskusijų, patirties pasidalinimo, problemų sprendimo ir sprendimų priėmimo pagrindu. Darbo su LEGO kaladėlėmis tikslas – maksimaliai padidinti žmonių, dirbančių susitikime prie stalo asmeninį potencialą, įžvalgas, pasitikėjimą ir įsitraukimą į nurodytą temą. Taigi LEGO SERIOUS PLAY metodiką reikėtų naudoti užsiėmimo pradžioje ar pabaigoje, ar įterpiant pagrindinėje užsiėmimo dalyje (priklausomai nuo to, kaip laimėjęs konkursą lektorius ar lektoriai bus parengęs/ę mokymo programą).</w:t>
      </w:r>
    </w:p>
    <w:p w14:paraId="477C318C" w14:textId="51669D26" w:rsidR="00015807" w:rsidRPr="00015807" w:rsidRDefault="00585FDD" w:rsidP="00015807">
      <w:pPr>
        <w:spacing w:after="0" w:line="240" w:lineRule="auto"/>
        <w:ind w:firstLine="1298"/>
        <w:jc w:val="both"/>
        <w:rPr>
          <w:rFonts w:ascii="Arial" w:hAnsi="Arial" w:cs="Arial"/>
          <w:sz w:val="24"/>
          <w:szCs w:val="24"/>
        </w:rPr>
      </w:pPr>
      <w:r>
        <w:rPr>
          <w:rFonts w:ascii="Arial" w:hAnsi="Arial" w:cs="Arial"/>
          <w:sz w:val="24"/>
          <w:szCs w:val="24"/>
        </w:rPr>
        <w:t>S</w:t>
      </w:r>
      <w:r w:rsidR="00015807" w:rsidRPr="00015807">
        <w:rPr>
          <w:rFonts w:ascii="Arial" w:hAnsi="Arial" w:cs="Arial"/>
          <w:sz w:val="24"/>
          <w:szCs w:val="24"/>
        </w:rPr>
        <w:t>iekiant įgyvendinti projekto veiklas reikalingi kvalifikuoti lektoriai ar lektorius, o ne priklausomybių konsultantai ar konsultantas, kurie teikia paslaug</w:t>
      </w:r>
      <w:r w:rsidR="00015807">
        <w:rPr>
          <w:rFonts w:ascii="Arial" w:hAnsi="Arial" w:cs="Arial"/>
          <w:sz w:val="24"/>
          <w:szCs w:val="24"/>
        </w:rPr>
        <w:t>a</w:t>
      </w:r>
      <w:r w:rsidR="00015807" w:rsidRPr="00015807">
        <w:rPr>
          <w:rFonts w:ascii="Arial" w:hAnsi="Arial" w:cs="Arial"/>
          <w:sz w:val="24"/>
          <w:szCs w:val="24"/>
        </w:rPr>
        <w:t xml:space="preserve">s alkoholį, narkotines medžiagas </w:t>
      </w:r>
      <w:r w:rsidR="00015807" w:rsidRPr="00015807">
        <w:rPr>
          <w:rFonts w:ascii="Arial" w:hAnsi="Arial" w:cs="Arial"/>
          <w:b/>
          <w:bCs/>
          <w:sz w:val="24"/>
          <w:szCs w:val="24"/>
        </w:rPr>
        <w:t>vartojantiems</w:t>
      </w:r>
      <w:r w:rsidR="00015807" w:rsidRPr="00015807">
        <w:rPr>
          <w:rFonts w:ascii="Arial" w:hAnsi="Arial" w:cs="Arial"/>
          <w:sz w:val="24"/>
          <w:szCs w:val="24"/>
        </w:rPr>
        <w:t xml:space="preserve"> ir (ar) lošiantiems asmenims ir (ar) priklausomybės liga sergantiems asmenims, todėl negalime vadovautis LR SAM 2024 m. lapkričio 8 d įsakymu Nr. V-1089 „Dėl priklausomybių konsultavimo paslaugų teikimo tvarkos aprašo patvirtinimo“, kuriame numatomos priklausomybės konsultanto kompetencijos (baigęs priklausomybių konsultavimo dėl alkoholio vartojimo mokymus pagal neformaliojo mokymo programą arba kitus lygiaverčius mokymus).</w:t>
      </w:r>
    </w:p>
    <w:p w14:paraId="04BFA727" w14:textId="77777777" w:rsidR="00015807" w:rsidRPr="00E01C0B" w:rsidRDefault="00015807" w:rsidP="00AC09CA">
      <w:pPr>
        <w:jc w:val="both"/>
        <w:rPr>
          <w:rFonts w:ascii="Times New Roman" w:hAnsi="Times New Roman" w:cs="Times New Roman"/>
          <w:sz w:val="24"/>
          <w:szCs w:val="24"/>
        </w:rPr>
      </w:pPr>
    </w:p>
    <w:p w14:paraId="4B8686E8" w14:textId="589775C2" w:rsidR="00C90ACD" w:rsidRPr="00805731" w:rsidRDefault="00C90ACD" w:rsidP="00805731">
      <w:pPr>
        <w:pStyle w:val="prastasiniatinklio"/>
        <w:shd w:val="clear" w:color="auto" w:fill="FFFFFF"/>
        <w:spacing w:before="0" w:beforeAutospacing="0" w:after="0" w:afterAutospacing="0"/>
        <w:ind w:firstLine="1298"/>
        <w:jc w:val="both"/>
        <w:rPr>
          <w:rFonts w:ascii="Arial" w:hAnsi="Arial" w:cs="Arial"/>
          <w:color w:val="000000" w:themeColor="text1"/>
        </w:rPr>
      </w:pPr>
    </w:p>
    <w:p w14:paraId="25A3E452" w14:textId="77777777" w:rsidR="00253257" w:rsidRPr="00805731" w:rsidRDefault="00253257" w:rsidP="00805731">
      <w:pPr>
        <w:pStyle w:val="Betarp"/>
        <w:tabs>
          <w:tab w:val="left" w:pos="284"/>
        </w:tabs>
        <w:ind w:firstLine="1298"/>
        <w:jc w:val="both"/>
        <w:rPr>
          <w:rFonts w:ascii="Arial" w:hAnsi="Arial" w:cs="Arial"/>
          <w:sz w:val="24"/>
          <w:szCs w:val="24"/>
        </w:rPr>
      </w:pPr>
    </w:p>
    <w:p w14:paraId="1B7AF1DD" w14:textId="1DA07F77" w:rsidR="00010C38" w:rsidRPr="00805731" w:rsidRDefault="00805731" w:rsidP="00805731">
      <w:pPr>
        <w:spacing w:after="0" w:line="240" w:lineRule="auto"/>
        <w:jc w:val="both"/>
        <w:rPr>
          <w:rFonts w:ascii="Arial" w:eastAsia="Times New Roman" w:hAnsi="Arial" w:cs="Arial"/>
          <w:color w:val="333333"/>
          <w:sz w:val="24"/>
          <w:szCs w:val="24"/>
          <w:lang w:eastAsia="lt-LT"/>
        </w:rPr>
      </w:pPr>
      <w:r w:rsidRPr="00805731">
        <w:rPr>
          <w:rFonts w:ascii="Arial" w:eastAsia="Times New Roman" w:hAnsi="Arial" w:cs="Arial"/>
          <w:color w:val="333333"/>
          <w:sz w:val="24"/>
          <w:szCs w:val="24"/>
          <w:lang w:eastAsia="lt-LT"/>
        </w:rPr>
        <w:t>Patarėja</w:t>
      </w:r>
      <w:r w:rsidR="00010C38" w:rsidRPr="00805731">
        <w:rPr>
          <w:rFonts w:ascii="Arial" w:eastAsia="Times New Roman" w:hAnsi="Arial" w:cs="Arial"/>
          <w:color w:val="333333"/>
          <w:sz w:val="24"/>
          <w:szCs w:val="24"/>
          <w:lang w:eastAsia="lt-LT"/>
        </w:rPr>
        <w:t xml:space="preserve"> </w:t>
      </w:r>
      <w:r w:rsidR="00F76525" w:rsidRPr="00805731">
        <w:rPr>
          <w:rFonts w:ascii="Arial" w:eastAsia="Times New Roman" w:hAnsi="Arial" w:cs="Arial"/>
          <w:color w:val="333333"/>
          <w:sz w:val="24"/>
          <w:szCs w:val="24"/>
          <w:lang w:eastAsia="lt-LT"/>
        </w:rPr>
        <w:t xml:space="preserve"> </w:t>
      </w:r>
      <w:r w:rsidR="00F76525" w:rsidRPr="00805731">
        <w:rPr>
          <w:rFonts w:ascii="Arial" w:eastAsia="Times New Roman" w:hAnsi="Arial" w:cs="Arial"/>
          <w:color w:val="333333"/>
          <w:sz w:val="24"/>
          <w:szCs w:val="24"/>
          <w:lang w:eastAsia="lt-LT"/>
        </w:rPr>
        <w:tab/>
      </w:r>
      <w:r w:rsidR="00F76525" w:rsidRPr="00805731">
        <w:rPr>
          <w:rFonts w:ascii="Arial" w:eastAsia="Times New Roman" w:hAnsi="Arial" w:cs="Arial"/>
          <w:color w:val="333333"/>
          <w:sz w:val="24"/>
          <w:szCs w:val="24"/>
          <w:lang w:eastAsia="lt-LT"/>
        </w:rPr>
        <w:tab/>
      </w:r>
      <w:r w:rsidR="00F76525" w:rsidRPr="00805731">
        <w:rPr>
          <w:rFonts w:ascii="Arial" w:eastAsia="Times New Roman" w:hAnsi="Arial" w:cs="Arial"/>
          <w:color w:val="333333"/>
          <w:sz w:val="24"/>
          <w:szCs w:val="24"/>
          <w:lang w:eastAsia="lt-LT"/>
        </w:rPr>
        <w:tab/>
      </w:r>
      <w:r w:rsidR="00F76525" w:rsidRPr="00805731">
        <w:rPr>
          <w:rFonts w:ascii="Arial" w:eastAsia="Times New Roman" w:hAnsi="Arial" w:cs="Arial"/>
          <w:color w:val="333333"/>
          <w:sz w:val="24"/>
          <w:szCs w:val="24"/>
          <w:lang w:eastAsia="lt-LT"/>
        </w:rPr>
        <w:tab/>
      </w:r>
      <w:r w:rsidR="00F76525" w:rsidRPr="00805731">
        <w:rPr>
          <w:rFonts w:ascii="Arial" w:eastAsia="Times New Roman" w:hAnsi="Arial" w:cs="Arial"/>
          <w:color w:val="333333"/>
          <w:sz w:val="24"/>
          <w:szCs w:val="24"/>
          <w:lang w:eastAsia="lt-LT"/>
        </w:rPr>
        <w:tab/>
      </w:r>
      <w:r w:rsidR="00F76525" w:rsidRPr="00805731">
        <w:rPr>
          <w:rFonts w:ascii="Arial" w:eastAsia="Times New Roman" w:hAnsi="Arial" w:cs="Arial"/>
          <w:color w:val="333333"/>
          <w:sz w:val="24"/>
          <w:szCs w:val="24"/>
          <w:lang w:eastAsia="lt-LT"/>
        </w:rPr>
        <w:tab/>
      </w:r>
      <w:r>
        <w:rPr>
          <w:rFonts w:ascii="Arial" w:eastAsia="Times New Roman" w:hAnsi="Arial" w:cs="Arial"/>
          <w:color w:val="333333"/>
          <w:sz w:val="24"/>
          <w:szCs w:val="24"/>
          <w:lang w:eastAsia="lt-LT"/>
        </w:rPr>
        <w:tab/>
      </w:r>
      <w:r>
        <w:rPr>
          <w:rFonts w:ascii="Arial" w:eastAsia="Times New Roman" w:hAnsi="Arial" w:cs="Arial"/>
          <w:color w:val="333333"/>
          <w:sz w:val="24"/>
          <w:szCs w:val="24"/>
          <w:lang w:eastAsia="lt-LT"/>
        </w:rPr>
        <w:tab/>
      </w:r>
      <w:r>
        <w:rPr>
          <w:rFonts w:ascii="Arial" w:eastAsia="Times New Roman" w:hAnsi="Arial" w:cs="Arial"/>
          <w:color w:val="333333"/>
          <w:sz w:val="24"/>
          <w:szCs w:val="24"/>
          <w:lang w:eastAsia="lt-LT"/>
        </w:rPr>
        <w:tab/>
      </w:r>
      <w:r w:rsidR="00010C38" w:rsidRPr="00805731">
        <w:rPr>
          <w:rFonts w:ascii="Arial" w:eastAsia="Times New Roman" w:hAnsi="Arial" w:cs="Arial"/>
          <w:color w:val="333333"/>
          <w:sz w:val="24"/>
          <w:szCs w:val="24"/>
          <w:lang w:eastAsia="lt-LT"/>
        </w:rPr>
        <w:t>Sonata Asadauskienė</w:t>
      </w:r>
    </w:p>
    <w:p w14:paraId="569D6E1F" w14:textId="77777777" w:rsidR="00F55959" w:rsidRPr="00805731" w:rsidRDefault="00F55959" w:rsidP="00805731">
      <w:pPr>
        <w:spacing w:after="0" w:line="240" w:lineRule="auto"/>
        <w:ind w:firstLine="1298"/>
        <w:jc w:val="both"/>
        <w:rPr>
          <w:rFonts w:ascii="Arial" w:hAnsi="Arial" w:cs="Arial"/>
          <w:sz w:val="24"/>
          <w:szCs w:val="24"/>
        </w:rPr>
      </w:pPr>
    </w:p>
    <w:sectPr w:rsidR="00F55959" w:rsidRPr="00805731" w:rsidSect="006F70C8">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C4471"/>
    <w:multiLevelType w:val="hybridMultilevel"/>
    <w:tmpl w:val="9806941E"/>
    <w:lvl w:ilvl="0" w:tplc="291EBCC0">
      <w:start w:val="1"/>
      <w:numFmt w:val="decimal"/>
      <w:lvlText w:val="%1."/>
      <w:lvlJc w:val="left"/>
      <w:pPr>
        <w:ind w:left="1494" w:hanging="360"/>
      </w:pPr>
      <w:rPr>
        <w:rFonts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286548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F2A"/>
    <w:rsid w:val="00010C38"/>
    <w:rsid w:val="00015807"/>
    <w:rsid w:val="000D172F"/>
    <w:rsid w:val="000D5F03"/>
    <w:rsid w:val="0020040E"/>
    <w:rsid w:val="00253257"/>
    <w:rsid w:val="003274EA"/>
    <w:rsid w:val="003F2B21"/>
    <w:rsid w:val="00406593"/>
    <w:rsid w:val="004D06C4"/>
    <w:rsid w:val="004F100E"/>
    <w:rsid w:val="00564245"/>
    <w:rsid w:val="00585FDD"/>
    <w:rsid w:val="00672229"/>
    <w:rsid w:val="006F70C8"/>
    <w:rsid w:val="007653CD"/>
    <w:rsid w:val="007B4C8B"/>
    <w:rsid w:val="007C01A3"/>
    <w:rsid w:val="00801CC5"/>
    <w:rsid w:val="00805731"/>
    <w:rsid w:val="008214ED"/>
    <w:rsid w:val="00834634"/>
    <w:rsid w:val="0086541B"/>
    <w:rsid w:val="008E47C2"/>
    <w:rsid w:val="00913CB0"/>
    <w:rsid w:val="00922578"/>
    <w:rsid w:val="009E1A97"/>
    <w:rsid w:val="00A070F8"/>
    <w:rsid w:val="00AC09CA"/>
    <w:rsid w:val="00AF07E9"/>
    <w:rsid w:val="00C90ACD"/>
    <w:rsid w:val="00C97F2A"/>
    <w:rsid w:val="00D808A4"/>
    <w:rsid w:val="00D97583"/>
    <w:rsid w:val="00DD3339"/>
    <w:rsid w:val="00E216FF"/>
    <w:rsid w:val="00E40C3C"/>
    <w:rsid w:val="00E83510"/>
    <w:rsid w:val="00EF75C1"/>
    <w:rsid w:val="00F2612A"/>
    <w:rsid w:val="00F55959"/>
    <w:rsid w:val="00F76525"/>
    <w:rsid w:val="00F94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E4B22"/>
  <w15:chartTrackingRefBased/>
  <w15:docId w15:val="{991E4E9C-86E8-4F80-9BB1-B4885AA2B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List Paragraph1,Sąrao pastraipa1,Sąrašo pastraipa1,List Paragraph111,Medium Grid 1 - Accent 21,Buletai,List Paragraph21,lp1,Bullet 1,Paragraph"/>
    <w:basedOn w:val="prastasis"/>
    <w:link w:val="SraopastraipaDiagrama"/>
    <w:uiPriority w:val="34"/>
    <w:qFormat/>
    <w:rsid w:val="003274EA"/>
    <w:pPr>
      <w:ind w:left="720"/>
      <w:contextualSpacing/>
    </w:pPr>
    <w:rPr>
      <w:kern w:val="2"/>
      <w14:ligatures w14:val="standardContextual"/>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o pastraipa1 Diagrama,Sąrašo pastraipa1 Diagrama"/>
    <w:link w:val="Sraopastraipa"/>
    <w:uiPriority w:val="34"/>
    <w:qFormat/>
    <w:locked/>
    <w:rsid w:val="003274EA"/>
    <w:rPr>
      <w:kern w:val="2"/>
      <w:lang w:val="lt-LT"/>
      <w14:ligatures w14:val="standardContextual"/>
    </w:rPr>
  </w:style>
  <w:style w:type="paragraph" w:styleId="Betarp">
    <w:name w:val="No Spacing"/>
    <w:uiPriority w:val="1"/>
    <w:qFormat/>
    <w:rsid w:val="00F55959"/>
    <w:pPr>
      <w:spacing w:after="0" w:line="240" w:lineRule="auto"/>
    </w:pPr>
    <w:rPr>
      <w:rFonts w:ascii="Calibri" w:eastAsia="Calibri" w:hAnsi="Calibri" w:cs="Times New Roman"/>
      <w:lang w:val="lt-LT"/>
    </w:rPr>
  </w:style>
  <w:style w:type="paragraph" w:styleId="Debesliotekstas">
    <w:name w:val="Balloon Text"/>
    <w:basedOn w:val="prastasis"/>
    <w:link w:val="DebesliotekstasDiagrama"/>
    <w:uiPriority w:val="99"/>
    <w:semiHidden/>
    <w:unhideWhenUsed/>
    <w:rsid w:val="00F9470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94708"/>
    <w:rPr>
      <w:rFonts w:ascii="Segoe UI" w:hAnsi="Segoe UI" w:cs="Segoe UI"/>
      <w:sz w:val="18"/>
      <w:szCs w:val="18"/>
    </w:rPr>
  </w:style>
  <w:style w:type="paragraph" w:styleId="prastasiniatinklio">
    <w:name w:val="Normal (Web)"/>
    <w:basedOn w:val="prastasis"/>
    <w:uiPriority w:val="99"/>
    <w:unhideWhenUsed/>
    <w:rsid w:val="00C90ACD"/>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148903">
      <w:bodyDiv w:val="1"/>
      <w:marLeft w:val="0"/>
      <w:marRight w:val="0"/>
      <w:marTop w:val="0"/>
      <w:marBottom w:val="0"/>
      <w:divBdr>
        <w:top w:val="none" w:sz="0" w:space="0" w:color="auto"/>
        <w:left w:val="none" w:sz="0" w:space="0" w:color="auto"/>
        <w:bottom w:val="none" w:sz="0" w:space="0" w:color="auto"/>
        <w:right w:val="none" w:sz="0" w:space="0" w:color="auto"/>
      </w:divBdr>
    </w:div>
    <w:div w:id="1029062574">
      <w:bodyDiv w:val="1"/>
      <w:marLeft w:val="0"/>
      <w:marRight w:val="0"/>
      <w:marTop w:val="0"/>
      <w:marBottom w:val="0"/>
      <w:divBdr>
        <w:top w:val="none" w:sz="0" w:space="0" w:color="auto"/>
        <w:left w:val="none" w:sz="0" w:space="0" w:color="auto"/>
        <w:bottom w:val="none" w:sz="0" w:space="0" w:color="auto"/>
        <w:right w:val="none" w:sz="0" w:space="0" w:color="auto"/>
      </w:divBdr>
    </w:div>
    <w:div w:id="174352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2889</Words>
  <Characters>1647</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Kompiuteris</dc:creator>
  <cp:keywords/>
  <dc:description/>
  <cp:lastModifiedBy>Sonata Asadauskienė</cp:lastModifiedBy>
  <cp:revision>5</cp:revision>
  <cp:lastPrinted>2024-08-26T08:35:00Z</cp:lastPrinted>
  <dcterms:created xsi:type="dcterms:W3CDTF">2025-02-27T14:08:00Z</dcterms:created>
  <dcterms:modified xsi:type="dcterms:W3CDTF">2025-02-28T13:01:00Z</dcterms:modified>
</cp:coreProperties>
</file>