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0F" w:rsidRDefault="00786C0F" w:rsidP="0060770C">
      <w:pPr>
        <w:widowControl w:val="0"/>
        <w:pBdr>
          <w:top w:val="nil"/>
          <w:left w:val="nil"/>
          <w:bottom w:val="nil"/>
          <w:right w:val="nil"/>
          <w:between w:val="nil"/>
        </w:pBdr>
        <w:tabs>
          <w:tab w:val="left" w:pos="567"/>
          <w:tab w:val="left" w:pos="851"/>
        </w:tabs>
        <w:jc w:val="center"/>
        <w:rPr>
          <w:b/>
          <w:caps/>
          <w:szCs w:val="24"/>
        </w:rPr>
      </w:pPr>
    </w:p>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786C0F" w:rsidRPr="009E5442" w:rsidRDefault="00786C0F" w:rsidP="0060770C">
      <w:pPr>
        <w:widowControl w:val="0"/>
        <w:pBdr>
          <w:top w:val="nil"/>
          <w:left w:val="nil"/>
          <w:bottom w:val="nil"/>
          <w:right w:val="nil"/>
          <w:between w:val="nil"/>
        </w:pBdr>
        <w:tabs>
          <w:tab w:val="left" w:pos="567"/>
          <w:tab w:val="left" w:pos="851"/>
        </w:tabs>
        <w:jc w:val="center"/>
        <w:rPr>
          <w:caps/>
          <w:szCs w:val="24"/>
        </w:rPr>
      </w:pPr>
      <w:bookmarkStart w:id="0" w:name="_GoBack"/>
      <w:bookmarkEnd w:id="0"/>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B85A47" w:rsidP="005370E8">
            <w:pPr>
              <w:jc w:val="both"/>
              <w:rPr>
                <w:b/>
                <w:kern w:val="2"/>
                <w:szCs w:val="24"/>
              </w:rPr>
            </w:pPr>
            <w:r>
              <w:rPr>
                <w:b/>
                <w:kern w:val="2"/>
                <w:szCs w:val="24"/>
              </w:rPr>
              <w:t>OPERACINIAI STALAI – 2 VNT.</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B85A47"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786C0F" w:rsidP="00882136">
            <w:pPr>
              <w:jc w:val="both"/>
              <w:rPr>
                <w:kern w:val="2"/>
                <w:szCs w:val="24"/>
              </w:rPr>
            </w:pPr>
            <w:hyperlink r:id="rId7" w:history="1">
              <w:r w:rsidR="00882136" w:rsidRPr="009E5442">
                <w:rPr>
                  <w:rStyle w:val="Hipersaitas"/>
                </w:rPr>
                <w:t>info@kretingosligonine.lt</w:t>
              </w:r>
            </w:hyperlink>
          </w:p>
        </w:tc>
      </w:tr>
      <w:tr w:rsidR="007B79D1" w:rsidRPr="009E5442" w:rsidTr="00882136">
        <w:tc>
          <w:tcPr>
            <w:tcW w:w="2808" w:type="dxa"/>
            <w:vMerge/>
          </w:tcPr>
          <w:p w:rsidR="007B79D1" w:rsidRPr="009E5442" w:rsidRDefault="007B79D1" w:rsidP="007B79D1">
            <w:pPr>
              <w:rPr>
                <w:kern w:val="2"/>
                <w:szCs w:val="24"/>
              </w:rPr>
            </w:pPr>
          </w:p>
        </w:tc>
        <w:tc>
          <w:tcPr>
            <w:tcW w:w="3240" w:type="dxa"/>
          </w:tcPr>
          <w:p w:rsidR="007B79D1" w:rsidRPr="009E5442" w:rsidRDefault="007B79D1" w:rsidP="007B79D1">
            <w:pPr>
              <w:rPr>
                <w:kern w:val="2"/>
                <w:szCs w:val="24"/>
              </w:rPr>
            </w:pPr>
            <w:r w:rsidRPr="009E5442">
              <w:rPr>
                <w:kern w:val="2"/>
                <w:szCs w:val="24"/>
              </w:rPr>
              <w:t>1.1.9. Šalies atstovas</w:t>
            </w:r>
          </w:p>
        </w:tc>
        <w:tc>
          <w:tcPr>
            <w:tcW w:w="3510" w:type="dxa"/>
          </w:tcPr>
          <w:p w:rsidR="007B79D1" w:rsidRPr="009E5442" w:rsidRDefault="007B79D1" w:rsidP="007B79D1">
            <w:pPr>
              <w:jc w:val="both"/>
            </w:pPr>
            <w:proofErr w:type="spellStart"/>
            <w:r>
              <w:t>Romaldas</w:t>
            </w:r>
            <w:proofErr w:type="spellEnd"/>
            <w:r>
              <w:t xml:space="preserve"> Sakalauskas</w:t>
            </w:r>
          </w:p>
        </w:tc>
      </w:tr>
      <w:tr w:rsidR="007B79D1" w:rsidRPr="009E5442" w:rsidTr="00882136">
        <w:tc>
          <w:tcPr>
            <w:tcW w:w="2808" w:type="dxa"/>
            <w:vMerge/>
          </w:tcPr>
          <w:p w:rsidR="007B79D1" w:rsidRPr="009E5442" w:rsidRDefault="007B79D1" w:rsidP="007B79D1">
            <w:pPr>
              <w:rPr>
                <w:kern w:val="2"/>
                <w:szCs w:val="24"/>
              </w:rPr>
            </w:pPr>
          </w:p>
        </w:tc>
        <w:tc>
          <w:tcPr>
            <w:tcW w:w="3240" w:type="dxa"/>
          </w:tcPr>
          <w:p w:rsidR="007B79D1" w:rsidRPr="009E5442" w:rsidRDefault="007B79D1" w:rsidP="007B79D1">
            <w:pPr>
              <w:rPr>
                <w:kern w:val="2"/>
                <w:szCs w:val="24"/>
              </w:rPr>
            </w:pPr>
            <w:r w:rsidRPr="009E5442">
              <w:rPr>
                <w:kern w:val="2"/>
                <w:szCs w:val="24"/>
              </w:rPr>
              <w:t>1.1.10. Atstovavimo pagrindas</w:t>
            </w:r>
          </w:p>
        </w:tc>
        <w:tc>
          <w:tcPr>
            <w:tcW w:w="3510" w:type="dxa"/>
          </w:tcPr>
          <w:p w:rsidR="007B79D1" w:rsidRPr="009E5442" w:rsidRDefault="007B79D1" w:rsidP="007B79D1">
            <w:pPr>
              <w:jc w:val="both"/>
              <w:rPr>
                <w:kern w:val="2"/>
                <w:szCs w:val="24"/>
              </w:rPr>
            </w:pPr>
            <w:r>
              <w:rPr>
                <w:kern w:val="2"/>
                <w:szCs w:val="24"/>
              </w:rPr>
              <w:t>Įstaigos įstatų pagrindu</w:t>
            </w:r>
          </w:p>
        </w:tc>
      </w:tr>
      <w:tr w:rsidR="007B79D1" w:rsidRPr="009E5442" w:rsidTr="00882136">
        <w:tc>
          <w:tcPr>
            <w:tcW w:w="2808" w:type="dxa"/>
            <w:vMerge w:val="restart"/>
          </w:tcPr>
          <w:p w:rsidR="007B79D1" w:rsidRPr="009E5442" w:rsidRDefault="007B79D1" w:rsidP="007B79D1">
            <w:pPr>
              <w:rPr>
                <w:b/>
                <w:bCs/>
                <w:kern w:val="2"/>
                <w:szCs w:val="24"/>
              </w:rPr>
            </w:pPr>
          </w:p>
          <w:p w:rsidR="007B79D1" w:rsidRPr="009E5442" w:rsidRDefault="007B79D1" w:rsidP="007B79D1">
            <w:pPr>
              <w:rPr>
                <w:b/>
                <w:bCs/>
                <w:kern w:val="2"/>
                <w:szCs w:val="24"/>
              </w:rPr>
            </w:pPr>
          </w:p>
          <w:p w:rsidR="007B79D1" w:rsidRPr="009E5442" w:rsidRDefault="007B79D1" w:rsidP="007B79D1">
            <w:pPr>
              <w:rPr>
                <w:b/>
                <w:bCs/>
                <w:kern w:val="2"/>
                <w:szCs w:val="24"/>
              </w:rPr>
            </w:pPr>
          </w:p>
          <w:p w:rsidR="007B79D1" w:rsidRPr="009E5442" w:rsidRDefault="007B79D1" w:rsidP="007B79D1">
            <w:pPr>
              <w:rPr>
                <w:b/>
                <w:bCs/>
                <w:kern w:val="2"/>
                <w:szCs w:val="24"/>
              </w:rPr>
            </w:pPr>
            <w:r w:rsidRPr="009E5442">
              <w:rPr>
                <w:b/>
                <w:bCs/>
                <w:kern w:val="2"/>
                <w:szCs w:val="24"/>
              </w:rPr>
              <w:t>1.2. Tiekėjas</w:t>
            </w:r>
          </w:p>
          <w:p w:rsidR="007B79D1" w:rsidRPr="009E5442" w:rsidRDefault="007B79D1" w:rsidP="007B79D1">
            <w:pPr>
              <w:rPr>
                <w:i/>
                <w:iCs/>
                <w:color w:val="4472C4"/>
                <w:kern w:val="2"/>
                <w:szCs w:val="24"/>
              </w:rPr>
            </w:pPr>
            <w:r w:rsidRPr="009E5442">
              <w:rPr>
                <w:i/>
                <w:iCs/>
                <w:color w:val="4472C4"/>
                <w:kern w:val="2"/>
                <w:szCs w:val="24"/>
              </w:rPr>
              <w:t>(jei Tiekėjas yra fizinis asmuo, skiltys atitinkamai pakoreguojamos)</w:t>
            </w:r>
          </w:p>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1.2.1. Pavadinimas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1.2.2. Juridinio asmens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1.2.3. Adresas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1.2.4. PVM mokėtojo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1.2.5. Atsiskaitomoji sąskaita</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1.2.6. Bankas, banko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1.2.7. Telefonas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1.2.8. El. paštas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1.2.9. Šalies atstovas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1.2.10. Atstovavimo pagrindas</w:t>
            </w:r>
          </w:p>
        </w:tc>
        <w:tc>
          <w:tcPr>
            <w:tcW w:w="3510" w:type="dxa"/>
          </w:tcPr>
          <w:p w:rsidR="007B79D1" w:rsidRPr="009E5442" w:rsidRDefault="007B79D1" w:rsidP="007B79D1">
            <w:pPr>
              <w:jc w:val="center"/>
              <w:rPr>
                <w:kern w:val="2"/>
                <w:szCs w:val="24"/>
              </w:rPr>
            </w:pPr>
          </w:p>
        </w:tc>
      </w:tr>
    </w:tbl>
    <w:p w:rsidR="0060770C" w:rsidRPr="009E5442" w:rsidRDefault="0060770C" w:rsidP="0060770C">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78"/>
      </w:tblGrid>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882136">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Sąs</w:t>
            </w:r>
            <w:r w:rsidR="00B85A47">
              <w:rPr>
                <w:b/>
                <w:bCs/>
                <w:kern w:val="2"/>
                <w:szCs w:val="24"/>
              </w:rPr>
              <w:t>kaitų per informacinę sistemą „SABIS</w:t>
            </w:r>
            <w:r w:rsidRPr="009E5442">
              <w:rPr>
                <w:b/>
                <w:bCs/>
                <w:kern w:val="2"/>
                <w:szCs w:val="24"/>
              </w:rPr>
              <w:t>“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Sutarties paskelbimą </w:t>
            </w:r>
            <w:r w:rsidRPr="009E5442">
              <w:rPr>
                <w:b/>
                <w:bCs/>
                <w:kern w:val="2"/>
                <w:szCs w:val="24"/>
              </w:rPr>
              <w:lastRenderedPageBreak/>
              <w:t>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7D6CDB" w:rsidRPr="00C84254" w:rsidRDefault="00B85A47" w:rsidP="007D6CDB">
            <w:pPr>
              <w:tabs>
                <w:tab w:val="left" w:pos="1134"/>
                <w:tab w:val="left" w:pos="1560"/>
              </w:tabs>
              <w:jc w:val="both"/>
              <w:rPr>
                <w:b/>
                <w:szCs w:val="24"/>
              </w:rPr>
            </w:pPr>
            <w:r>
              <w:rPr>
                <w:szCs w:val="24"/>
              </w:rPr>
              <w:t xml:space="preserve">Bendrosios chirurgijos skyriaus vedėjas Martynas </w:t>
            </w:r>
            <w:proofErr w:type="spellStart"/>
            <w:r>
              <w:rPr>
                <w:szCs w:val="24"/>
              </w:rPr>
              <w:t>Sokolovas</w:t>
            </w:r>
            <w:proofErr w:type="spellEnd"/>
            <w:r w:rsidR="007D6CDB" w:rsidRPr="00C84254">
              <w:rPr>
                <w:szCs w:val="24"/>
              </w:rPr>
              <w:t>, tel. (</w:t>
            </w:r>
            <w:r w:rsidR="00DE6433">
              <w:rPr>
                <w:szCs w:val="24"/>
              </w:rPr>
              <w:t>+</w:t>
            </w:r>
            <w:r w:rsidR="00DE6433" w:rsidRPr="00DE6433">
              <w:rPr>
                <w:szCs w:val="24"/>
              </w:rPr>
              <w:t>370</w:t>
            </w:r>
            <w:r w:rsidR="007D6CDB" w:rsidRPr="00DE6433">
              <w:rPr>
                <w:szCs w:val="24"/>
              </w:rPr>
              <w:t xml:space="preserve">) </w:t>
            </w:r>
            <w:r w:rsidR="00DE6433" w:rsidRPr="00DE6433">
              <w:rPr>
                <w:szCs w:val="24"/>
              </w:rPr>
              <w:t>698 29157,</w:t>
            </w:r>
            <w:r w:rsidR="007D6CDB" w:rsidRPr="00DE6433">
              <w:rPr>
                <w:szCs w:val="24"/>
              </w:rPr>
              <w:t xml:space="preserve"> el. paštas</w:t>
            </w:r>
            <w:r w:rsidR="00DE6433">
              <w:t xml:space="preserve"> </w:t>
            </w:r>
            <w:hyperlink r:id="rId8" w:history="1">
              <w:r w:rsidR="00DE6433" w:rsidRPr="003E4B35">
                <w:rPr>
                  <w:rStyle w:val="Hipersaitas"/>
                  <w:szCs w:val="24"/>
                </w:rPr>
                <w:t>martynassokolovas2@gmail.com</w:t>
              </w:r>
            </w:hyperlink>
            <w:r w:rsidR="00DE6433">
              <w:rPr>
                <w:szCs w:val="24"/>
              </w:rPr>
              <w:t xml:space="preserve"> </w:t>
            </w:r>
          </w:p>
          <w:p w:rsidR="007D6CDB" w:rsidRPr="00C84254" w:rsidRDefault="007D6CDB" w:rsidP="007D6CDB">
            <w:pPr>
              <w:rPr>
                <w:kern w:val="2"/>
                <w:szCs w:val="24"/>
              </w:rPr>
            </w:pPr>
          </w:p>
          <w:p w:rsidR="007D6CDB" w:rsidRPr="00C84254" w:rsidRDefault="007D6CDB" w:rsidP="007D6CDB">
            <w:pPr>
              <w:rPr>
                <w:kern w:val="2"/>
                <w:szCs w:val="24"/>
              </w:rPr>
            </w:pPr>
            <w:r w:rsidRPr="00C84254">
              <w:rPr>
                <w:kern w:val="2"/>
                <w:szCs w:val="24"/>
              </w:rPr>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ipersaitas"/>
                  <w:kern w:val="2"/>
                  <w:szCs w:val="24"/>
                </w:rPr>
                <w:t>vilija.lisovskaja@kretingosligonine.lt</w:t>
              </w:r>
            </w:hyperlink>
            <w:r w:rsidRPr="00C84254">
              <w:rPr>
                <w:kern w:val="2"/>
                <w:szCs w:val="24"/>
              </w:rPr>
              <w:t xml:space="preserve"> </w:t>
            </w:r>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lastRenderedPageBreak/>
              <w:t xml:space="preserve">+370 698 08479, </w:t>
            </w:r>
            <w:hyperlink r:id="rId10" w:history="1">
              <w:r w:rsidRPr="009E5442">
                <w:rPr>
                  <w:rStyle w:val="Hipersaitas"/>
                  <w:kern w:val="2"/>
                  <w:szCs w:val="24"/>
                </w:rPr>
                <w:t>danguole.paulauskiene@kretingosligonine.lt</w:t>
              </w:r>
            </w:hyperlink>
            <w:r w:rsidRPr="009E5442">
              <w:rPr>
                <w:kern w:val="2"/>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60770C" w:rsidP="00882136">
            <w:pPr>
              <w:rPr>
                <w:color w:val="4472C4"/>
                <w:kern w:val="2"/>
                <w:szCs w:val="24"/>
              </w:rPr>
            </w:pPr>
            <w:r w:rsidRPr="009E5442">
              <w:rPr>
                <w:color w:val="4472C4"/>
                <w:kern w:val="2"/>
                <w:szCs w:val="24"/>
              </w:rPr>
              <w:t>(</w:t>
            </w:r>
            <w:r w:rsidRPr="009E5442">
              <w:rPr>
                <w:i/>
                <w:iCs/>
                <w:color w:val="4472C4"/>
                <w:kern w:val="2"/>
                <w:szCs w:val="24"/>
              </w:rPr>
              <w:t>nurodomas padalinys/skyrius, pareigos, vardas, pavardė, tel., el. paštas.</w:t>
            </w:r>
            <w:r w:rsidRPr="009E5442">
              <w:rPr>
                <w:color w:val="4472C4"/>
                <w:kern w:val="2"/>
                <w:szCs w:val="24"/>
              </w:rPr>
              <w:t>)</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467272" w:rsidRDefault="0060770C" w:rsidP="00882136">
            <w:pPr>
              <w:jc w:val="both"/>
              <w:rPr>
                <w:color w:val="000000"/>
                <w:shd w:val="clear" w:color="auto" w:fill="FFFFFF"/>
              </w:rPr>
            </w:pPr>
            <w:r w:rsidRPr="009E5442">
              <w:rPr>
                <w:kern w:val="2"/>
                <w:szCs w:val="24"/>
              </w:rPr>
              <w:t xml:space="preserve">Tiekėjas įsipareigoja Sutartyje numatytomis sąlygomis </w:t>
            </w:r>
            <w:r w:rsidR="00467272">
              <w:rPr>
                <w:kern w:val="2"/>
                <w:szCs w:val="24"/>
              </w:rPr>
              <w:t>pristatyti, sumontuoti ir sukomplektuoti su visais priedais</w:t>
            </w:r>
            <w:r w:rsidRPr="009E5442">
              <w:rPr>
                <w:kern w:val="2"/>
                <w:szCs w:val="24"/>
              </w:rPr>
              <w:t xml:space="preserve">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r w:rsidR="00B85A47">
              <w:rPr>
                <w:i/>
                <w:iCs/>
                <w:kern w:val="2"/>
                <w:szCs w:val="24"/>
              </w:rPr>
              <w:t>operacinius stalus</w:t>
            </w:r>
            <w:r w:rsidRPr="009E5442">
              <w:rPr>
                <w:color w:val="2E74B5" w:themeColor="accent1" w:themeShade="BF"/>
                <w:kern w:val="2"/>
                <w:szCs w:val="24"/>
              </w:rPr>
              <w:t xml:space="preserve"> </w:t>
            </w:r>
            <w:r w:rsidR="00467272">
              <w:rPr>
                <w:color w:val="000000"/>
                <w:kern w:val="2"/>
                <w:szCs w:val="24"/>
              </w:rPr>
              <w:t xml:space="preserve">(toliau – Prekė (-ės)), </w:t>
            </w:r>
            <w:r w:rsidR="00467272">
              <w:rPr>
                <w:color w:val="000000"/>
                <w:shd w:val="clear" w:color="auto" w:fill="FFFFFF"/>
              </w:rPr>
              <w:t xml:space="preserve">kad būtų užtikrintas tinkamas </w:t>
            </w:r>
            <w:r w:rsidR="00467272">
              <w:rPr>
                <w:color w:val="000000"/>
                <w:shd w:val="clear" w:color="auto" w:fill="FFFFFF"/>
              </w:rPr>
              <w:t>Prekės</w:t>
            </w:r>
            <w:r w:rsidR="00467272">
              <w:rPr>
                <w:color w:val="000000"/>
                <w:shd w:val="clear" w:color="auto" w:fill="FFFFFF"/>
              </w:rPr>
              <w:t xml:space="preserve"> naudojimas, atitinkantis technines charakteristikas, nurodytas </w:t>
            </w:r>
            <w:r w:rsidR="00467272">
              <w:rPr>
                <w:color w:val="000000"/>
                <w:shd w:val="clear" w:color="auto" w:fill="FFFFFF"/>
              </w:rPr>
              <w:t>Prekės</w:t>
            </w:r>
            <w:r w:rsidR="00467272">
              <w:rPr>
                <w:color w:val="000000"/>
                <w:shd w:val="clear" w:color="auto" w:fill="FFFFFF"/>
              </w:rPr>
              <w:t>  gamintojo dokumentacijoje</w:t>
            </w:r>
          </w:p>
          <w:p w:rsidR="00FB153E" w:rsidRPr="009E5442" w:rsidRDefault="00FB153E" w:rsidP="00882136">
            <w:pPr>
              <w:jc w:val="both"/>
              <w:rPr>
                <w:color w:val="000000"/>
                <w:kern w:val="2"/>
                <w:szCs w:val="24"/>
              </w:rPr>
            </w:pP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882136">
        <w:trPr>
          <w:trHeight w:val="300"/>
        </w:trPr>
        <w:tc>
          <w:tcPr>
            <w:tcW w:w="2704" w:type="dxa"/>
          </w:tcPr>
          <w:p w:rsidR="0060770C" w:rsidRPr="009E5442" w:rsidRDefault="0060770C" w:rsidP="00B85A47">
            <w:pPr>
              <w:rPr>
                <w:b/>
                <w:bCs/>
                <w:kern w:val="2"/>
                <w:szCs w:val="24"/>
              </w:rPr>
            </w:pPr>
            <w:r w:rsidRPr="009E5442">
              <w:rPr>
                <w:b/>
                <w:bCs/>
                <w:kern w:val="2"/>
                <w:szCs w:val="24"/>
              </w:rPr>
              <w:t xml:space="preserve">4.1. </w:t>
            </w:r>
            <w:r w:rsidR="00B85A47" w:rsidRPr="009E5442">
              <w:rPr>
                <w:b/>
                <w:bCs/>
                <w:kern w:val="2"/>
                <w:szCs w:val="24"/>
              </w:rPr>
              <w:t xml:space="preserve">Prekių pristatymo terminai, kai Prekės pristatomos </w:t>
            </w:r>
            <w:r w:rsidR="00B85A47">
              <w:rPr>
                <w:b/>
                <w:bCs/>
                <w:kern w:val="2"/>
                <w:szCs w:val="24"/>
              </w:rPr>
              <w:t>vienu kartu</w:t>
            </w:r>
          </w:p>
        </w:tc>
        <w:tc>
          <w:tcPr>
            <w:tcW w:w="6778" w:type="dxa"/>
          </w:tcPr>
          <w:p w:rsidR="0060770C" w:rsidRPr="00491A79" w:rsidRDefault="0060770C" w:rsidP="00B85A47">
            <w:pPr>
              <w:jc w:val="both"/>
              <w:rPr>
                <w:kern w:val="2"/>
                <w:szCs w:val="24"/>
              </w:rPr>
            </w:pPr>
            <w:r w:rsidRPr="009E5442">
              <w:rPr>
                <w:iCs/>
                <w:kern w:val="2"/>
                <w:szCs w:val="24"/>
              </w:rPr>
              <w:t>Tiekėjas įsipareigoja pristatyti Prekes</w:t>
            </w:r>
            <w:r w:rsidR="00F86188" w:rsidRPr="009E5442">
              <w:rPr>
                <w:color w:val="000000"/>
                <w:kern w:val="2"/>
                <w:szCs w:val="24"/>
              </w:rPr>
              <w:t xml:space="preserve"> </w:t>
            </w:r>
            <w:r w:rsidR="007D6CDB" w:rsidRPr="009E5442">
              <w:rPr>
                <w:iCs/>
                <w:kern w:val="2"/>
                <w:szCs w:val="24"/>
              </w:rPr>
              <w:t xml:space="preserve">ne vėliau kaip per </w:t>
            </w:r>
            <w:r w:rsidR="00B85A47">
              <w:rPr>
                <w:iCs/>
                <w:kern w:val="2"/>
                <w:szCs w:val="24"/>
              </w:rPr>
              <w:t>2</w:t>
            </w:r>
            <w:r w:rsidR="007D6CDB" w:rsidRPr="009E5442">
              <w:rPr>
                <w:i/>
                <w:iCs/>
                <w:kern w:val="2"/>
                <w:szCs w:val="24"/>
              </w:rPr>
              <w:t xml:space="preserve"> (</w:t>
            </w:r>
            <w:r w:rsidR="00B85A47">
              <w:rPr>
                <w:i/>
                <w:iCs/>
                <w:kern w:val="2"/>
                <w:szCs w:val="24"/>
              </w:rPr>
              <w:t>du</w:t>
            </w:r>
            <w:r w:rsidR="007D6CDB" w:rsidRPr="009E5442">
              <w:rPr>
                <w:i/>
                <w:iCs/>
                <w:kern w:val="2"/>
                <w:szCs w:val="24"/>
              </w:rPr>
              <w:t xml:space="preserve">) </w:t>
            </w:r>
            <w:r w:rsidR="00B85A47">
              <w:rPr>
                <w:i/>
                <w:iCs/>
                <w:kern w:val="2"/>
                <w:szCs w:val="24"/>
              </w:rPr>
              <w:t>mėnesius</w:t>
            </w:r>
            <w:r w:rsidR="007D6CDB" w:rsidRPr="009E5442">
              <w:rPr>
                <w:i/>
                <w:iCs/>
                <w:kern w:val="2"/>
                <w:szCs w:val="24"/>
              </w:rPr>
              <w:t xml:space="preserve"> </w:t>
            </w:r>
            <w:r w:rsidR="007D6CDB" w:rsidRPr="009E5442">
              <w:rPr>
                <w:kern w:val="2"/>
                <w:szCs w:val="24"/>
              </w:rPr>
              <w:t xml:space="preserve">nuo </w:t>
            </w:r>
            <w:r w:rsidR="007D6CDB">
              <w:rPr>
                <w:kern w:val="2"/>
                <w:szCs w:val="24"/>
              </w:rPr>
              <w:t>sutarties įsigaliojimo dienos</w:t>
            </w:r>
            <w:r w:rsidR="007D6CDB" w:rsidRPr="009E5442">
              <w:rPr>
                <w:color w:val="000000"/>
                <w:kern w:val="2"/>
                <w:szCs w:val="24"/>
              </w:rPr>
              <w:t xml:space="preserve"> </w:t>
            </w:r>
            <w:r w:rsidR="00F86188" w:rsidRPr="009E5442">
              <w:rPr>
                <w:color w:val="000000"/>
                <w:kern w:val="2"/>
                <w:szCs w:val="24"/>
              </w:rPr>
              <w:t xml:space="preserve">adresu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sidR="007D6CDB">
              <w:rPr>
                <w:rFonts w:eastAsia="Calibri"/>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rPr>
                <w:iCs/>
                <w:color w:val="FF0000"/>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60770C" w:rsidRPr="009E5442" w:rsidRDefault="00B85A47" w:rsidP="00465617">
            <w:pPr>
              <w:jc w:val="both"/>
              <w:rPr>
                <w:iCs/>
                <w:kern w:val="2"/>
                <w:szCs w:val="24"/>
              </w:rPr>
            </w:pPr>
            <w:r>
              <w:rPr>
                <w:iCs/>
                <w:kern w:val="2"/>
                <w:szCs w:val="24"/>
              </w:rPr>
              <w:t>Netaikoma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722C95" w:rsidRPr="00FB153E" w:rsidRDefault="009F2A2E" w:rsidP="00722C95">
            <w:pPr>
              <w:jc w:val="both"/>
              <w:rPr>
                <w:i/>
                <w:iCs/>
                <w:kern w:val="2"/>
                <w:szCs w:val="24"/>
              </w:rPr>
            </w:pPr>
            <w:r w:rsidRPr="00491A79">
              <w:rPr>
                <w:i/>
                <w:iCs/>
                <w:kern w:val="2"/>
                <w:szCs w:val="24"/>
              </w:rPr>
              <w:t>3.</w:t>
            </w:r>
            <w:r w:rsidRPr="009F2A2E">
              <w:rPr>
                <w:i/>
                <w:iCs/>
                <w:color w:val="FF0000"/>
                <w:kern w:val="2"/>
                <w:szCs w:val="24"/>
              </w:rPr>
              <w:t xml:space="preserve"> </w:t>
            </w:r>
            <w:r w:rsidR="00467272">
              <w:rPr>
                <w:i/>
                <w:iCs/>
                <w:kern w:val="2"/>
                <w:szCs w:val="24"/>
              </w:rPr>
              <w:t>Technine ir n</w:t>
            </w:r>
            <w:r w:rsidR="00491A79" w:rsidRPr="00491A79">
              <w:rPr>
                <w:i/>
                <w:iCs/>
                <w:kern w:val="2"/>
                <w:szCs w:val="24"/>
              </w:rPr>
              <w:t xml:space="preserve">audojimo </w:t>
            </w:r>
            <w:r w:rsidR="00491A79" w:rsidRPr="00FB153E">
              <w:rPr>
                <w:i/>
                <w:iCs/>
                <w:kern w:val="2"/>
                <w:szCs w:val="24"/>
              </w:rPr>
              <w:t>instrukcija</w:t>
            </w:r>
            <w:r w:rsidR="00467272" w:rsidRPr="00FB153E">
              <w:rPr>
                <w:i/>
                <w:iCs/>
                <w:kern w:val="2"/>
                <w:szCs w:val="24"/>
              </w:rPr>
              <w:t>, serviso dokumentacija</w:t>
            </w:r>
            <w:r w:rsidR="00FB153E" w:rsidRPr="00FB153E">
              <w:rPr>
                <w:i/>
                <w:iCs/>
                <w:kern w:val="2"/>
                <w:szCs w:val="24"/>
              </w:rPr>
              <w:t xml:space="preserve">, </w:t>
            </w:r>
            <w:r w:rsidR="00FB153E" w:rsidRPr="00FB153E">
              <w:rPr>
                <w:i/>
                <w:color w:val="000000"/>
                <w:shd w:val="clear" w:color="auto" w:fill="FFFFFF"/>
              </w:rPr>
              <w:t>CE sertifikatai (arba lygiaverčiai dokumentais)</w:t>
            </w:r>
            <w:r w:rsidR="00491A79" w:rsidRPr="00FB153E">
              <w:rPr>
                <w:i/>
                <w:iCs/>
                <w:kern w:val="2"/>
                <w:szCs w:val="24"/>
              </w:rPr>
              <w:t xml:space="preserve"> originalo ir lietuvių kalbomis.  </w:t>
            </w:r>
            <w:r w:rsidRPr="00FB153E">
              <w:rPr>
                <w:i/>
                <w:iCs/>
                <w:kern w:val="2"/>
                <w:szCs w:val="24"/>
              </w:rPr>
              <w:t xml:space="preserve"> </w:t>
            </w:r>
          </w:p>
          <w:p w:rsidR="00467272" w:rsidRPr="00467272" w:rsidRDefault="00467272" w:rsidP="00722C95">
            <w:pPr>
              <w:jc w:val="both"/>
              <w:rPr>
                <w:i/>
                <w:iCs/>
                <w:kern w:val="2"/>
                <w:szCs w:val="24"/>
              </w:rPr>
            </w:pPr>
            <w:r>
              <w:rPr>
                <w:i/>
                <w:iCs/>
                <w:kern w:val="2"/>
                <w:szCs w:val="24"/>
              </w:rPr>
              <w:t xml:space="preserve">4. </w:t>
            </w:r>
            <w:r w:rsidRPr="00467272">
              <w:rPr>
                <w:i/>
                <w:kern w:val="2"/>
                <w:szCs w:val="24"/>
              </w:rPr>
              <w:t>U</w:t>
            </w:r>
            <w:r w:rsidRPr="00467272">
              <w:rPr>
                <w:i/>
                <w:kern w:val="2"/>
                <w:szCs w:val="24"/>
              </w:rPr>
              <w:t>žpildytas</w:t>
            </w:r>
            <w:r w:rsidRPr="00467272">
              <w:rPr>
                <w:i/>
                <w:kern w:val="2"/>
                <w:szCs w:val="24"/>
              </w:rPr>
              <w:t xml:space="preserve"> Prekės</w:t>
            </w:r>
            <w:r w:rsidRPr="00467272">
              <w:rPr>
                <w:i/>
                <w:kern w:val="2"/>
                <w:szCs w:val="24"/>
              </w:rPr>
              <w:t xml:space="preserve"> techninis pasas lietuvių kalba</w:t>
            </w:r>
            <w:r w:rsidRPr="00467272">
              <w:rPr>
                <w:i/>
                <w:kern w:val="2"/>
                <w:szCs w:val="24"/>
              </w:rPr>
              <w:t>.</w:t>
            </w:r>
          </w:p>
          <w:p w:rsidR="0060770C" w:rsidRPr="009E5442" w:rsidRDefault="0060770C" w:rsidP="00722C95">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lastRenderedPageBreak/>
              <w:t>5. SUTARTIES KAINA IR ATSISKAITYMO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778"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A5726F">
        <w:trPr>
          <w:trHeight w:val="53"/>
        </w:trPr>
        <w:tc>
          <w:tcPr>
            <w:tcW w:w="2704" w:type="dxa"/>
          </w:tcPr>
          <w:p w:rsidR="0060770C" w:rsidRPr="009E5442" w:rsidRDefault="0060770C" w:rsidP="00882136">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 xml:space="preserve">) be PVM. </w:t>
            </w:r>
          </w:p>
          <w:p w:rsidR="0060770C" w:rsidRPr="009E5442" w:rsidRDefault="0060770C" w:rsidP="00273754">
            <w:pPr>
              <w:jc w:val="both"/>
              <w:rPr>
                <w:kern w:val="2"/>
                <w:szCs w:val="24"/>
              </w:rPr>
            </w:pPr>
            <w:r w:rsidRPr="009E5442">
              <w:rPr>
                <w:kern w:val="2"/>
                <w:szCs w:val="24"/>
              </w:rPr>
              <w:t xml:space="preserve">PVM sudaro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w:t>
            </w:r>
          </w:p>
          <w:p w:rsidR="0060770C" w:rsidRPr="009E5442" w:rsidRDefault="0060770C" w:rsidP="00273754">
            <w:pPr>
              <w:jc w:val="both"/>
              <w:rPr>
                <w:kern w:val="2"/>
                <w:szCs w:val="24"/>
              </w:rPr>
            </w:pPr>
            <w:r w:rsidRPr="009E5442">
              <w:rPr>
                <w:kern w:val="2"/>
                <w:szCs w:val="24"/>
              </w:rPr>
              <w:t xml:space="preserve">Sutarties kaina yra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 xml:space="preserve"> Eur su PVM.</w:t>
            </w:r>
          </w:p>
          <w:p w:rsidR="0060770C" w:rsidRPr="009E5442" w:rsidRDefault="0060770C" w:rsidP="00882136">
            <w:pPr>
              <w:rPr>
                <w:kern w:val="2"/>
                <w:szCs w:val="24"/>
              </w:rPr>
            </w:pPr>
          </w:p>
          <w:p w:rsidR="0060770C" w:rsidRPr="009E5442"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60770C" w:rsidRPr="009E5442" w:rsidRDefault="0060770C" w:rsidP="00882136">
            <w:pPr>
              <w:rPr>
                <w:i/>
                <w:iCs/>
                <w:kern w:val="2"/>
                <w:szCs w:val="24"/>
              </w:rPr>
            </w:pPr>
          </w:p>
        </w:tc>
        <w:tc>
          <w:tcPr>
            <w:tcW w:w="6778" w:type="dxa"/>
          </w:tcPr>
          <w:p w:rsidR="0060770C" w:rsidRPr="009E5442" w:rsidRDefault="0060770C" w:rsidP="00882136">
            <w:pPr>
              <w:rPr>
                <w:kern w:val="2"/>
                <w:szCs w:val="24"/>
              </w:rPr>
            </w:pPr>
            <w:r w:rsidRPr="009E5442">
              <w:rPr>
                <w:kern w:val="2"/>
                <w:szCs w:val="24"/>
              </w:rPr>
              <w:t>Sutarties kaina/įkainiai bus perskaičiuojami:</w:t>
            </w:r>
          </w:p>
          <w:p w:rsidR="00F86188" w:rsidRDefault="00F86188" w:rsidP="00F86188">
            <w:pPr>
              <w:rPr>
                <w:color w:val="FF0000"/>
                <w:kern w:val="2"/>
                <w:szCs w:val="24"/>
              </w:rPr>
            </w:pPr>
            <w:r>
              <w:rPr>
                <w:kern w:val="2"/>
                <w:szCs w:val="24"/>
              </w:rPr>
              <w:t>5.3.1. dėl PVM tarifo pasikeitimo;</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60770C" w:rsidRPr="009E5442" w:rsidRDefault="00945FBC" w:rsidP="00D649C1">
            <w:pPr>
              <w:jc w:val="both"/>
              <w:rPr>
                <w:kern w:val="2"/>
                <w:szCs w:val="24"/>
              </w:rPr>
            </w:pPr>
            <w:r w:rsidRPr="009E5442">
              <w:rPr>
                <w:kern w:val="2"/>
                <w:szCs w:val="24"/>
              </w:rPr>
              <w:t xml:space="preserve">Dėl PVM tarifo pasikeitimo.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882136">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882136">
        <w:trPr>
          <w:trHeight w:val="300"/>
        </w:trPr>
        <w:tc>
          <w:tcPr>
            <w:tcW w:w="2704" w:type="dxa"/>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778" w:type="dxa"/>
          </w:tcPr>
          <w:p w:rsidR="0058114C" w:rsidRPr="009E5442" w:rsidRDefault="0058114C" w:rsidP="0058114C">
            <w:pPr>
              <w:rPr>
                <w:kern w:val="2"/>
                <w:szCs w:val="24"/>
              </w:rPr>
            </w:pPr>
            <w:r w:rsidRPr="009E5442">
              <w:rPr>
                <w:kern w:val="2"/>
                <w:szCs w:val="24"/>
              </w:rPr>
              <w:t>Netaikoma</w:t>
            </w:r>
          </w:p>
          <w:p w:rsidR="00A577D5" w:rsidRPr="009E5442" w:rsidRDefault="00A577D5" w:rsidP="00B47A62">
            <w:pPr>
              <w:jc w:val="both"/>
              <w:rPr>
                <w:color w:val="000000"/>
                <w:kern w:val="2"/>
                <w:szCs w:val="24"/>
                <w:bdr w:val="none" w:sz="0" w:space="0" w:color="auto" w:frame="1"/>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778"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5.7. Avanso užtikrinimas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lastRenderedPageBreak/>
              <w:t>6. PREKIŲ KOKYBĖ IR GARANTINIAI ĮSIPAREIGOJIMAI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778" w:type="dxa"/>
          </w:tcPr>
          <w:p w:rsidR="00B85A47" w:rsidRDefault="00B85A47" w:rsidP="00B85A47">
            <w:pPr>
              <w:jc w:val="both"/>
              <w:rPr>
                <w:kern w:val="2"/>
                <w:szCs w:val="24"/>
              </w:rPr>
            </w:pPr>
            <w:r>
              <w:rPr>
                <w:kern w:val="2"/>
                <w:szCs w:val="24"/>
              </w:rPr>
              <w:t xml:space="preserve">Prekei nustatomas Tiekėjo pasiūlytas arba Prekės gamintojo taikomas Garantinis terminas, tačiau bet kokiu atveju </w:t>
            </w:r>
            <w:r w:rsidRPr="005F6790">
              <w:rPr>
                <w:b/>
                <w:bCs/>
                <w:kern w:val="2"/>
                <w:szCs w:val="24"/>
              </w:rPr>
              <w:t xml:space="preserve">ne trumpesnis kaip </w:t>
            </w:r>
            <w:r w:rsidRPr="00633796">
              <w:rPr>
                <w:b/>
                <w:bCs/>
                <w:color w:val="FF0000"/>
                <w:kern w:val="2"/>
                <w:szCs w:val="24"/>
              </w:rPr>
              <w:t>(</w:t>
            </w:r>
            <w:r w:rsidRPr="00633796">
              <w:rPr>
                <w:color w:val="FF0000"/>
                <w:kern w:val="2"/>
                <w:szCs w:val="24"/>
              </w:rPr>
              <w:t>nurodoma pagal Tiekėjo pasiūlymą</w:t>
            </w:r>
            <w:r w:rsidRPr="00633796">
              <w:rPr>
                <w:b/>
                <w:bCs/>
                <w:color w:val="FF0000"/>
                <w:kern w:val="2"/>
                <w:szCs w:val="24"/>
              </w:rPr>
              <w:t>).</w:t>
            </w:r>
            <w:r w:rsidRPr="00633796">
              <w:rPr>
                <w:color w:val="FF0000"/>
                <w:kern w:val="2"/>
                <w:szCs w:val="24"/>
              </w:rPr>
              <w:t xml:space="preserve"> </w:t>
            </w:r>
          </w:p>
          <w:p w:rsidR="0060770C" w:rsidRPr="009E5442" w:rsidRDefault="00B85A47" w:rsidP="00B85A47">
            <w:pPr>
              <w:spacing w:line="259" w:lineRule="auto"/>
              <w:jc w:val="both"/>
              <w:rPr>
                <w:kern w:val="2"/>
                <w:szCs w:val="24"/>
              </w:rPr>
            </w:pPr>
            <w:r>
              <w:rPr>
                <w:kern w:val="2"/>
                <w:szCs w:val="24"/>
              </w:rPr>
              <w:t>Garantinis terminas, skaičiuojamas nuo Prekės perdavimo–priėmimo akto ar Sąskaitos (kai Prekės perdavimo–priėmimo aktas nėra pasirašomas) pasirašymo dienos.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6.2. Garantinė priežiūra</w:t>
            </w:r>
          </w:p>
        </w:tc>
        <w:tc>
          <w:tcPr>
            <w:tcW w:w="6778" w:type="dxa"/>
          </w:tcPr>
          <w:p w:rsidR="0060770C" w:rsidRPr="009E5442" w:rsidRDefault="00476E62" w:rsidP="00476E62">
            <w:pPr>
              <w:jc w:val="both"/>
              <w:rPr>
                <w:kern w:val="2"/>
                <w:szCs w:val="24"/>
              </w:rPr>
            </w:pPr>
            <w:r>
              <w:rPr>
                <w:kern w:val="2"/>
                <w:szCs w:val="24"/>
              </w:rPr>
              <w:t xml:space="preserve">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6.3. Prekių trūkumai ir jų šalinimo tvarka</w:t>
            </w:r>
          </w:p>
        </w:tc>
        <w:tc>
          <w:tcPr>
            <w:tcW w:w="6778"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778" w:type="dxa"/>
          </w:tcPr>
          <w:p w:rsidR="0060770C" w:rsidRPr="009E5442" w:rsidRDefault="008C11A7" w:rsidP="00273754">
            <w:pPr>
              <w:rPr>
                <w:b/>
                <w:bCs/>
                <w:kern w:val="2"/>
                <w:szCs w:val="24"/>
              </w:rPr>
            </w:pPr>
            <w:r w:rsidRPr="00E97A36">
              <w:rPr>
                <w:kern w:val="2"/>
                <w:szCs w:val="24"/>
                <w:highlight w:val="yellow"/>
              </w:rPr>
              <w:t>Sutarties vykdymui pasitelkiami šie subtiekėjai: (</w:t>
            </w:r>
            <w:r w:rsidRPr="00E97A36">
              <w:rPr>
                <w:i/>
                <w:kern w:val="2"/>
                <w:szCs w:val="24"/>
                <w:highlight w:val="yellow"/>
              </w:rPr>
              <w:t>surašyti pasiūlyme nurodytus subtiekėjus, jeigu tokių nėra, parašyti žodį „nėra“)</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778"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778"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778"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778" w:type="dxa"/>
          </w:tcPr>
          <w:p w:rsidR="0060770C" w:rsidRPr="00FF2596" w:rsidRDefault="0060770C" w:rsidP="001A272A">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w:t>
            </w:r>
            <w:r w:rsidRPr="009E5442">
              <w:rPr>
                <w:b/>
                <w:bCs/>
                <w:kern w:val="2"/>
                <w:szCs w:val="24"/>
              </w:rPr>
              <w:lastRenderedPageBreak/>
              <w:t xml:space="preserve">pakeitimo / naujų subtiekėjų pasitelkimo nesilaikant Bendrosiose sąlygose nurodytos subtiekėjų ar specialistų keitimo tvarkos </w:t>
            </w:r>
          </w:p>
        </w:tc>
        <w:tc>
          <w:tcPr>
            <w:tcW w:w="6778" w:type="dxa"/>
          </w:tcPr>
          <w:p w:rsidR="0060770C" w:rsidRPr="006D3986" w:rsidRDefault="00D649C1" w:rsidP="003A33F6">
            <w:pPr>
              <w:rPr>
                <w:kern w:val="2"/>
                <w:szCs w:val="24"/>
              </w:rPr>
            </w:pPr>
            <w:r w:rsidRPr="009E5442">
              <w:rPr>
                <w:kern w:val="2"/>
                <w:szCs w:val="24"/>
              </w:rPr>
              <w:lastRenderedPageBreak/>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r w:rsidR="0060770C" w:rsidRPr="006D3986">
              <w:rPr>
                <w:kern w:val="2"/>
                <w:szCs w:val="24"/>
              </w:rPr>
              <w:t>Eur</w:t>
            </w:r>
            <w:r w:rsidR="006D3986">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9.5. Tiekėjui taikomos baudos dėl aplinkosauginių ir (arba) socialinių kriterijų nesilaikymo</w:t>
            </w:r>
          </w:p>
        </w:tc>
        <w:tc>
          <w:tcPr>
            <w:tcW w:w="6778" w:type="dxa"/>
          </w:tcPr>
          <w:p w:rsidR="00C42F6A" w:rsidRPr="00FF2596" w:rsidRDefault="00C42F6A" w:rsidP="00C42F6A">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r w:rsidRPr="006D3986">
              <w:rPr>
                <w:iCs/>
                <w:kern w:val="2"/>
                <w:szCs w:val="24"/>
              </w:rPr>
              <w:t xml:space="preserve"> už kiekvieną nesilaikymo atvejį</w:t>
            </w:r>
          </w:p>
          <w:p w:rsidR="0060770C" w:rsidRPr="009E5442" w:rsidRDefault="0060770C" w:rsidP="001A272A">
            <w:pPr>
              <w:rPr>
                <w:color w:val="4472C4"/>
                <w:kern w:val="2"/>
                <w:szCs w:val="24"/>
              </w:rPr>
            </w:pPr>
          </w:p>
        </w:tc>
      </w:tr>
      <w:tr w:rsidR="0060770C" w:rsidRPr="009E5442" w:rsidTr="00882136">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778" w:type="dxa"/>
          </w:tcPr>
          <w:p w:rsidR="0060770C" w:rsidRPr="006D3986" w:rsidRDefault="008C11A7" w:rsidP="002D66FD">
            <w:pPr>
              <w:rPr>
                <w:iCs/>
                <w:kern w:val="2"/>
                <w:szCs w:val="24"/>
              </w:rPr>
            </w:pPr>
            <w:r w:rsidRPr="009E5442">
              <w:rPr>
                <w:kern w:val="2"/>
                <w:szCs w:val="24"/>
              </w:rPr>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Eur</w:t>
            </w:r>
            <w:r w:rsidR="00E73F5F">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60770C" w:rsidRPr="00F76B26" w:rsidRDefault="00475374" w:rsidP="002D66FD">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w:t>
            </w:r>
            <w:r w:rsidR="00F76B26" w:rsidRPr="00F76B26">
              <w:rPr>
                <w:szCs w:val="24"/>
              </w:rPr>
              <w:t xml:space="preserve"> baudą nuo grąžintų Prekių vertės</w:t>
            </w:r>
            <w:r w:rsidRPr="00F76B26">
              <w:rPr>
                <w:szCs w:val="24"/>
              </w:rPr>
              <w:t xml:space="preserve">, bet ne mažesnę kaip </w:t>
            </w:r>
            <w:r w:rsidR="00F76B26">
              <w:rPr>
                <w:szCs w:val="24"/>
              </w:rPr>
              <w:t>100,00 (vienas šimtas)</w:t>
            </w:r>
            <w:r w:rsidRPr="00F76B26">
              <w:rPr>
                <w:szCs w:val="24"/>
              </w:rPr>
              <w:t xml:space="preserve"> </w:t>
            </w:r>
            <w:r w:rsidR="002D66FD">
              <w:rPr>
                <w:szCs w:val="24"/>
              </w:rPr>
              <w:t>E</w:t>
            </w:r>
            <w:r w:rsidR="002D66FD" w:rsidRPr="00F76B26">
              <w:rPr>
                <w:szCs w:val="24"/>
              </w:rPr>
              <w:t>ur</w:t>
            </w:r>
            <w:r w:rsidRPr="00F76B26">
              <w:rPr>
                <w:szCs w:val="24"/>
              </w:rPr>
              <w:t>.</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778"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7B79D1">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00BE175C">
              <w:rPr>
                <w:color w:val="000000"/>
                <w:kern w:val="2"/>
                <w:szCs w:val="24"/>
              </w:rPr>
              <w:t>prievolių įvykdymo</w:t>
            </w:r>
            <w:r w:rsidRPr="00D45E48">
              <w:rPr>
                <w:color w:val="000000"/>
                <w:kern w:val="2"/>
                <w:szCs w:val="24"/>
              </w:rPr>
              <w:t xml:space="preserve">,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7B79D1">
              <w:rPr>
                <w:color w:val="000000"/>
                <w:kern w:val="2"/>
                <w:szCs w:val="24"/>
              </w:rPr>
              <w:t>3</w:t>
            </w:r>
            <w:r w:rsidR="0057271E" w:rsidRPr="00D45E48">
              <w:rPr>
                <w:color w:val="000000"/>
                <w:kern w:val="2"/>
                <w:szCs w:val="24"/>
              </w:rPr>
              <w:t xml:space="preserve"> (</w:t>
            </w:r>
            <w:r w:rsidR="007B79D1">
              <w:rPr>
                <w:color w:val="000000"/>
                <w:kern w:val="2"/>
                <w:szCs w:val="24"/>
              </w:rPr>
              <w:t>tris</w:t>
            </w:r>
            <w:r w:rsidR="0057271E" w:rsidRPr="00D45E48">
              <w:rPr>
                <w:color w:val="000000"/>
                <w:kern w:val="2"/>
                <w:szCs w:val="24"/>
              </w:rPr>
              <w:t xml:space="preserve">) </w:t>
            </w:r>
            <w:r w:rsidR="007B79D1">
              <w:rPr>
                <w:color w:val="000000"/>
                <w:kern w:val="2"/>
                <w:szCs w:val="24"/>
              </w:rPr>
              <w:t>mėnesius</w:t>
            </w:r>
            <w:r w:rsidR="009B6811" w:rsidRPr="00D45E48">
              <w:rPr>
                <w:color w:val="000000"/>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11.1. Sutarties nutraukimo pagrindai</w:t>
            </w:r>
          </w:p>
        </w:tc>
        <w:tc>
          <w:tcPr>
            <w:tcW w:w="6778" w:type="dxa"/>
          </w:tcPr>
          <w:p w:rsidR="0060770C" w:rsidRPr="00FF2596" w:rsidRDefault="0060770C" w:rsidP="007D6CDB">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778"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w:t>
            </w:r>
            <w:r w:rsidR="0060770C" w:rsidRPr="002D66FD">
              <w:rPr>
                <w:rFonts w:eastAsia="Arial"/>
                <w:kern w:val="2"/>
                <w:szCs w:val="24"/>
              </w:rPr>
              <w:t>. Tiekėjas daugiau kaip 2 (du) kartus pristato Prekes, kurios neatitinka Sutartyje ir / ar Įstatymuose nustatytų reikalavimų Prekėms;</w:t>
            </w:r>
          </w:p>
          <w:p w:rsidR="00FF2596" w:rsidRPr="00BE175C" w:rsidRDefault="0060770C" w:rsidP="003B7665">
            <w:pPr>
              <w:spacing w:line="257" w:lineRule="auto"/>
              <w:jc w:val="both"/>
              <w:rPr>
                <w:rFonts w:eastAsia="Arial"/>
                <w:kern w:val="2"/>
                <w:szCs w:val="24"/>
              </w:rPr>
            </w:pPr>
            <w:r w:rsidRPr="002D66FD">
              <w:rPr>
                <w:rFonts w:eastAsia="Arial"/>
                <w:kern w:val="2"/>
                <w:szCs w:val="24"/>
              </w:rPr>
              <w:t>1</w:t>
            </w:r>
            <w:r w:rsidR="003B7665" w:rsidRPr="002D66FD">
              <w:rPr>
                <w:rFonts w:eastAsia="Arial"/>
                <w:kern w:val="2"/>
                <w:szCs w:val="24"/>
              </w:rPr>
              <w:t>1.2.7</w:t>
            </w:r>
            <w:r w:rsidRPr="002D66FD">
              <w:rPr>
                <w:rFonts w:eastAsia="Arial"/>
                <w:kern w:val="2"/>
                <w:szCs w:val="24"/>
              </w:rPr>
              <w:t>. Tiekėjas pažeidžia Bendrųjų sąlygų nuostatas dėl Sutarties vykdymui pasitelkiamų naujų subtiekėjų / esamų subtiekėjų keitimo.</w:t>
            </w:r>
          </w:p>
        </w:tc>
      </w:tr>
      <w:tr w:rsidR="0060770C" w:rsidRPr="009E5442" w:rsidTr="00882136">
        <w:trPr>
          <w:trHeight w:val="300"/>
        </w:trPr>
        <w:tc>
          <w:tcPr>
            <w:tcW w:w="9482" w:type="dxa"/>
            <w:gridSpan w:val="2"/>
          </w:tcPr>
          <w:p w:rsidR="0060770C" w:rsidRPr="009E5442" w:rsidRDefault="0060770C" w:rsidP="00882136">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778" w:type="dxa"/>
          </w:tcPr>
          <w:p w:rsidR="0060770C" w:rsidRPr="00FF2596" w:rsidRDefault="007B79D1" w:rsidP="007B79D1">
            <w:pPr>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4.4.4.1 papunkčiu.</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60770C" w:rsidRPr="00F86188" w:rsidRDefault="0060770C" w:rsidP="00D649C1">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60770C" w:rsidRPr="009E5442" w:rsidRDefault="0060770C" w:rsidP="00327AFB">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w:t>
            </w:r>
            <w:r w:rsidRPr="009E5442">
              <w:rPr>
                <w:kern w:val="2"/>
                <w:szCs w:val="24"/>
                <w:shd w:val="clear" w:color="auto" w:fill="FFFFFF"/>
              </w:rPr>
              <w:lastRenderedPageBreak/>
              <w:t>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778"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 xml:space="preserve">13. BENDRŲJŲ SĄLYGŲ PAKEITIMAI IR PAPILDYMAI </w:t>
            </w:r>
          </w:p>
          <w:p w:rsidR="0060770C" w:rsidRPr="009E5442" w:rsidRDefault="0060770C" w:rsidP="00882136">
            <w:pPr>
              <w:jc w:val="center"/>
              <w:rPr>
                <w:i/>
                <w:iCs/>
                <w:kern w:val="2"/>
                <w:szCs w:val="24"/>
              </w:rPr>
            </w:pPr>
            <w:r w:rsidRPr="009E5442">
              <w:rPr>
                <w:i/>
                <w:iCs/>
                <w:kern w:val="2"/>
                <w:szCs w:val="24"/>
              </w:rPr>
              <w:t xml:space="preserve">(jeigu būtina dėl konkretaus Sutarties dalyko specifikos) </w:t>
            </w:r>
          </w:p>
        </w:tc>
      </w:tr>
      <w:tr w:rsidR="0060770C" w:rsidRPr="009E5442" w:rsidTr="00FB40F3">
        <w:trPr>
          <w:trHeight w:val="342"/>
        </w:trPr>
        <w:tc>
          <w:tcPr>
            <w:tcW w:w="9482" w:type="dxa"/>
            <w:gridSpan w:val="2"/>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14.1. Priedas Nr. 1</w:t>
            </w:r>
          </w:p>
        </w:tc>
        <w:tc>
          <w:tcPr>
            <w:tcW w:w="6778"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14.2. Priedas Nr. 2</w:t>
            </w:r>
          </w:p>
        </w:tc>
        <w:tc>
          <w:tcPr>
            <w:tcW w:w="6778" w:type="dxa"/>
          </w:tcPr>
          <w:p w:rsidR="0060770C" w:rsidRPr="009E5442" w:rsidRDefault="00FB40F3" w:rsidP="00FB40F3">
            <w:pPr>
              <w:jc w:val="both"/>
              <w:rPr>
                <w:b/>
                <w:bCs/>
                <w:kern w:val="2"/>
                <w:szCs w:val="24"/>
              </w:rPr>
            </w:pPr>
            <w:r w:rsidRPr="009E5442">
              <w:rPr>
                <w:b/>
                <w:bCs/>
                <w:kern w:val="2"/>
                <w:szCs w:val="24"/>
              </w:rPr>
              <w:t>Pasiūlymas</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14.3. Priedas Nr. 3</w:t>
            </w:r>
          </w:p>
        </w:tc>
        <w:tc>
          <w:tcPr>
            <w:tcW w:w="6778" w:type="dxa"/>
          </w:tcPr>
          <w:p w:rsidR="0060770C" w:rsidRPr="009E5442" w:rsidRDefault="004E308E" w:rsidP="00FB40F3">
            <w:pPr>
              <w:jc w:val="both"/>
              <w:rPr>
                <w:b/>
                <w:bCs/>
                <w:kern w:val="2"/>
                <w:szCs w:val="24"/>
              </w:rPr>
            </w:pPr>
            <w:r w:rsidRPr="009E5442">
              <w:rPr>
                <w:b/>
                <w:kern w:val="2"/>
                <w:szCs w:val="24"/>
              </w:rPr>
              <w:t>Sutarties vykdymui pasitelkiami subtiekėjai</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9E5442" w:rsidRDefault="007B79D1" w:rsidP="007B79D1">
            <w:pPr>
              <w:jc w:val="both"/>
              <w:rPr>
                <w:i/>
                <w:iCs/>
                <w:color w:val="4472C4"/>
                <w:kern w:val="2"/>
                <w:szCs w:val="24"/>
              </w:rPr>
            </w:pPr>
            <w:r w:rsidRPr="009E5442">
              <w:t>Vyriausi</w:t>
            </w:r>
            <w:r>
              <w:t xml:space="preserve">asis gydytojas </w:t>
            </w:r>
            <w:proofErr w:type="spellStart"/>
            <w:r>
              <w:t>Romaldas</w:t>
            </w:r>
            <w:proofErr w:type="spellEnd"/>
            <w:r>
              <w:t xml:space="preserve"> Sakalauskas</w:t>
            </w:r>
            <w:r w:rsidRPr="009E5442">
              <w:t xml:space="preserve"> </w:t>
            </w:r>
          </w:p>
        </w:tc>
        <w:tc>
          <w:tcPr>
            <w:tcW w:w="4534" w:type="dxa"/>
          </w:tcPr>
          <w:p w:rsidR="0060770C" w:rsidRPr="009E5442" w:rsidRDefault="0060770C" w:rsidP="00882136">
            <w:pPr>
              <w:jc w:val="center"/>
              <w:rPr>
                <w:b/>
                <w:bCs/>
                <w:kern w:val="2"/>
                <w:szCs w:val="24"/>
              </w:rPr>
            </w:pPr>
            <w:r w:rsidRPr="009E5442">
              <w:rPr>
                <w:i/>
                <w:iCs/>
                <w:color w:val="4472C4"/>
                <w:kern w:val="2"/>
                <w:szCs w:val="24"/>
              </w:rPr>
              <w:t>(nurodomos atstovo pareigos, vardas, pavardė)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7D6CD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F6A" w:rsidRDefault="00C42F6A" w:rsidP="0060770C">
      <w:r>
        <w:separator/>
      </w:r>
    </w:p>
  </w:endnote>
  <w:endnote w:type="continuationSeparator" w:id="0">
    <w:p w:rsidR="00C42F6A" w:rsidRDefault="00C42F6A"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F6A" w:rsidRDefault="00C42F6A" w:rsidP="0060770C">
      <w:r>
        <w:separator/>
      </w:r>
    </w:p>
  </w:footnote>
  <w:footnote w:type="continuationSeparator" w:id="0">
    <w:p w:rsidR="00C42F6A" w:rsidRDefault="00C42F6A"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spacing w:after="160" w:line="259" w:lineRule="auto"/>
      <w:rPr>
        <w:kern w:val="2"/>
        <w:sz w:val="22"/>
        <w:szCs w:val="22"/>
        <w:lang w:val="en-US"/>
      </w:rPr>
    </w:pPr>
  </w:p>
  <w:p w:rsidR="00C42F6A" w:rsidRDefault="00C42F6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t>Projektas</w:t>
    </w:r>
  </w:p>
  <w:p w:rsidR="00C42F6A" w:rsidRPr="00F9049E" w:rsidRDefault="00C42F6A">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3CEE"/>
    <w:rsid w:val="00090845"/>
    <w:rsid w:val="000D0377"/>
    <w:rsid w:val="000F2AD8"/>
    <w:rsid w:val="0015735C"/>
    <w:rsid w:val="0017724A"/>
    <w:rsid w:val="001A151E"/>
    <w:rsid w:val="001A272A"/>
    <w:rsid w:val="001B6708"/>
    <w:rsid w:val="00272DA2"/>
    <w:rsid w:val="00273754"/>
    <w:rsid w:val="002741C8"/>
    <w:rsid w:val="00276E18"/>
    <w:rsid w:val="002A25AB"/>
    <w:rsid w:val="002D66FD"/>
    <w:rsid w:val="00327AFB"/>
    <w:rsid w:val="003707A6"/>
    <w:rsid w:val="003A33F6"/>
    <w:rsid w:val="003B7665"/>
    <w:rsid w:val="003B7ACC"/>
    <w:rsid w:val="003C2A24"/>
    <w:rsid w:val="003D0AC3"/>
    <w:rsid w:val="004102B2"/>
    <w:rsid w:val="004103F5"/>
    <w:rsid w:val="00465617"/>
    <w:rsid w:val="00467272"/>
    <w:rsid w:val="00475374"/>
    <w:rsid w:val="00476E62"/>
    <w:rsid w:val="00491A79"/>
    <w:rsid w:val="00495CA2"/>
    <w:rsid w:val="004B5820"/>
    <w:rsid w:val="004D080D"/>
    <w:rsid w:val="004D5435"/>
    <w:rsid w:val="004D63C5"/>
    <w:rsid w:val="004E308E"/>
    <w:rsid w:val="005370E8"/>
    <w:rsid w:val="0057271E"/>
    <w:rsid w:val="0058114C"/>
    <w:rsid w:val="00590A2B"/>
    <w:rsid w:val="005C4A9A"/>
    <w:rsid w:val="006000F3"/>
    <w:rsid w:val="0060770C"/>
    <w:rsid w:val="00613CBA"/>
    <w:rsid w:val="00621860"/>
    <w:rsid w:val="00676CDC"/>
    <w:rsid w:val="006D3986"/>
    <w:rsid w:val="00705FB1"/>
    <w:rsid w:val="00722C95"/>
    <w:rsid w:val="007435E7"/>
    <w:rsid w:val="007539D5"/>
    <w:rsid w:val="00770FBF"/>
    <w:rsid w:val="00786C0F"/>
    <w:rsid w:val="007B79D1"/>
    <w:rsid w:val="007C726A"/>
    <w:rsid w:val="007D1510"/>
    <w:rsid w:val="007D6CDB"/>
    <w:rsid w:val="007E07FE"/>
    <w:rsid w:val="00830581"/>
    <w:rsid w:val="00866A7B"/>
    <w:rsid w:val="00882136"/>
    <w:rsid w:val="008832CC"/>
    <w:rsid w:val="00885BE3"/>
    <w:rsid w:val="008A08E0"/>
    <w:rsid w:val="008C11A7"/>
    <w:rsid w:val="008F37F8"/>
    <w:rsid w:val="00907009"/>
    <w:rsid w:val="00917199"/>
    <w:rsid w:val="00945FBC"/>
    <w:rsid w:val="00960970"/>
    <w:rsid w:val="0099300F"/>
    <w:rsid w:val="009B42D8"/>
    <w:rsid w:val="009B6811"/>
    <w:rsid w:val="009C6EAB"/>
    <w:rsid w:val="009E5442"/>
    <w:rsid w:val="009F034A"/>
    <w:rsid w:val="009F2A2E"/>
    <w:rsid w:val="00A5726F"/>
    <w:rsid w:val="00A577D5"/>
    <w:rsid w:val="00A61C20"/>
    <w:rsid w:val="00AB4CF0"/>
    <w:rsid w:val="00AB7A00"/>
    <w:rsid w:val="00AD06B9"/>
    <w:rsid w:val="00AD21B0"/>
    <w:rsid w:val="00AF242B"/>
    <w:rsid w:val="00AF2F7B"/>
    <w:rsid w:val="00B47A62"/>
    <w:rsid w:val="00B54892"/>
    <w:rsid w:val="00B721BA"/>
    <w:rsid w:val="00B81995"/>
    <w:rsid w:val="00B85A47"/>
    <w:rsid w:val="00B95828"/>
    <w:rsid w:val="00BA6B54"/>
    <w:rsid w:val="00BD1413"/>
    <w:rsid w:val="00BE175C"/>
    <w:rsid w:val="00C062D1"/>
    <w:rsid w:val="00C11C4A"/>
    <w:rsid w:val="00C219D4"/>
    <w:rsid w:val="00C33A0D"/>
    <w:rsid w:val="00C42F6A"/>
    <w:rsid w:val="00C8697E"/>
    <w:rsid w:val="00D45E48"/>
    <w:rsid w:val="00D61E97"/>
    <w:rsid w:val="00D649C1"/>
    <w:rsid w:val="00DA7E53"/>
    <w:rsid w:val="00DB29F3"/>
    <w:rsid w:val="00DE6433"/>
    <w:rsid w:val="00E73F5F"/>
    <w:rsid w:val="00E97A36"/>
    <w:rsid w:val="00EA3439"/>
    <w:rsid w:val="00EB25B0"/>
    <w:rsid w:val="00EB3217"/>
    <w:rsid w:val="00EF50A2"/>
    <w:rsid w:val="00F403D3"/>
    <w:rsid w:val="00F501B5"/>
    <w:rsid w:val="00F76B26"/>
    <w:rsid w:val="00F86188"/>
    <w:rsid w:val="00F9049E"/>
    <w:rsid w:val="00FB153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ADD5"/>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rsid w:val="00465617"/>
    <w:pPr>
      <w:ind w:left="720"/>
      <w:contextualSpacing/>
    </w:pPr>
  </w:style>
  <w:style w:type="character" w:customStyle="1" w:styleId="normaltextrun">
    <w:name w:val="normaltextrun"/>
    <w:basedOn w:val="Numatytasispastraiposriftas"/>
    <w:rsid w:val="00B8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sokolovas2@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guole.paulauskiene@kretingosligonine.lt" TargetMode="Externa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C9020F6C</Template>
  <TotalTime>25</TotalTime>
  <Pages>7</Pages>
  <Words>9237</Words>
  <Characters>5266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11</cp:revision>
  <cp:lastPrinted>2024-05-06T13:28:00Z</cp:lastPrinted>
  <dcterms:created xsi:type="dcterms:W3CDTF">2025-02-25T11:55:00Z</dcterms:created>
  <dcterms:modified xsi:type="dcterms:W3CDTF">2025-02-26T07:09:00Z</dcterms:modified>
</cp:coreProperties>
</file>