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2840298D"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1</w:t>
      </w:r>
      <w:r w:rsidR="00BC2851" w:rsidRPr="00685AF0">
        <w:t xml:space="preserve"> priedas</w:t>
      </w:r>
      <w:bookmarkEnd w:id="0"/>
    </w:p>
    <w:p w14:paraId="277C0A7E" w14:textId="77777777" w:rsidR="00035D4F" w:rsidRPr="00833949" w:rsidRDefault="00035D4F" w:rsidP="00556EA0">
      <w:pPr>
        <w:spacing w:after="0" w:line="240" w:lineRule="auto"/>
        <w:rPr>
          <w:rFonts w:ascii="Times New Roman" w:hAnsi="Times New Roman" w:cs="Times New Roman"/>
          <w:color w:val="00B050"/>
          <w:sz w:val="24"/>
          <w:szCs w:val="24"/>
        </w:rPr>
      </w:pPr>
    </w:p>
    <w:p w14:paraId="046C19D1"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Herbas arba prekių ženklas</w:t>
      </w:r>
    </w:p>
    <w:p w14:paraId="422714DB"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(Tiekėjo pavadinimas)</w:t>
      </w:r>
    </w:p>
    <w:p w14:paraId="7057FCA8"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p>
    <w:p w14:paraId="7A84B6D5"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6708AE" w14:textId="77777777" w:rsidR="00DF3337" w:rsidRPr="000B0747" w:rsidRDefault="00DF3337" w:rsidP="00DF333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rPr>
          <w:rFonts w:ascii="Times New Roman" w:eastAsia="Times New Roman" w:hAnsi="Times New Roman" w:cs="Times New Roman"/>
          <w:sz w:val="24"/>
          <w:szCs w:val="24"/>
        </w:rPr>
      </w:pPr>
    </w:p>
    <w:p w14:paraId="1BC4EC6E" w14:textId="77777777" w:rsidR="00DF3337" w:rsidRPr="000B0747" w:rsidRDefault="00DF3337" w:rsidP="00DF333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jc w:val="center"/>
        <w:rPr>
          <w:rFonts w:ascii="Times New Roman" w:eastAsia="Times New Roman" w:hAnsi="Times New Roman" w:cs="Times New Roman"/>
          <w:b/>
          <w:sz w:val="24"/>
          <w:szCs w:val="24"/>
        </w:rPr>
      </w:pPr>
      <w:r w:rsidRPr="000B0747">
        <w:rPr>
          <w:rFonts w:ascii="Times New Roman" w:eastAsia="Times New Roman" w:hAnsi="Times New Roman" w:cs="Times New Roman"/>
          <w:b/>
          <w:sz w:val="24"/>
          <w:szCs w:val="24"/>
        </w:rPr>
        <w:t>Plungės rajono savivaldybės administracijai</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77777777" w:rsidR="00556EA0" w:rsidRPr="00685AF0" w:rsidRDefault="00556EA0" w:rsidP="00556EA0">
      <w:pPr>
        <w:spacing w:after="0" w:line="240" w:lineRule="auto"/>
        <w:jc w:val="center"/>
        <w:rPr>
          <w:rFonts w:ascii="Times New Roman" w:hAnsi="Times New Roman" w:cs="Times New Roman"/>
          <w:b/>
          <w:sz w:val="24"/>
          <w:szCs w:val="24"/>
        </w:rPr>
      </w:pPr>
      <w:r w:rsidRPr="00685AF0">
        <w:rPr>
          <w:rFonts w:ascii="Times New Roman" w:hAnsi="Times New Roman" w:cs="Times New Roman"/>
          <w:b/>
          <w:sz w:val="24"/>
          <w:szCs w:val="24"/>
        </w:rPr>
        <w:t>PASIŪLYMAS</w:t>
      </w:r>
    </w:p>
    <w:p w14:paraId="4046881F" w14:textId="4B595EA1" w:rsidR="00BB7EC5" w:rsidRPr="00D454FB" w:rsidRDefault="00556EA0" w:rsidP="001B42DE">
      <w:pPr>
        <w:pStyle w:val="Stilius5"/>
        <w:outlineLvl w:val="0"/>
        <w:rPr>
          <w:sz w:val="24"/>
          <w:szCs w:val="24"/>
        </w:rPr>
      </w:pPr>
      <w:r w:rsidRPr="00D454FB">
        <w:rPr>
          <w:sz w:val="24"/>
          <w:szCs w:val="24"/>
        </w:rPr>
        <w:t>DĖL „</w:t>
      </w:r>
      <w:r w:rsidR="00D454FB" w:rsidRPr="00D454FB">
        <w:rPr>
          <w:color w:val="000000"/>
          <w:sz w:val="24"/>
          <w:szCs w:val="24"/>
        </w:rPr>
        <w:t>PLUNGĖS MIESTO</w:t>
      </w:r>
      <w:r w:rsidR="0082087C">
        <w:rPr>
          <w:color w:val="000000"/>
          <w:sz w:val="24"/>
          <w:szCs w:val="24"/>
        </w:rPr>
        <w:t>,</w:t>
      </w:r>
      <w:r w:rsidR="00D454FB" w:rsidRPr="00D454FB">
        <w:rPr>
          <w:color w:val="000000"/>
          <w:sz w:val="24"/>
          <w:szCs w:val="24"/>
        </w:rPr>
        <w:t xml:space="preserve"> PRIE VYTAUTO G. 29 FONTANO</w:t>
      </w:r>
      <w:r w:rsidR="0082087C">
        <w:rPr>
          <w:color w:val="000000"/>
          <w:sz w:val="24"/>
          <w:szCs w:val="24"/>
        </w:rPr>
        <w:t>,</w:t>
      </w:r>
      <w:r w:rsidR="00D454FB" w:rsidRPr="00D454FB">
        <w:rPr>
          <w:color w:val="000000"/>
          <w:sz w:val="24"/>
          <w:szCs w:val="24"/>
        </w:rPr>
        <w:t xml:space="preserve"> TECHNOLOGINĖS DALIES ĮRENGIMO </w:t>
      </w:r>
      <w:r w:rsidR="00D454FB" w:rsidRPr="00D454FB">
        <w:rPr>
          <w:sz w:val="24"/>
          <w:szCs w:val="24"/>
        </w:rPr>
        <w:t>DARBAI</w:t>
      </w:r>
      <w:r w:rsidR="00D037FF" w:rsidRPr="00D454FB">
        <w:rPr>
          <w:sz w:val="24"/>
          <w:szCs w:val="24"/>
        </w:rPr>
        <w:t>“</w:t>
      </w:r>
      <w:r w:rsidR="001B42DE" w:rsidRPr="00D454FB">
        <w:rPr>
          <w:sz w:val="24"/>
          <w:szCs w:val="24"/>
        </w:rPr>
        <w:t xml:space="preserve"> </w:t>
      </w:r>
      <w:r w:rsidRPr="00D454FB">
        <w:rPr>
          <w:sz w:val="24"/>
          <w:szCs w:val="24"/>
        </w:rPr>
        <w:t>PIRKIMO</w:t>
      </w: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5FBC6ED8"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254"/>
        <w:gridCol w:w="1559"/>
        <w:gridCol w:w="1559"/>
        <w:gridCol w:w="1704"/>
      </w:tblGrid>
      <w:tr w:rsidR="0082087C" w:rsidRPr="00F7389E" w14:paraId="29A78E59" w14:textId="77777777" w:rsidTr="00847FCA">
        <w:tc>
          <w:tcPr>
            <w:tcW w:w="674" w:type="dxa"/>
            <w:tcBorders>
              <w:top w:val="single" w:sz="4" w:space="0" w:color="auto"/>
              <w:left w:val="single" w:sz="4" w:space="0" w:color="auto"/>
              <w:bottom w:val="single" w:sz="4" w:space="0" w:color="auto"/>
              <w:right w:val="single" w:sz="4" w:space="0" w:color="auto"/>
            </w:tcBorders>
            <w:hideMark/>
          </w:tcPr>
          <w:p w14:paraId="1B47D96D"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Eil. Nr.</w:t>
            </w:r>
          </w:p>
        </w:tc>
        <w:tc>
          <w:tcPr>
            <w:tcW w:w="4254" w:type="dxa"/>
            <w:tcBorders>
              <w:top w:val="single" w:sz="4" w:space="0" w:color="auto"/>
              <w:left w:val="single" w:sz="4" w:space="0" w:color="auto"/>
              <w:bottom w:val="single" w:sz="4" w:space="0" w:color="auto"/>
              <w:right w:val="single" w:sz="4" w:space="0" w:color="auto"/>
            </w:tcBorders>
            <w:hideMark/>
          </w:tcPr>
          <w:p w14:paraId="2E6CDDC6" w14:textId="77777777" w:rsidR="0082087C" w:rsidRPr="00F7389E" w:rsidRDefault="0082087C" w:rsidP="00847FCA">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2184D118" w14:textId="77777777" w:rsidR="0082087C" w:rsidRPr="00F7389E" w:rsidRDefault="0082087C" w:rsidP="00847FC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w:t>
            </w:r>
            <w:proofErr w:type="spellStart"/>
            <w:r w:rsidRPr="00F7389E">
              <w:rPr>
                <w:rFonts w:ascii="Times New Roman" w:hAnsi="Times New Roman" w:cs="Times New Roman"/>
                <w:sz w:val="24"/>
                <w:szCs w:val="24"/>
              </w:rPr>
              <w:t>Eur</w:t>
            </w:r>
            <w:proofErr w:type="spellEnd"/>
            <w:r w:rsidRPr="00F7389E">
              <w:rPr>
                <w:rFonts w:ascii="Times New Roman" w:hAnsi="Times New Roman" w:cs="Times New Roman"/>
                <w:sz w:val="24"/>
                <w:szCs w:val="24"/>
              </w:rPr>
              <w:t xml:space="preserve"> </w:t>
            </w:r>
          </w:p>
          <w:p w14:paraId="7F56493A"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(be PVM)</w:t>
            </w:r>
            <w:r>
              <w:rPr>
                <w:b/>
              </w:rPr>
              <w:t xml:space="preserve"> *</w:t>
            </w:r>
          </w:p>
        </w:tc>
        <w:tc>
          <w:tcPr>
            <w:tcW w:w="1559" w:type="dxa"/>
            <w:tcBorders>
              <w:top w:val="single" w:sz="4" w:space="0" w:color="auto"/>
              <w:left w:val="single" w:sz="4" w:space="0" w:color="auto"/>
              <w:bottom w:val="single" w:sz="4" w:space="0" w:color="auto"/>
              <w:right w:val="single" w:sz="4" w:space="0" w:color="auto"/>
            </w:tcBorders>
          </w:tcPr>
          <w:p w14:paraId="2C442929" w14:textId="77777777" w:rsidR="0082087C" w:rsidRDefault="0082087C" w:rsidP="00847FCA">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 xml:space="preserve">PVM, </w:t>
            </w:r>
            <w:proofErr w:type="spellStart"/>
            <w:r>
              <w:rPr>
                <w:rFonts w:ascii="Times New Roman" w:hAnsi="Times New Roman" w:cs="Times New Roman"/>
                <w:sz w:val="24"/>
                <w:szCs w:val="24"/>
                <w:lang w:eastAsia="zh-CN"/>
              </w:rPr>
              <w:t>Eur</w:t>
            </w:r>
            <w:proofErr w:type="spellEnd"/>
            <w:r>
              <w:rPr>
                <w:b/>
              </w:rPr>
              <w:t>**</w:t>
            </w:r>
          </w:p>
          <w:p w14:paraId="4DEBE3BC" w14:textId="77777777" w:rsidR="0082087C" w:rsidRPr="00F7389E" w:rsidRDefault="0082087C" w:rsidP="00847FCA">
            <w:pPr>
              <w:spacing w:after="0" w:line="240" w:lineRule="auto"/>
              <w:jc w:val="center"/>
              <w:rPr>
                <w:rFonts w:ascii="Times New Roman" w:hAnsi="Times New Roman" w:cs="Times New Roman"/>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hideMark/>
          </w:tcPr>
          <w:p w14:paraId="6D8C74F7" w14:textId="77777777" w:rsidR="0082087C" w:rsidRPr="00F7389E" w:rsidRDefault="0082087C" w:rsidP="00847FC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w:t>
            </w:r>
            <w:proofErr w:type="spellStart"/>
            <w:r w:rsidRPr="00F7389E">
              <w:rPr>
                <w:rFonts w:ascii="Times New Roman" w:hAnsi="Times New Roman" w:cs="Times New Roman"/>
                <w:sz w:val="24"/>
                <w:szCs w:val="24"/>
              </w:rPr>
              <w:t>Eur</w:t>
            </w:r>
            <w:proofErr w:type="spellEnd"/>
            <w:r w:rsidRPr="00F7389E">
              <w:rPr>
                <w:rFonts w:ascii="Times New Roman" w:hAnsi="Times New Roman" w:cs="Times New Roman"/>
                <w:sz w:val="24"/>
                <w:szCs w:val="24"/>
              </w:rPr>
              <w:t xml:space="preserve"> </w:t>
            </w:r>
          </w:p>
          <w:p w14:paraId="4070277C"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(su PVM)</w:t>
            </w:r>
            <w:r>
              <w:rPr>
                <w:b/>
              </w:rPr>
              <w:t xml:space="preserve"> ***</w:t>
            </w:r>
          </w:p>
        </w:tc>
      </w:tr>
      <w:tr w:rsidR="0082087C" w:rsidRPr="00F7389E" w14:paraId="36ACE7A1" w14:textId="77777777" w:rsidTr="00847FCA">
        <w:trPr>
          <w:trHeight w:val="37"/>
        </w:trPr>
        <w:tc>
          <w:tcPr>
            <w:tcW w:w="674" w:type="dxa"/>
            <w:tcBorders>
              <w:top w:val="single" w:sz="4" w:space="0" w:color="auto"/>
              <w:left w:val="single" w:sz="4" w:space="0" w:color="auto"/>
              <w:bottom w:val="single" w:sz="4" w:space="0" w:color="auto"/>
              <w:right w:val="single" w:sz="4" w:space="0" w:color="auto"/>
            </w:tcBorders>
            <w:hideMark/>
          </w:tcPr>
          <w:p w14:paraId="1C0CBF0E"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1</w:t>
            </w:r>
          </w:p>
        </w:tc>
        <w:tc>
          <w:tcPr>
            <w:tcW w:w="4254" w:type="dxa"/>
            <w:tcBorders>
              <w:top w:val="single" w:sz="4" w:space="0" w:color="auto"/>
              <w:left w:val="single" w:sz="4" w:space="0" w:color="auto"/>
              <w:bottom w:val="single" w:sz="4" w:space="0" w:color="auto"/>
              <w:right w:val="single" w:sz="4" w:space="0" w:color="auto"/>
            </w:tcBorders>
            <w:hideMark/>
          </w:tcPr>
          <w:p w14:paraId="300A43F2"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14DD55D0"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A31B733"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4</w:t>
            </w:r>
          </w:p>
        </w:tc>
        <w:tc>
          <w:tcPr>
            <w:tcW w:w="1704" w:type="dxa"/>
            <w:tcBorders>
              <w:top w:val="single" w:sz="4" w:space="0" w:color="auto"/>
              <w:left w:val="single" w:sz="4" w:space="0" w:color="auto"/>
              <w:bottom w:val="single" w:sz="4" w:space="0" w:color="auto"/>
              <w:right w:val="single" w:sz="4" w:space="0" w:color="auto"/>
            </w:tcBorders>
          </w:tcPr>
          <w:p w14:paraId="304DE091"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5</w:t>
            </w:r>
          </w:p>
        </w:tc>
      </w:tr>
      <w:tr w:rsidR="0082087C" w:rsidRPr="00F7389E" w14:paraId="10050E93" w14:textId="77777777" w:rsidTr="00847FCA">
        <w:trPr>
          <w:trHeight w:val="37"/>
        </w:trPr>
        <w:tc>
          <w:tcPr>
            <w:tcW w:w="674" w:type="dxa"/>
            <w:tcBorders>
              <w:top w:val="single" w:sz="4" w:space="0" w:color="auto"/>
              <w:left w:val="single" w:sz="4" w:space="0" w:color="auto"/>
              <w:bottom w:val="single" w:sz="4" w:space="0" w:color="auto"/>
              <w:right w:val="single" w:sz="4" w:space="0" w:color="auto"/>
            </w:tcBorders>
          </w:tcPr>
          <w:p w14:paraId="223ED3DF" w14:textId="77777777" w:rsidR="0082087C" w:rsidRPr="00F7389E" w:rsidRDefault="0082087C" w:rsidP="00847F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4" w:type="dxa"/>
            <w:tcBorders>
              <w:top w:val="single" w:sz="4" w:space="0" w:color="auto"/>
              <w:left w:val="single" w:sz="4" w:space="0" w:color="auto"/>
              <w:bottom w:val="single" w:sz="4" w:space="0" w:color="auto"/>
              <w:right w:val="single" w:sz="4" w:space="0" w:color="auto"/>
            </w:tcBorders>
          </w:tcPr>
          <w:p w14:paraId="5F52D752" w14:textId="29A4FB87" w:rsidR="0082087C" w:rsidRPr="0057355B" w:rsidRDefault="0082087C" w:rsidP="0082087C">
            <w:pPr>
              <w:spacing w:after="0" w:line="24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Plungės miesto, prie Vytauto g. 29 fontano, technologinės dalies įrengimo darbai</w:t>
            </w:r>
          </w:p>
        </w:tc>
        <w:tc>
          <w:tcPr>
            <w:tcW w:w="1559" w:type="dxa"/>
            <w:tcBorders>
              <w:top w:val="single" w:sz="4" w:space="0" w:color="auto"/>
              <w:left w:val="single" w:sz="4" w:space="0" w:color="auto"/>
              <w:bottom w:val="single" w:sz="4" w:space="0" w:color="auto"/>
              <w:right w:val="single" w:sz="4" w:space="0" w:color="auto"/>
            </w:tcBorders>
          </w:tcPr>
          <w:p w14:paraId="081B3F4E"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tcPr>
          <w:p w14:paraId="18585700"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tcPr>
          <w:p w14:paraId="100E4F4E"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r>
      <w:tr w:rsidR="0082087C" w:rsidRPr="00F7389E" w14:paraId="42BEB75C" w14:textId="77777777" w:rsidTr="00847FCA">
        <w:trPr>
          <w:trHeight w:val="70"/>
        </w:trPr>
        <w:tc>
          <w:tcPr>
            <w:tcW w:w="8046" w:type="dxa"/>
            <w:gridSpan w:val="4"/>
            <w:tcBorders>
              <w:top w:val="single" w:sz="4" w:space="0" w:color="auto"/>
              <w:left w:val="single" w:sz="4" w:space="0" w:color="auto"/>
              <w:bottom w:val="single" w:sz="4" w:space="0" w:color="auto"/>
              <w:right w:val="single" w:sz="4" w:space="0" w:color="auto"/>
            </w:tcBorders>
            <w:vAlign w:val="center"/>
            <w:hideMark/>
          </w:tcPr>
          <w:p w14:paraId="2D0CC976" w14:textId="77777777" w:rsidR="0082087C" w:rsidRPr="00F7389E" w:rsidRDefault="0082087C" w:rsidP="00847FCA">
            <w:pPr>
              <w:spacing w:after="0" w:line="240" w:lineRule="auto"/>
              <w:jc w:val="right"/>
              <w:rPr>
                <w:rFonts w:ascii="Times New Roman" w:hAnsi="Times New Roman" w:cs="Times New Roman"/>
                <w:sz w:val="24"/>
                <w:szCs w:val="24"/>
                <w:lang w:eastAsia="zh-CN"/>
              </w:rPr>
            </w:pPr>
            <w:r>
              <w:rPr>
                <w:rFonts w:ascii="Times New Roman" w:hAnsi="Times New Roman" w:cs="Times New Roman"/>
                <w:b/>
                <w:sz w:val="24"/>
                <w:szCs w:val="24"/>
              </w:rPr>
              <w:t>P</w:t>
            </w:r>
            <w:r w:rsidRPr="00F7389E">
              <w:rPr>
                <w:rFonts w:ascii="Times New Roman" w:hAnsi="Times New Roman" w:cs="Times New Roman"/>
                <w:b/>
                <w:sz w:val="24"/>
                <w:szCs w:val="24"/>
              </w:rPr>
              <w:t>asiūlymo kaina</w:t>
            </w:r>
            <w:r w:rsidRPr="00F7389E">
              <w:rPr>
                <w:rFonts w:ascii="Times New Roman" w:hAnsi="Times New Roman" w:cs="Times New Roman"/>
                <w:b/>
                <w:bCs/>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14:paraId="5E998636" w14:textId="77777777" w:rsidR="0082087C" w:rsidRPr="00F7389E" w:rsidRDefault="0082087C" w:rsidP="00847FCA">
            <w:pPr>
              <w:spacing w:after="0" w:line="240" w:lineRule="auto"/>
              <w:jc w:val="center"/>
              <w:rPr>
                <w:rFonts w:ascii="Times New Roman" w:hAnsi="Times New Roman" w:cs="Times New Roman"/>
                <w:sz w:val="24"/>
                <w:szCs w:val="24"/>
                <w:lang w:eastAsia="zh-CN"/>
              </w:rPr>
            </w:pPr>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p>
    <w:p w14:paraId="063F5215" w14:textId="77777777" w:rsidR="0082087C" w:rsidRPr="00762590" w:rsidRDefault="0082087C" w:rsidP="0082087C">
      <w:pPr>
        <w:spacing w:after="0" w:line="240" w:lineRule="auto"/>
        <w:ind w:firstLine="720"/>
        <w:jc w:val="both"/>
        <w:rPr>
          <w:rFonts w:ascii="Times New Roman" w:eastAsia="Times New Roman" w:hAnsi="Times New Roman" w:cs="Times New Roman"/>
          <w:b/>
          <w:sz w:val="24"/>
          <w:szCs w:val="20"/>
        </w:rPr>
      </w:pPr>
      <w:r w:rsidRPr="00762590">
        <w:rPr>
          <w:rFonts w:ascii="Times New Roman" w:eastAsia="Times New Roman" w:hAnsi="Times New Roman" w:cs="Times New Roman"/>
          <w:b/>
          <w:sz w:val="24"/>
          <w:szCs w:val="20"/>
        </w:rPr>
        <w:t>Pasiūlymo kaina žodžiais: ________________________________________________</w:t>
      </w:r>
    </w:p>
    <w:p w14:paraId="463C9338" w14:textId="77777777" w:rsidR="0082087C" w:rsidRDefault="0082087C" w:rsidP="0082087C">
      <w:pPr>
        <w:spacing w:after="0" w:line="240" w:lineRule="auto"/>
        <w:ind w:firstLine="720"/>
        <w:jc w:val="both"/>
        <w:rPr>
          <w:rFonts w:ascii="Times New Roman" w:eastAsia="Times New Roman" w:hAnsi="Times New Roman" w:cs="Times New Roman"/>
          <w:sz w:val="24"/>
          <w:szCs w:val="20"/>
        </w:rPr>
      </w:pPr>
      <w:bookmarkStart w:id="1" w:name="_Hlk495407184"/>
    </w:p>
    <w:p w14:paraId="1CE8AFE6" w14:textId="77777777" w:rsidR="0082087C" w:rsidRPr="00762590" w:rsidRDefault="0082087C" w:rsidP="0082087C">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3 stulpelyje „Kaina, </w:t>
      </w:r>
      <w:proofErr w:type="spellStart"/>
      <w:r>
        <w:rPr>
          <w:rFonts w:ascii="Times New Roman" w:eastAsia="Times New Roman" w:hAnsi="Times New Roman" w:cs="Times New Roman"/>
          <w:sz w:val="24"/>
          <w:szCs w:val="20"/>
        </w:rPr>
        <w:t>Eur</w:t>
      </w:r>
      <w:proofErr w:type="spellEnd"/>
      <w:r w:rsidRPr="00762590">
        <w:rPr>
          <w:rFonts w:ascii="Times New Roman" w:eastAsia="Times New Roman" w:hAnsi="Times New Roman" w:cs="Times New Roman"/>
          <w:sz w:val="24"/>
          <w:szCs w:val="20"/>
        </w:rPr>
        <w:t xml:space="preserve"> be PVM“ pateikiama kaina, nurodant</w:t>
      </w:r>
      <w:r w:rsidRPr="00762590">
        <w:rPr>
          <w:rFonts w:ascii="Times New Roman" w:eastAsia="Calibri" w:hAnsi="Times New Roman" w:cs="Times New Roman"/>
          <w:color w:val="365F91"/>
          <w:sz w:val="24"/>
          <w:szCs w:val="20"/>
        </w:rPr>
        <w:t xml:space="preserve"> </w:t>
      </w:r>
      <w:r w:rsidRPr="00762590">
        <w:rPr>
          <w:rFonts w:ascii="Times New Roman" w:eastAsia="Calibri" w:hAnsi="Times New Roman" w:cs="Times New Roman"/>
          <w:sz w:val="24"/>
          <w:szCs w:val="20"/>
        </w:rPr>
        <w:t>2 (du)</w:t>
      </w:r>
      <w:r w:rsidRPr="00762590">
        <w:rPr>
          <w:rFonts w:ascii="Times New Roman" w:eastAsia="Times New Roman" w:hAnsi="Times New Roman" w:cs="Times New Roman"/>
          <w:sz w:val="24"/>
          <w:szCs w:val="20"/>
        </w:rPr>
        <w:t xml:space="preserve"> skaičius po kablelio</w:t>
      </w:r>
      <w:bookmarkEnd w:id="1"/>
      <w:r w:rsidRPr="00762590">
        <w:rPr>
          <w:rFonts w:ascii="Times New Roman" w:eastAsia="Times New Roman" w:hAnsi="Times New Roman" w:cs="Times New Roman"/>
          <w:sz w:val="24"/>
          <w:szCs w:val="20"/>
        </w:rPr>
        <w:t>.</w:t>
      </w:r>
    </w:p>
    <w:p w14:paraId="25B0DB41" w14:textId="77777777" w:rsidR="0082087C" w:rsidRPr="00762590" w:rsidRDefault="0082087C" w:rsidP="0082087C">
      <w:pPr>
        <w:widowControl w:val="0"/>
        <w:spacing w:after="0" w:line="240" w:lineRule="auto"/>
        <w:ind w:firstLine="720"/>
        <w:jc w:val="both"/>
        <w:rPr>
          <w:rFonts w:ascii="Times New Roman" w:eastAsia="Calibri" w:hAnsi="Times New Roman" w:cs="Times New Roman"/>
          <w:sz w:val="24"/>
          <w:szCs w:val="20"/>
        </w:rPr>
      </w:pPr>
      <w:r w:rsidRPr="00762590">
        <w:rPr>
          <w:rFonts w:ascii="Times New Roman" w:eastAsia="Times New Roman" w:hAnsi="Times New Roman" w:cs="Times New Roman"/>
          <w:sz w:val="24"/>
          <w:szCs w:val="20"/>
        </w:rPr>
        <w:lastRenderedPageBreak/>
        <w:t>**</w:t>
      </w:r>
      <w:r w:rsidRPr="00762590">
        <w:rPr>
          <w:rFonts w:ascii="Times New Roman" w:eastAsia="Calibri" w:hAnsi="Times New Roman" w:cs="Times New Roman"/>
          <w:sz w:val="24"/>
          <w:szCs w:val="20"/>
        </w:rPr>
        <w:t xml:space="preserve"> Jei 4 stulpelis „PVM“ nepildomas, nurodomos priežastys, dėl kurių PVM nemokamas: ______________________________________________________________________________</w:t>
      </w:r>
    </w:p>
    <w:p w14:paraId="0CD81825" w14:textId="77777777" w:rsidR="0082087C" w:rsidRPr="00762590" w:rsidRDefault="0082087C" w:rsidP="0082087C">
      <w:pPr>
        <w:widowControl w:val="0"/>
        <w:spacing w:after="0" w:line="240" w:lineRule="auto"/>
        <w:ind w:firstLine="720"/>
        <w:jc w:val="both"/>
        <w:rPr>
          <w:rFonts w:ascii="Times New Roman" w:eastAsia="Times New Roman" w:hAnsi="Times New Roman" w:cs="Times New Roman"/>
          <w:sz w:val="24"/>
          <w:szCs w:val="20"/>
        </w:rPr>
      </w:pPr>
      <w:r>
        <w:rPr>
          <w:rFonts w:ascii="Times New Roman" w:eastAsia="Calibri" w:hAnsi="Times New Roman" w:cs="Times New Roman"/>
          <w:sz w:val="24"/>
          <w:szCs w:val="20"/>
        </w:rPr>
        <w:t xml:space="preserve">*** 5 stulpelyje „Kaina, </w:t>
      </w:r>
      <w:proofErr w:type="spellStart"/>
      <w:r>
        <w:rPr>
          <w:rFonts w:ascii="Times New Roman" w:eastAsia="Calibri" w:hAnsi="Times New Roman" w:cs="Times New Roman"/>
          <w:sz w:val="24"/>
          <w:szCs w:val="20"/>
        </w:rPr>
        <w:t>Eur</w:t>
      </w:r>
      <w:proofErr w:type="spellEnd"/>
      <w:r w:rsidRPr="00762590">
        <w:rPr>
          <w:rFonts w:ascii="Times New Roman" w:eastAsia="Calibri" w:hAnsi="Times New Roman" w:cs="Times New Roman"/>
          <w:sz w:val="24"/>
          <w:szCs w:val="20"/>
        </w:rPr>
        <w:t xml:space="preserve"> su PVM“ </w:t>
      </w:r>
      <w:r w:rsidRPr="00762590">
        <w:rPr>
          <w:rFonts w:ascii="Times New Roman" w:eastAsia="Times New Roman" w:hAnsi="Times New Roman" w:cs="Times New Roman"/>
          <w:sz w:val="24"/>
          <w:szCs w:val="20"/>
        </w:rPr>
        <w:t xml:space="preserve">pateikiama kaina, nurodant </w:t>
      </w:r>
      <w:r w:rsidRPr="00762590">
        <w:rPr>
          <w:rFonts w:ascii="Times New Roman" w:eastAsia="Calibri" w:hAnsi="Times New Roman" w:cs="Times New Roman"/>
          <w:sz w:val="24"/>
          <w:szCs w:val="20"/>
        </w:rPr>
        <w:t>2 (du)</w:t>
      </w:r>
      <w:r w:rsidRPr="00762590">
        <w:rPr>
          <w:rFonts w:ascii="Times New Roman" w:eastAsia="Times New Roman" w:hAnsi="Times New Roman" w:cs="Times New Roman"/>
          <w:sz w:val="24"/>
          <w:szCs w:val="20"/>
        </w:rPr>
        <w:t xml:space="preserve"> skaičius po kablelio.</w:t>
      </w:r>
    </w:p>
    <w:p w14:paraId="5922FA83" w14:textId="77777777" w:rsidR="0082087C" w:rsidRDefault="0082087C" w:rsidP="0082087C">
      <w:pPr>
        <w:widowControl w:val="0"/>
        <w:spacing w:after="0" w:line="240" w:lineRule="auto"/>
        <w:rPr>
          <w:rFonts w:ascii="Times New Roman" w:eastAsia="Calibri" w:hAnsi="Times New Roman" w:cs="Times New Roman"/>
          <w:i/>
          <w:color w:val="00B050"/>
          <w:sz w:val="24"/>
          <w:szCs w:val="24"/>
        </w:rPr>
      </w:pPr>
    </w:p>
    <w:p w14:paraId="2DF160D6" w14:textId="77777777" w:rsidR="0082087C" w:rsidRPr="008B005A" w:rsidRDefault="0082087C" w:rsidP="0082087C">
      <w:pPr>
        <w:tabs>
          <w:tab w:val="left" w:pos="993"/>
        </w:tabs>
        <w:spacing w:after="0" w:line="240" w:lineRule="auto"/>
        <w:ind w:firstLine="709"/>
        <w:rPr>
          <w:rFonts w:ascii="Times New Roman" w:hAnsi="Times New Roman" w:cs="Times New Roman"/>
          <w:sz w:val="24"/>
          <w:szCs w:val="24"/>
        </w:rPr>
      </w:pPr>
      <w:r w:rsidRPr="008B005A">
        <w:rPr>
          <w:rFonts w:ascii="Times New Roman" w:hAnsi="Times New Roman" w:cs="Times New Roman"/>
          <w:sz w:val="24"/>
          <w:szCs w:val="24"/>
        </w:rPr>
        <w:t>Pasirašydamas šį pasiūlymą, tvirtintu, kad:</w:t>
      </w:r>
    </w:p>
    <w:p w14:paraId="201CC524" w14:textId="77777777" w:rsidR="0082087C" w:rsidRPr="008B005A" w:rsidRDefault="0082087C" w:rsidP="0082087C">
      <w:pPr>
        <w:pStyle w:val="Sraopastraipa"/>
        <w:numPr>
          <w:ilvl w:val="0"/>
          <w:numId w:val="5"/>
        </w:numPr>
        <w:tabs>
          <w:tab w:val="left" w:pos="993"/>
        </w:tabs>
        <w:ind w:left="0" w:firstLine="709"/>
        <w:rPr>
          <w:rFonts w:eastAsia="Calibri"/>
          <w:szCs w:val="24"/>
        </w:rPr>
      </w:pPr>
      <w:r w:rsidRPr="008B005A">
        <w:rPr>
          <w:rFonts w:eastAsia="Calibri"/>
          <w:szCs w:val="24"/>
        </w:rPr>
        <w:t>teikdami šį pasiūlymą, mes patvirtiname, kad į mūsų siūlomą kainą įskaičiuotos visos išlaidos ir visi mokesčiai, ir kad mes prisiimame riziką už visas išlaidas, kurias, teikdami pasiūlymą privalėjome įskaičiuoti į pasiūlymo kainą;</w:t>
      </w:r>
    </w:p>
    <w:p w14:paraId="0AC3AFED" w14:textId="77777777" w:rsidR="0082087C" w:rsidRPr="008B005A" w:rsidRDefault="0082087C" w:rsidP="0082087C">
      <w:pPr>
        <w:pStyle w:val="Sraopastraipa"/>
        <w:numPr>
          <w:ilvl w:val="0"/>
          <w:numId w:val="5"/>
        </w:numPr>
        <w:tabs>
          <w:tab w:val="left" w:pos="993"/>
        </w:tabs>
        <w:ind w:left="0" w:firstLine="709"/>
        <w:rPr>
          <w:rFonts w:eastAsia="Calibri"/>
          <w:szCs w:val="24"/>
        </w:rPr>
      </w:pPr>
      <w:r w:rsidRPr="008B005A">
        <w:rPr>
          <w:szCs w:val="24"/>
        </w:rPr>
        <w:t xml:space="preserve">mūsų siūlomi darbai visiškai atitinka visuose pirkimo dokumentuose nurodytus perkamus darbus; </w:t>
      </w:r>
    </w:p>
    <w:p w14:paraId="1040D345" w14:textId="77777777" w:rsidR="0082087C" w:rsidRPr="008B005A" w:rsidRDefault="0082087C" w:rsidP="0082087C">
      <w:pPr>
        <w:pStyle w:val="Sraopastraipa"/>
        <w:numPr>
          <w:ilvl w:val="0"/>
          <w:numId w:val="5"/>
        </w:numPr>
        <w:tabs>
          <w:tab w:val="left" w:pos="993"/>
        </w:tabs>
        <w:ind w:left="0" w:firstLine="709"/>
        <w:rPr>
          <w:szCs w:val="24"/>
        </w:rPr>
      </w:pPr>
      <w:r w:rsidRPr="008B005A">
        <w:rPr>
          <w:szCs w:val="24"/>
        </w:rPr>
        <w:t>sutinku su visomis pirkimo dokumentuose nustatytomis sąlygomis;</w:t>
      </w:r>
    </w:p>
    <w:p w14:paraId="21F5AC13" w14:textId="77777777" w:rsidR="0082087C" w:rsidRPr="008B005A" w:rsidRDefault="0082087C" w:rsidP="0082087C">
      <w:pPr>
        <w:pStyle w:val="Sraopastraipa"/>
        <w:numPr>
          <w:ilvl w:val="0"/>
          <w:numId w:val="5"/>
        </w:numPr>
        <w:tabs>
          <w:tab w:val="left" w:pos="567"/>
          <w:tab w:val="left" w:pos="993"/>
        </w:tabs>
        <w:ind w:left="0" w:firstLine="709"/>
        <w:rPr>
          <w:szCs w:val="24"/>
        </w:rPr>
      </w:pPr>
      <w:r w:rsidRPr="008B005A">
        <w:rPr>
          <w:rFonts w:eastAsia="Calibri"/>
          <w:szCs w:val="24"/>
        </w:rPr>
        <w:t>taip pat mes patvirtiname, kad visa pasiūlyme pateikta informacija yra teisinga, atitinka tikrovę ir apima viską, ko reikia visiškam ir tinkamam sutarties įvykdymui.</w:t>
      </w:r>
    </w:p>
    <w:p w14:paraId="3D319EC6" w14:textId="77777777" w:rsidR="004A62EF" w:rsidRDefault="004A62EF"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lastRenderedPageBreak/>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5840EE01"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2791C9B" w14:textId="62AF720F" w:rsidR="0082087C" w:rsidRPr="000B0747" w:rsidRDefault="0082087C" w:rsidP="0082087C">
      <w:pPr>
        <w:spacing w:after="0" w:line="240" w:lineRule="auto"/>
        <w:ind w:firstLine="567"/>
        <w:jc w:val="both"/>
        <w:rPr>
          <w:rFonts w:ascii="Times New Roman" w:eastAsia="Calibri" w:hAnsi="Times New Roman" w:cs="Times New Roman"/>
          <w:b/>
          <w:sz w:val="24"/>
          <w:szCs w:val="24"/>
        </w:rPr>
      </w:pPr>
      <w:bookmarkStart w:id="2" w:name="_GoBack"/>
      <w:r w:rsidRPr="000B0747">
        <w:rPr>
          <w:rFonts w:ascii="Times New Roman" w:eastAsia="Calibri" w:hAnsi="Times New Roman" w:cs="Times New Roman"/>
          <w:b/>
          <w:sz w:val="24"/>
          <w:szCs w:val="24"/>
        </w:rPr>
        <w:t xml:space="preserve">Deklaruojame, kad šiame pasiūlyme nurodytas dalyvis, visi tiekėjų grupės partneriai (jei pasiūlymą pateikia tiekėjų grupė), visi subtiekėjai ir kiti asmenys, kurių </w:t>
      </w:r>
      <w:proofErr w:type="spellStart"/>
      <w:r w:rsidRPr="000B0747">
        <w:rPr>
          <w:rFonts w:ascii="Times New Roman" w:eastAsia="Calibri" w:hAnsi="Times New Roman" w:cs="Times New Roman"/>
          <w:b/>
          <w:sz w:val="24"/>
          <w:szCs w:val="24"/>
        </w:rPr>
        <w:t>pajėgumais</w:t>
      </w:r>
      <w:proofErr w:type="spellEnd"/>
      <w:r w:rsidRPr="000B0747">
        <w:rPr>
          <w:rFonts w:ascii="Times New Roman" w:eastAsia="Calibri" w:hAnsi="Times New Roman" w:cs="Times New Roman"/>
          <w:b/>
          <w:sz w:val="24"/>
          <w:szCs w:val="24"/>
        </w:rPr>
        <w:t xml:space="preserve"> remiasi dalyvis, atitinka pirkimo dokumentų III skyriuje nurodytus pašalinimo pagrindų nebuvimo, kvalifikacijos reikalavimus,  </w:t>
      </w:r>
      <w:r w:rsidRPr="000B0747">
        <w:rPr>
          <w:rFonts w:ascii="Times New Roman" w:hAnsi="Times New Roman" w:cs="Times New Roman"/>
          <w:b/>
          <w:bCs/>
          <w:sz w:val="24"/>
          <w:szCs w:val="24"/>
        </w:rPr>
        <w:t>jeigu taikytina, reikalaujamus kokybės vadybos sistemos ir (arba) aplinkos apsaugos vadybos sistemos standartus,</w:t>
      </w:r>
      <w:r w:rsidRPr="000B0747">
        <w:rPr>
          <w:rFonts w:ascii="Times New Roman" w:eastAsia="Calibri" w:hAnsi="Times New Roman" w:cs="Times New Roman"/>
          <w:b/>
          <w:sz w:val="24"/>
          <w:szCs w:val="24"/>
        </w:rPr>
        <w:t xml:space="preserve"> perkančiajai organizacijai paprašius, įsipareigojame pateikti pirkimo dokumentų III skyriuje Reikalavimų Tiekėjui atitiktį pagrindžiančius dokumentus.</w:t>
      </w:r>
    </w:p>
    <w:bookmarkEnd w:id="2"/>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3"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3"/>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6BD6" w14:textId="77777777" w:rsidR="005A5F49" w:rsidRDefault="005A5F49" w:rsidP="00191CC4">
      <w:pPr>
        <w:spacing w:after="0" w:line="240" w:lineRule="auto"/>
      </w:pPr>
      <w:r>
        <w:separator/>
      </w:r>
    </w:p>
  </w:endnote>
  <w:endnote w:type="continuationSeparator" w:id="0">
    <w:p w14:paraId="3DC9F375" w14:textId="77777777" w:rsidR="005A5F49" w:rsidRDefault="005A5F4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BEE62" w14:textId="77777777" w:rsidR="005A5F49" w:rsidRDefault="005A5F49" w:rsidP="00191CC4">
      <w:pPr>
        <w:spacing w:after="0" w:line="240" w:lineRule="auto"/>
      </w:pPr>
      <w:r>
        <w:separator/>
      </w:r>
    </w:p>
  </w:footnote>
  <w:footnote w:type="continuationSeparator" w:id="0">
    <w:p w14:paraId="72F39CBC" w14:textId="77777777" w:rsidR="005A5F49" w:rsidRDefault="005A5F49"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36C916D7" w:rsidR="00AD429D" w:rsidRDefault="009D3C6F" w:rsidP="002D02F9">
        <w:pPr>
          <w:pStyle w:val="Antrats"/>
          <w:jc w:val="center"/>
        </w:pPr>
        <w:r>
          <w:fldChar w:fldCharType="begin"/>
        </w:r>
        <w:r w:rsidR="00AD429D">
          <w:instrText>PAGE   \* MERGEFORMAT</w:instrText>
        </w:r>
        <w:r>
          <w:fldChar w:fldCharType="separate"/>
        </w:r>
        <w:r w:rsidR="000B074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74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5F49"/>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1DD"/>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B6E0B"/>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087C"/>
    <w:rsid w:val="00822642"/>
    <w:rsid w:val="008278E4"/>
    <w:rsid w:val="00827BBE"/>
    <w:rsid w:val="00833949"/>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D99"/>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433A"/>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4F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3337"/>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FD5EE-798B-4CE5-A544-7A7DDD54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3059</Words>
  <Characters>1745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Modestas Budrys</cp:lastModifiedBy>
  <cp:revision>9</cp:revision>
  <cp:lastPrinted>2022-03-04T06:33:00Z</cp:lastPrinted>
  <dcterms:created xsi:type="dcterms:W3CDTF">2025-02-12T08:46:00Z</dcterms:created>
  <dcterms:modified xsi:type="dcterms:W3CDTF">2025-02-25T06:30:00Z</dcterms:modified>
</cp:coreProperties>
</file>