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6E5A04" w:rsidRDefault="00B24EA4" w:rsidP="0089154A">
      <w:pPr>
        <w:pStyle w:val="NoSpacing"/>
        <w:jc w:val="center"/>
        <w:rPr>
          <w:b/>
        </w:rPr>
      </w:pPr>
      <w:r>
        <w:rPr>
          <w:b/>
        </w:rPr>
        <w:t>ELEKTROS ĮRENGINIŲ MONTAVIMO</w:t>
      </w:r>
      <w:r w:rsidR="00A53DAF">
        <w:rPr>
          <w:b/>
        </w:rPr>
        <w:t xml:space="preserve"> PASLAUGOS</w:t>
      </w:r>
    </w:p>
    <w:p w:rsidR="00A53DAF" w:rsidRDefault="00A53DAF" w:rsidP="0089154A">
      <w:pPr>
        <w:pStyle w:val="NoSpacing"/>
        <w:jc w:val="center"/>
        <w:rPr>
          <w:b/>
        </w:rPr>
      </w:pPr>
    </w:p>
    <w:p w:rsidR="00A53DAF" w:rsidRPr="00A53DAF" w:rsidRDefault="00B24EA4" w:rsidP="0089154A">
      <w:pPr>
        <w:pStyle w:val="NoSpacing"/>
        <w:jc w:val="center"/>
        <w:rPr>
          <w:i/>
        </w:rPr>
      </w:pPr>
      <w:r>
        <w:rPr>
          <w:i/>
        </w:rPr>
        <w:t>Karaliaus Mindaugo g. 11, Rukla, Jonavos r.</w:t>
      </w:r>
    </w:p>
    <w:p w:rsidR="000132FA" w:rsidRPr="006E5A04" w:rsidRDefault="000132FA" w:rsidP="0089154A">
      <w:pPr>
        <w:pStyle w:val="NoSpacing"/>
        <w:jc w:val="center"/>
        <w:rPr>
          <w:b/>
        </w:rPr>
      </w:pP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C90129"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Paslaugos</w:t>
            </w:r>
            <w:r w:rsidR="006E5A04" w:rsidRPr="00131D1A">
              <w:rPr>
                <w:rFonts w:ascii="Times New Roman" w:eastAsia="Times New Roman" w:hAnsi="Times New Roman" w:cs="Times New Roman"/>
                <w:sz w:val="24"/>
                <w:szCs w:val="24"/>
              </w:rPr>
              <w:t xml:space="preserve">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B159DB"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Pasiūlymų palyginamoji</w:t>
            </w:r>
            <w:r w:rsidR="006E5A04">
              <w:rPr>
                <w:rFonts w:ascii="Times New Roman" w:eastAsia="Times New Roman" w:hAnsi="Times New Roman" w:cs="Times New Roman"/>
                <w:sz w:val="24"/>
                <w:szCs w:val="24"/>
              </w:rPr>
              <w:t xml:space="preserve"> kaina </w:t>
            </w:r>
            <w:proofErr w:type="spellStart"/>
            <w:r w:rsidR="006E5A04">
              <w:rPr>
                <w:rFonts w:ascii="Times New Roman" w:eastAsia="Times New Roman" w:hAnsi="Times New Roman" w:cs="Times New Roman"/>
                <w:sz w:val="24"/>
                <w:szCs w:val="24"/>
              </w:rPr>
              <w:t>Eur</w:t>
            </w:r>
            <w:proofErr w:type="spellEnd"/>
            <w:r w:rsidR="006E5A04">
              <w:rPr>
                <w:rFonts w:ascii="Times New Roman" w:eastAsia="Times New Roman" w:hAnsi="Times New Roman" w:cs="Times New Roman"/>
                <w:sz w:val="24"/>
                <w:szCs w:val="24"/>
              </w:rPr>
              <w:t xml:space="preserve"> su PVM</w:t>
            </w:r>
            <w:r w:rsidR="00EA0DB1">
              <w:rPr>
                <w:rFonts w:ascii="Times New Roman" w:eastAsia="Times New Roman" w:hAnsi="Times New Roman" w:cs="Times New Roman"/>
                <w:sz w:val="24"/>
                <w:szCs w:val="24"/>
              </w:rPr>
              <w:t>*</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6E5A04" w:rsidRPr="00F84591" w:rsidRDefault="00FF773C" w:rsidP="00A36F2F">
            <w:pPr>
              <w:widowControl w:val="0"/>
              <w:tabs>
                <w:tab w:val="left" w:pos="345"/>
              </w:tabs>
              <w:spacing w:after="0" w:line="240" w:lineRule="auto"/>
              <w:rPr>
                <w:rFonts w:ascii="Times New Roman" w:eastAsia="Times New Roman" w:hAnsi="Times New Roman" w:cs="Times New Roman"/>
                <w:b/>
                <w:snapToGrid w:val="0"/>
                <w:sz w:val="24"/>
                <w:szCs w:val="20"/>
              </w:rPr>
            </w:pPr>
            <w:r w:rsidRPr="00FF773C">
              <w:rPr>
                <w:rFonts w:ascii="Times New Roman" w:eastAsia="Times New Roman" w:hAnsi="Times New Roman" w:cs="Times New Roman"/>
                <w:b/>
                <w:snapToGrid w:val="0"/>
                <w:sz w:val="24"/>
                <w:szCs w:val="20"/>
              </w:rPr>
              <w:t>ELEKTROS ĮRENGINIŲ MONTAVIMO PASLAUGOS</w:t>
            </w:r>
            <w:r>
              <w:rPr>
                <w:rFonts w:ascii="Times New Roman" w:eastAsia="Times New Roman" w:hAnsi="Times New Roman" w:cs="Times New Roman"/>
                <w:b/>
                <w:snapToGrid w:val="0"/>
                <w:sz w:val="24"/>
                <w:szCs w:val="20"/>
              </w:rPr>
              <w:t xml:space="preserve">. </w:t>
            </w:r>
            <w:r w:rsidRPr="00FF773C">
              <w:rPr>
                <w:rFonts w:ascii="Times New Roman" w:eastAsia="Times New Roman" w:hAnsi="Times New Roman" w:cs="Times New Roman"/>
                <w:snapToGrid w:val="0"/>
                <w:sz w:val="24"/>
                <w:szCs w:val="20"/>
              </w:rPr>
              <w:t>Paslaugos kiekiai ir sąlygos nurodytos 2025 m. vasario 12 d. techninėje specifikacijoje Nr. TS-57</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p>
        </w:tc>
      </w:tr>
    </w:tbl>
    <w:p w:rsidR="00F30DF9" w:rsidRDefault="00F30DF9" w:rsidP="006308FA">
      <w:pPr>
        <w:pStyle w:val="NoSpacing"/>
        <w:rPr>
          <w:b/>
        </w:rPr>
      </w:pPr>
    </w:p>
    <w:p w:rsidR="00FF773C" w:rsidRDefault="004105CE" w:rsidP="006308FA">
      <w:pPr>
        <w:pStyle w:val="NoSpacing"/>
        <w:rPr>
          <w:b/>
        </w:rPr>
      </w:pPr>
      <w:r>
        <w:rPr>
          <w:b/>
        </w:rPr>
        <w:t>*</w:t>
      </w:r>
      <w:r w:rsidRPr="004105CE">
        <w:rPr>
          <w:b/>
        </w:rPr>
        <w:t>pasiūlymo palyginimo bendra kaina yra skirta atskirų teikėjų pasiūlymams palyginti. Pasiūlymo palyginamoji kaina sutartyje nenurodoma.</w:t>
      </w:r>
    </w:p>
    <w:p w:rsidR="004105CE" w:rsidRPr="00AC1053" w:rsidRDefault="004105CE" w:rsidP="004105CE">
      <w:pPr>
        <w:pStyle w:val="NoSpacing"/>
        <w:rPr>
          <w:b/>
          <w:i/>
        </w:rPr>
      </w:pPr>
      <w:r w:rsidRPr="00AC1053">
        <w:rPr>
          <w:b/>
          <w:i/>
        </w:rPr>
        <w:t>Pasiūlymo priedas yra neatskiriama pasiūlymo dalis.</w:t>
      </w:r>
    </w:p>
    <w:p w:rsidR="004105CE" w:rsidRDefault="004105CE"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PVM:</w:t>
      </w:r>
      <w:r w:rsidR="00906A5D" w:rsidRPr="009F4759">
        <w:rPr>
          <w:b/>
          <w:u w:val="single"/>
        </w:rPr>
        <w:t>_______________________________________________________</w:t>
      </w:r>
      <w:bookmarkStart w:id="0" w:name="_GoBack"/>
      <w:bookmarkEnd w:id="0"/>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lastRenderedPageBreak/>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Default="00C6233A" w:rsidP="003B2FDF">
      <w:pPr>
        <w:jc w:val="both"/>
      </w:pPr>
      <w:r w:rsidRPr="00C6233A">
        <w:rPr>
          <w:highlight w:val="magenta"/>
        </w:rPr>
        <w:t>Suteikia teisę elektros tinklo ir įrenginių iki 10kV įtampos eksploatavimo darbams; specialiųjų elektros įrenginių eksploatavimo darbams; elektros instaliacijos iki 1000V eksploatavimo darbams. (Valstybinė energetikos inspekcija prie Energetikos ministerijos.</w:t>
      </w:r>
    </w:p>
    <w:p w:rsidR="00C6233A" w:rsidRDefault="00C6233A"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5FB" w:rsidRDefault="006055FB" w:rsidP="0028611A">
      <w:pPr>
        <w:spacing w:after="0" w:line="240" w:lineRule="auto"/>
      </w:pPr>
      <w:r>
        <w:separator/>
      </w:r>
    </w:p>
  </w:endnote>
  <w:endnote w:type="continuationSeparator" w:id="0">
    <w:p w:rsidR="006055FB" w:rsidRDefault="006055FB"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5FB" w:rsidRDefault="006055FB" w:rsidP="0028611A">
      <w:pPr>
        <w:spacing w:after="0" w:line="240" w:lineRule="auto"/>
      </w:pPr>
      <w:r>
        <w:separator/>
      </w:r>
    </w:p>
  </w:footnote>
  <w:footnote w:type="continuationSeparator" w:id="0">
    <w:p w:rsidR="006055FB" w:rsidRDefault="006055FB"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4105CE">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105CE"/>
    <w:rsid w:val="00420E87"/>
    <w:rsid w:val="004302CA"/>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1651"/>
    <w:rsid w:val="00A9443C"/>
    <w:rsid w:val="00AA0ED7"/>
    <w:rsid w:val="00AA530B"/>
    <w:rsid w:val="00AB3B0A"/>
    <w:rsid w:val="00AB7263"/>
    <w:rsid w:val="00AB7B62"/>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33A"/>
    <w:rsid w:val="00C6256D"/>
    <w:rsid w:val="00C80D87"/>
    <w:rsid w:val="00C81E74"/>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0DB1"/>
    <w:rsid w:val="00EA4010"/>
    <w:rsid w:val="00EB36E2"/>
    <w:rsid w:val="00ED05E5"/>
    <w:rsid w:val="00EE159E"/>
    <w:rsid w:val="00EE44CB"/>
    <w:rsid w:val="00EF1037"/>
    <w:rsid w:val="00EF32D5"/>
    <w:rsid w:val="00EF5114"/>
    <w:rsid w:val="00EF5F92"/>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D399"/>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D7372-CD75-4827-9420-4209F149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625</Words>
  <Characters>3568</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7</cp:revision>
  <cp:lastPrinted>2019-01-16T13:34:00Z</cp:lastPrinted>
  <dcterms:created xsi:type="dcterms:W3CDTF">2025-02-10T09:05:00Z</dcterms:created>
  <dcterms:modified xsi:type="dcterms:W3CDTF">2025-03-03T08:08:00Z</dcterms:modified>
</cp:coreProperties>
</file>