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C92FE5">
        <w:rPr>
          <w:sz w:val="19"/>
          <w:szCs w:val="19"/>
          <w:u w:val="single"/>
        </w:rPr>
        <w:t xml:space="preserve">+370 </w:t>
      </w:r>
      <w:r w:rsidR="000C4966" w:rsidRPr="00112F03">
        <w:rPr>
          <w:sz w:val="19"/>
          <w:szCs w:val="19"/>
          <w:u w:val="single"/>
        </w:rPr>
        <w:t>349 69</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Default="0007105D" w:rsidP="00702DB1">
      <w:pPr>
        <w:spacing w:line="360" w:lineRule="auto"/>
        <w:jc w:val="center"/>
        <w:rPr>
          <w:b/>
          <w:sz w:val="28"/>
          <w:szCs w:val="28"/>
        </w:rPr>
      </w:pPr>
      <w:r w:rsidRPr="004C63A4">
        <w:rPr>
          <w:b/>
          <w:sz w:val="28"/>
          <w:szCs w:val="28"/>
        </w:rPr>
        <w:t>MAŽOS VERTĖS PIRKIMAS</w:t>
      </w:r>
    </w:p>
    <w:p w:rsidR="00702DB1" w:rsidRDefault="0007105D" w:rsidP="00702DB1">
      <w:pPr>
        <w:spacing w:line="360" w:lineRule="auto"/>
        <w:jc w:val="center"/>
        <w:rPr>
          <w:b/>
          <w:bCs/>
          <w:smallCaps/>
          <w:sz w:val="28"/>
          <w:szCs w:val="28"/>
        </w:rPr>
      </w:pPr>
      <w:r w:rsidRPr="004C63A4">
        <w:rPr>
          <w:b/>
          <w:sz w:val="28"/>
          <w:szCs w:val="28"/>
        </w:rPr>
        <w:t>„</w:t>
      </w:r>
      <w:r w:rsidR="002F5A24" w:rsidRPr="002F5A24">
        <w:rPr>
          <w:b/>
          <w:color w:val="000000"/>
          <w:sz w:val="28"/>
          <w:szCs w:val="28"/>
        </w:rPr>
        <w:t>AUTOMATINĖS DURYS IR JŲ SUMONTAVIMAS BEI ĮĖJIMO PANDUSO ĮRENGIMAS</w:t>
      </w:r>
      <w:r w:rsidRPr="004C63A4">
        <w:rPr>
          <w:b/>
          <w:bCs/>
          <w:smallCaps/>
          <w:sz w:val="28"/>
          <w:szCs w:val="28"/>
        </w:rPr>
        <w:t>“</w:t>
      </w:r>
    </w:p>
    <w:p w:rsidR="009325E9" w:rsidRDefault="00DB1CCA" w:rsidP="00702DB1">
      <w:pPr>
        <w:spacing w:line="360" w:lineRule="auto"/>
        <w:jc w:val="center"/>
        <w:rPr>
          <w:b/>
          <w:bCs/>
          <w:smallCaps/>
          <w:sz w:val="28"/>
          <w:szCs w:val="28"/>
        </w:rPr>
      </w:pPr>
      <w:r w:rsidRPr="004C63A4">
        <w:rPr>
          <w:b/>
          <w:bCs/>
          <w:smallCaps/>
          <w:sz w:val="28"/>
          <w:szCs w:val="28"/>
        </w:rPr>
        <w:t>PIRKIMO NUM</w:t>
      </w:r>
      <w:r w:rsidR="001F6207" w:rsidRPr="004C63A4">
        <w:rPr>
          <w:b/>
          <w:bCs/>
          <w:smallCaps/>
          <w:sz w:val="28"/>
          <w:szCs w:val="28"/>
        </w:rPr>
        <w:t>E</w:t>
      </w:r>
      <w:r w:rsidRPr="004C63A4">
        <w:rPr>
          <w:b/>
          <w:bCs/>
          <w:smallCaps/>
          <w:sz w:val="28"/>
          <w:szCs w:val="28"/>
        </w:rPr>
        <w:t xml:space="preserve">RIS CVP IS </w:t>
      </w:r>
      <w:r w:rsidR="00C92FE5">
        <w:rPr>
          <w:b/>
          <w:bCs/>
          <w:smallCaps/>
          <w:sz w:val="28"/>
          <w:szCs w:val="28"/>
        </w:rPr>
        <w:t>1433743</w:t>
      </w:r>
    </w:p>
    <w:p w:rsidR="00800428" w:rsidRPr="004C63A4" w:rsidRDefault="0007105D" w:rsidP="00AB7F13">
      <w:pPr>
        <w:pStyle w:val="Antrat3"/>
        <w:spacing w:after="0" w:line="360" w:lineRule="auto"/>
        <w:jc w:val="center"/>
        <w:rPr>
          <w:b/>
          <w:bCs/>
          <w:caps/>
          <w:sz w:val="28"/>
          <w:szCs w:val="28"/>
        </w:rPr>
      </w:pPr>
      <w:r w:rsidRPr="004C63A4">
        <w:rPr>
          <w:b/>
          <w:bCs/>
          <w:sz w:val="28"/>
          <w:szCs w:val="28"/>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2F5A24"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2F5A24">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2F5A24">
        <w:rPr>
          <w:sz w:val="22"/>
          <w:lang w:eastAsia="lt-LT"/>
        </w:rPr>
        <w:t>supaprastintą viešąjį mažos vertės pirkimą „</w:t>
      </w:r>
      <w:bookmarkEnd w:id="2"/>
      <w:bookmarkEnd w:id="3"/>
      <w:r w:rsidR="002F5A24" w:rsidRPr="002F5A24">
        <w:rPr>
          <w:b/>
          <w:color w:val="000000"/>
          <w:sz w:val="22"/>
        </w:rPr>
        <w:t>AUTOMATINĖS DURYS IR JŲ SUMONTAVIMAS BEI ĮĖJIMO PANDUSO ĮRENGIMAS</w:t>
      </w:r>
      <w:r w:rsidRPr="002F5A24">
        <w:rPr>
          <w:sz w:val="22"/>
          <w:lang w:eastAsia="lt-LT"/>
        </w:rPr>
        <w:t>“ (toliau – Apklausa, pirkimas).</w:t>
      </w:r>
    </w:p>
    <w:p w:rsidR="00800428" w:rsidRPr="002F5A24" w:rsidRDefault="00800428" w:rsidP="004E4FE1">
      <w:pPr>
        <w:pStyle w:val="Pagrindinistekstas2"/>
        <w:numPr>
          <w:ilvl w:val="1"/>
          <w:numId w:val="4"/>
        </w:numPr>
        <w:spacing w:after="0" w:line="240" w:lineRule="auto"/>
        <w:ind w:firstLine="567"/>
        <w:jc w:val="both"/>
        <w:rPr>
          <w:b/>
          <w:sz w:val="22"/>
        </w:rPr>
      </w:pPr>
      <w:r w:rsidRPr="002F5A24">
        <w:rPr>
          <w:sz w:val="22"/>
        </w:rPr>
        <w:t xml:space="preserve">Pirkimui priskirtinas pagrindinis Bendrajame viešųjų pirkimų žodyne (toliau – BVPŽ) nurodytas kodas </w:t>
      </w:r>
      <w:r w:rsidRPr="002F5A24">
        <w:rPr>
          <w:b/>
          <w:sz w:val="22"/>
        </w:rPr>
        <w:t xml:space="preserve">– </w:t>
      </w:r>
      <w:r w:rsidR="002F5A24" w:rsidRPr="002F5A24">
        <w:rPr>
          <w:b/>
          <w:sz w:val="22"/>
        </w:rPr>
        <w:t>44221000-5</w:t>
      </w:r>
      <w:r w:rsidR="00B74C91">
        <w:rPr>
          <w:b/>
          <w:sz w:val="22"/>
        </w:rPr>
        <w:t>, 45000000-7</w:t>
      </w:r>
      <w:r w:rsidR="00D044A8" w:rsidRPr="002F5A24">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770A50">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00B74C91">
        <w:rPr>
          <w:rFonts w:ascii="Times New Roman" w:hAnsi="Times New Roman" w:cs="Times New Roman"/>
          <w:b w:val="0"/>
          <w:i w:val="0"/>
          <w:color w:val="000000" w:themeColor="text1"/>
          <w:sz w:val="22"/>
          <w:szCs w:val="22"/>
          <w:lang w:eastAsia="lt-LT"/>
        </w:rPr>
        <w:t>/paslaugoms/darbams (toliau – p</w:t>
      </w:r>
      <w:r w:rsidR="00A001BA">
        <w:rPr>
          <w:rFonts w:ascii="Times New Roman" w:hAnsi="Times New Roman" w:cs="Times New Roman"/>
          <w:b w:val="0"/>
          <w:i w:val="0"/>
          <w:color w:val="000000" w:themeColor="text1"/>
          <w:sz w:val="22"/>
          <w:szCs w:val="22"/>
          <w:lang w:eastAsia="lt-LT"/>
        </w:rPr>
        <w:t>rekės</w:t>
      </w:r>
      <w:r w:rsidR="00B74C91">
        <w:rPr>
          <w:rFonts w:ascii="Times New Roman" w:hAnsi="Times New Roman" w:cs="Times New Roman"/>
          <w:b w:val="0"/>
          <w:i w:val="0"/>
          <w:color w:val="000000" w:themeColor="text1"/>
          <w:sz w:val="22"/>
          <w:szCs w:val="22"/>
          <w:lang w:eastAsia="lt-LT"/>
        </w:rPr>
        <w:t>/paslaugos/darbai</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B74C91">
        <w:rPr>
          <w:rFonts w:ascii="Times New Roman" w:hAnsi="Times New Roman" w:cs="Times New Roman"/>
          <w:b w:val="0"/>
          <w:i w:val="0"/>
          <w:color w:val="000000" w:themeColor="text1"/>
          <w:sz w:val="22"/>
          <w:szCs w:val="22"/>
        </w:rPr>
        <w:t>T</w:t>
      </w:r>
      <w:r w:rsidRPr="008C3253">
        <w:rPr>
          <w:rFonts w:ascii="Times New Roman" w:hAnsi="Times New Roman" w:cs="Times New Roman"/>
          <w:b w:val="0"/>
          <w:i w:val="0"/>
          <w:color w:val="000000" w:themeColor="text1"/>
          <w:sz w:val="22"/>
          <w:szCs w:val="22"/>
        </w:rPr>
        <w:t xml:space="preserve">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B74C91">
        <w:rPr>
          <w:sz w:val="22"/>
          <w:szCs w:val="22"/>
        </w:rPr>
        <w:t>/paslaugų/darbų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w:t>
      </w:r>
      <w:r w:rsidR="00B74C91">
        <w:rPr>
          <w:iCs/>
          <w:sz w:val="22"/>
          <w:szCs w:val="22"/>
        </w:rPr>
        <w:t>V</w:t>
      </w:r>
      <w:r w:rsidR="00050793" w:rsidRPr="00077320">
        <w:rPr>
          <w:iCs/>
          <w:sz w:val="22"/>
          <w:szCs w:val="22"/>
        </w:rPr>
        <w:t>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į pirkimo objekto dalis</w:t>
      </w:r>
      <w:r w:rsidR="002F5A24">
        <w:rPr>
          <w:b/>
          <w:sz w:val="22"/>
          <w:szCs w:val="22"/>
        </w:rPr>
        <w:t xml:space="preserve"> - neskirstomas</w:t>
      </w:r>
      <w:r w:rsidR="004C418A" w:rsidRPr="009325E9">
        <w:rPr>
          <w:b/>
          <w:sz w:val="22"/>
          <w:szCs w:val="22"/>
        </w:rPr>
        <w:t>.</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C92FE5">
        <w:rPr>
          <w:rFonts w:ascii="Times New Roman" w:hAnsi="Times New Roman" w:cs="Times New Roman"/>
          <w:i w:val="0"/>
          <w:sz w:val="22"/>
          <w:szCs w:val="22"/>
          <w:u w:val="single"/>
        </w:rPr>
        <w:t>3-10</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00B74C91">
        <w:rPr>
          <w:sz w:val="22"/>
          <w:szCs w:val="22"/>
        </w:rPr>
        <w:t xml:space="preserve">turi siūlyti ne mažesnį prekių/paslaugų/darbų </w:t>
      </w:r>
      <w:r w:rsidRPr="00077320">
        <w:rPr>
          <w:sz w:val="22"/>
          <w:szCs w:val="22"/>
        </w:rPr>
        <w:t>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C92FE5">
        <w:rPr>
          <w:b/>
          <w:bCs/>
          <w:sz w:val="22"/>
          <w:szCs w:val="22"/>
        </w:rPr>
        <w:t>3-10</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w:t>
      </w:r>
      <w:r w:rsidR="00C92FE5">
        <w:rPr>
          <w:b/>
          <w:bCs/>
          <w:sz w:val="22"/>
          <w:szCs w:val="22"/>
        </w:rPr>
        <w:t>3-10</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C92FE5">
        <w:rPr>
          <w:b/>
          <w:iCs/>
          <w:sz w:val="22"/>
          <w:szCs w:val="22"/>
          <w:u w:val="single"/>
        </w:rPr>
        <w:t>3-10</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B74C91" w:rsidRDefault="00800428" w:rsidP="00800428">
      <w:pPr>
        <w:tabs>
          <w:tab w:val="left" w:pos="993"/>
          <w:tab w:val="left" w:pos="1418"/>
        </w:tabs>
        <w:ind w:firstLine="720"/>
        <w:jc w:val="both"/>
        <w:rPr>
          <w:sz w:val="22"/>
          <w:szCs w:val="22"/>
        </w:rPr>
      </w:pPr>
      <w:r w:rsidRPr="004D1385">
        <w:rPr>
          <w:sz w:val="22"/>
          <w:szCs w:val="22"/>
        </w:rPr>
        <w:t>11.1</w:t>
      </w:r>
      <w:r w:rsidRPr="00B74C91">
        <w:rPr>
          <w:color w:val="000000" w:themeColor="text1"/>
          <w:sz w:val="22"/>
          <w:szCs w:val="22"/>
        </w:rPr>
        <w:t xml:space="preserve">. </w:t>
      </w:r>
      <w:r w:rsidR="00AD777F" w:rsidRPr="00B74C91">
        <w:rPr>
          <w:color w:val="000000" w:themeColor="text1"/>
          <w:sz w:val="22"/>
          <w:szCs w:val="22"/>
          <w:lang w:val="sv-SE"/>
        </w:rPr>
        <w:t>Perkan</w:t>
      </w:r>
      <w:r w:rsidR="00AD777F" w:rsidRPr="00B74C91">
        <w:rPr>
          <w:color w:val="000000" w:themeColor="text1"/>
          <w:sz w:val="22"/>
          <w:szCs w:val="22"/>
        </w:rPr>
        <w:t xml:space="preserve">čioji organizacija ekonomiškai naudingiausią </w:t>
      </w:r>
      <w:r w:rsidR="00AD777F" w:rsidRPr="00B74C91">
        <w:rPr>
          <w:color w:val="000000" w:themeColor="text1"/>
          <w:sz w:val="22"/>
          <w:szCs w:val="22"/>
          <w:lang w:val="es-ES_tradnl"/>
        </w:rPr>
        <w:t>pasi</w:t>
      </w:r>
      <w:r w:rsidR="00AD777F" w:rsidRPr="00B74C91">
        <w:rPr>
          <w:color w:val="000000" w:themeColor="text1"/>
          <w:sz w:val="22"/>
          <w:szCs w:val="22"/>
        </w:rPr>
        <w:t>ūlymą iš</w:t>
      </w:r>
      <w:r w:rsidR="00AD777F" w:rsidRPr="00B74C91">
        <w:rPr>
          <w:color w:val="000000" w:themeColor="text1"/>
          <w:sz w:val="22"/>
          <w:szCs w:val="22"/>
          <w:lang w:val="es-ES_tradnl"/>
        </w:rPr>
        <w:t>renka pagal</w:t>
      </w:r>
      <w:r w:rsidR="00AD777F" w:rsidRPr="00B74C91">
        <w:rPr>
          <w:color w:val="000000" w:themeColor="text1"/>
          <w:sz w:val="22"/>
          <w:szCs w:val="22"/>
        </w:rPr>
        <w:t xml:space="preserve"> kainą. Ekonomiškai naudingiausiu</w:t>
      </w:r>
      <w:r w:rsidR="00AD777F" w:rsidRPr="00B74C91">
        <w:rPr>
          <w:color w:val="000000" w:themeColor="text1"/>
          <w:sz w:val="22"/>
          <w:szCs w:val="22"/>
          <w:lang w:val="es-ES_tradnl"/>
        </w:rPr>
        <w:t xml:space="preserve"> pasi</w:t>
      </w:r>
      <w:r w:rsidR="00AD777F" w:rsidRPr="00B74C91">
        <w:rPr>
          <w:color w:val="000000" w:themeColor="text1"/>
          <w:sz w:val="22"/>
          <w:szCs w:val="22"/>
        </w:rPr>
        <w:t>ūlymu laikomas mažiausios kainos pasiūlymas</w:t>
      </w:r>
      <w:r w:rsidR="00523773" w:rsidRPr="00B74C91">
        <w:rPr>
          <w:color w:val="000000" w:themeColor="text1"/>
          <w:sz w:val="22"/>
          <w:szCs w:val="22"/>
        </w:rPr>
        <w:t xml:space="preserve">. </w:t>
      </w:r>
      <w:r w:rsidR="00B74C91" w:rsidRPr="00B74C91">
        <w:rPr>
          <w:color w:val="000000" w:themeColor="text1"/>
          <w:sz w:val="22"/>
          <w:szCs w:val="22"/>
        </w:rPr>
        <w:t>Maksimali pasiūlymo (vertinamoji) kaina, kurią viršijus pasiūlymas bus atmestas yra</w:t>
      </w:r>
      <w:r w:rsidR="00B74C91">
        <w:t>:</w:t>
      </w:r>
    </w:p>
    <w:tbl>
      <w:tblPr>
        <w:tblW w:w="10167" w:type="dxa"/>
        <w:tblInd w:w="-108" w:type="dxa"/>
        <w:tblLayout w:type="fixed"/>
        <w:tblCellMar>
          <w:left w:w="10" w:type="dxa"/>
          <w:right w:w="10" w:type="dxa"/>
        </w:tblCellMar>
        <w:tblLook w:val="0000" w:firstRow="0" w:lastRow="0" w:firstColumn="0" w:lastColumn="0" w:noHBand="0" w:noVBand="0"/>
      </w:tblPr>
      <w:tblGrid>
        <w:gridCol w:w="954"/>
        <w:gridCol w:w="7229"/>
        <w:gridCol w:w="1984"/>
      </w:tblGrid>
      <w:tr w:rsidR="00B74C91" w:rsidRPr="005A2AD8" w:rsidTr="00B74C91">
        <w:trPr>
          <w:cantSplit/>
          <w:trHeight w:val="78"/>
        </w:trPr>
        <w:tc>
          <w:tcPr>
            <w:tcW w:w="9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b/>
                <w:bCs/>
                <w:sz w:val="20"/>
                <w:szCs w:val="20"/>
              </w:rPr>
            </w:pPr>
            <w:r w:rsidRPr="00B74C91">
              <w:rPr>
                <w:b/>
                <w:bCs/>
                <w:sz w:val="20"/>
                <w:szCs w:val="20"/>
              </w:rPr>
              <w:t>Eil. Nr.</w:t>
            </w:r>
          </w:p>
        </w:tc>
        <w:tc>
          <w:tcPr>
            <w:tcW w:w="722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jc w:val="center"/>
              <w:rPr>
                <w:b/>
                <w:bCs/>
                <w:sz w:val="20"/>
                <w:szCs w:val="20"/>
              </w:rPr>
            </w:pPr>
            <w:r w:rsidRPr="00B74C91">
              <w:rPr>
                <w:b/>
                <w:bCs/>
                <w:sz w:val="20"/>
                <w:szCs w:val="20"/>
              </w:rPr>
              <w:t>Prekės/paslaugos/darbų pavadinimas</w:t>
            </w:r>
          </w:p>
        </w:tc>
        <w:tc>
          <w:tcPr>
            <w:tcW w:w="1984" w:type="dxa"/>
            <w:tcBorders>
              <w:top w:val="single" w:sz="4" w:space="0" w:color="auto"/>
              <w:bottom w:val="single" w:sz="4" w:space="0" w:color="auto"/>
              <w:right w:val="single" w:sz="4" w:space="0" w:color="auto"/>
            </w:tcBorders>
            <w:shd w:val="clear" w:color="auto" w:fill="FFFFFF"/>
          </w:tcPr>
          <w:p w:rsidR="00B74C91" w:rsidRPr="00B74C91" w:rsidRDefault="00B74C91" w:rsidP="00C92FE5">
            <w:pPr>
              <w:pStyle w:val="Betarp1"/>
              <w:snapToGrid w:val="0"/>
              <w:ind w:left="141"/>
              <w:jc w:val="center"/>
              <w:rPr>
                <w:b/>
                <w:bCs/>
                <w:sz w:val="20"/>
                <w:szCs w:val="20"/>
                <w:lang w:val="pt-BR"/>
              </w:rPr>
            </w:pPr>
            <w:r w:rsidRPr="00B74C91">
              <w:rPr>
                <w:b/>
                <w:bCs/>
                <w:sz w:val="20"/>
                <w:szCs w:val="20"/>
                <w:lang w:val="pt-BR"/>
              </w:rPr>
              <w:t xml:space="preserve">Pasiūlymo kaina, Eur </w:t>
            </w:r>
            <w:r w:rsidR="00C92FE5">
              <w:rPr>
                <w:b/>
                <w:bCs/>
                <w:sz w:val="20"/>
                <w:szCs w:val="20"/>
                <w:lang w:val="pt-BR"/>
              </w:rPr>
              <w:t>su</w:t>
            </w:r>
            <w:r w:rsidRPr="00B74C91">
              <w:rPr>
                <w:b/>
                <w:bCs/>
                <w:sz w:val="20"/>
                <w:szCs w:val="20"/>
                <w:lang w:val="pt-BR"/>
              </w:rPr>
              <w:t xml:space="preserve">  PVM</w:t>
            </w:r>
          </w:p>
        </w:tc>
      </w:tr>
      <w:tr w:rsidR="00B74C91" w:rsidRPr="00B74C91" w:rsidTr="00B74C91">
        <w:trPr>
          <w:trHeight w:val="60"/>
        </w:trPr>
        <w:tc>
          <w:tcPr>
            <w:tcW w:w="954"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center"/>
          </w:tcPr>
          <w:p w:rsidR="00B74C91" w:rsidRPr="00B74C91" w:rsidRDefault="00B74C91" w:rsidP="00D975E4">
            <w:pPr>
              <w:pStyle w:val="Standard"/>
              <w:spacing w:after="0" w:line="240" w:lineRule="auto"/>
              <w:rPr>
                <w:sz w:val="22"/>
                <w:szCs w:val="22"/>
                <w:lang w:val="en-US"/>
              </w:rPr>
            </w:pPr>
            <w:r w:rsidRPr="00B74C91">
              <w:rPr>
                <w:sz w:val="22"/>
                <w:szCs w:val="22"/>
                <w:lang w:val="en-US"/>
              </w:rPr>
              <w:t>1.</w:t>
            </w:r>
          </w:p>
        </w:tc>
        <w:tc>
          <w:tcPr>
            <w:tcW w:w="7229" w:type="dxa"/>
            <w:tcBorders>
              <w:top w:val="single" w:sz="4" w:space="0" w:color="auto"/>
              <w:bottom w:val="single" w:sz="4" w:space="0" w:color="auto"/>
              <w:right w:val="single" w:sz="4" w:space="0" w:color="00000A"/>
            </w:tcBorders>
            <w:shd w:val="clear" w:color="auto" w:fill="auto"/>
            <w:tcMar>
              <w:top w:w="0" w:type="dxa"/>
              <w:left w:w="108" w:type="dxa"/>
              <w:bottom w:w="0" w:type="dxa"/>
              <w:right w:w="108" w:type="dxa"/>
            </w:tcMar>
            <w:vAlign w:val="center"/>
          </w:tcPr>
          <w:p w:rsidR="00B74C91" w:rsidRPr="00B74C91" w:rsidRDefault="00B74C91" w:rsidP="00D975E4">
            <w:pPr>
              <w:pStyle w:val="HTMLiankstoformatuotas"/>
              <w:jc w:val="both"/>
              <w:rPr>
                <w:rStyle w:val="y2iqfc"/>
                <w:rFonts w:ascii="Times New Roman" w:hAnsi="Times New Roman"/>
                <w:sz w:val="22"/>
                <w:szCs w:val="22"/>
              </w:rPr>
            </w:pPr>
            <w:r w:rsidRPr="00B74C91">
              <w:rPr>
                <w:rFonts w:ascii="Times New Roman" w:hAnsi="Times New Roman"/>
                <w:b/>
                <w:color w:val="000000"/>
                <w:sz w:val="22"/>
                <w:szCs w:val="22"/>
              </w:rPr>
              <w:t>Automatinės durys ir jų sumontavimas bei įėjimo panduso įrengimas</w:t>
            </w:r>
          </w:p>
        </w:tc>
        <w:tc>
          <w:tcPr>
            <w:tcW w:w="1984" w:type="dxa"/>
            <w:tcBorders>
              <w:top w:val="single" w:sz="4" w:space="0" w:color="auto"/>
              <w:bottom w:val="single" w:sz="4" w:space="0" w:color="auto"/>
              <w:right w:val="single" w:sz="4" w:space="0" w:color="auto"/>
            </w:tcBorders>
          </w:tcPr>
          <w:p w:rsidR="00B74C91" w:rsidRPr="00B74C91" w:rsidRDefault="00C92FE5" w:rsidP="00C92FE5">
            <w:pPr>
              <w:jc w:val="center"/>
              <w:rPr>
                <w:sz w:val="22"/>
                <w:szCs w:val="22"/>
              </w:rPr>
            </w:pPr>
            <w:r>
              <w:rPr>
                <w:sz w:val="22"/>
                <w:szCs w:val="22"/>
              </w:rPr>
              <w:t>24</w:t>
            </w:r>
            <w:r w:rsidR="00B74C91" w:rsidRPr="00B74C91">
              <w:rPr>
                <w:sz w:val="22"/>
                <w:szCs w:val="22"/>
              </w:rPr>
              <w:t>000,00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rekių</w:t>
      </w:r>
      <w:r w:rsidR="00B74C91">
        <w:rPr>
          <w:sz w:val="22"/>
          <w:szCs w:val="22"/>
        </w:rPr>
        <w:t>/paslaugų/darbų</w:t>
      </w:r>
      <w:r w:rsidR="00BD6D67">
        <w:rPr>
          <w:sz w:val="22"/>
          <w:szCs w:val="22"/>
        </w:rPr>
        <w:t xml:space="preserve">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0C4966" w:rsidRPr="008C3253"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t xml:space="preserve">      Vidas Kačiušis</w:t>
      </w: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2F5A24" w:rsidRDefault="000C4966" w:rsidP="000C4966">
      <w:pPr>
        <w:jc w:val="center"/>
        <w:rPr>
          <w:b/>
          <w:noProof/>
          <w:sz w:val="22"/>
          <w:szCs w:val="22"/>
        </w:rPr>
      </w:pPr>
      <w:r w:rsidRPr="002F5A24">
        <w:rPr>
          <w:b/>
          <w:sz w:val="22"/>
          <w:szCs w:val="22"/>
        </w:rPr>
        <w:t xml:space="preserve">PASIŪLYMAS </w:t>
      </w:r>
      <w:r w:rsidR="0031691E" w:rsidRPr="002F5A24">
        <w:rPr>
          <w:b/>
          <w:sz w:val="22"/>
          <w:szCs w:val="22"/>
        </w:rPr>
        <w:t>PIRKIMUI „</w:t>
      </w:r>
      <w:r w:rsidR="002F5A24" w:rsidRPr="002F5A24">
        <w:rPr>
          <w:b/>
          <w:sz w:val="22"/>
          <w:szCs w:val="22"/>
        </w:rPr>
        <w:t>AUTOMATINĖS DURYS IR JŲ SUMONTAVIMAS BEI ĮĖJIMO PANDUSO ĮRENGIMAS</w:t>
      </w:r>
      <w:r w:rsidR="0031691E" w:rsidRPr="002F5A24">
        <w:rPr>
          <w:b/>
          <w:sz w:val="22"/>
          <w:szCs w:val="22"/>
        </w:rPr>
        <w:t xml:space="preserve">“ </w:t>
      </w:r>
      <w:r w:rsidR="008526CF" w:rsidRPr="002F5A24">
        <w:rPr>
          <w:b/>
          <w:noProof/>
          <w:sz w:val="22"/>
          <w:szCs w:val="22"/>
        </w:rPr>
        <w:t xml:space="preserve"> </w:t>
      </w:r>
    </w:p>
    <w:p w:rsidR="00FB6375" w:rsidRPr="002F5A24" w:rsidRDefault="00FB6375" w:rsidP="000C4966">
      <w:pPr>
        <w:jc w:val="center"/>
        <w:rPr>
          <w:b/>
          <w:sz w:val="22"/>
          <w:szCs w:val="22"/>
        </w:rPr>
      </w:pPr>
      <w:r w:rsidRPr="002F5A24">
        <w:rPr>
          <w:b/>
          <w:noProof/>
          <w:sz w:val="22"/>
          <w:szCs w:val="22"/>
        </w:rPr>
        <w:t>(pirkimo numeris</w:t>
      </w:r>
      <w:r w:rsidR="00730B82" w:rsidRPr="002F5A24">
        <w:rPr>
          <w:b/>
          <w:noProof/>
          <w:sz w:val="22"/>
          <w:szCs w:val="22"/>
        </w:rPr>
        <w:t xml:space="preserve"> </w:t>
      </w:r>
      <w:r w:rsidR="00C92FE5">
        <w:rPr>
          <w:b/>
          <w:noProof/>
          <w:sz w:val="22"/>
          <w:szCs w:val="22"/>
        </w:rPr>
        <w:t>1433743</w:t>
      </w:r>
      <w:bookmarkStart w:id="10" w:name="_GoBack"/>
      <w:bookmarkEnd w:id="10"/>
      <w:r w:rsidR="00D975ED" w:rsidRPr="002F5A24">
        <w:rPr>
          <w:b/>
          <w:noProof/>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B74C91" w:rsidP="0001503D">
      <w:pPr>
        <w:ind w:firstLine="567"/>
        <w:jc w:val="both"/>
        <w:rPr>
          <w:sz w:val="22"/>
          <w:szCs w:val="22"/>
        </w:rPr>
      </w:pPr>
      <w:r>
        <w:rPr>
          <w:sz w:val="22"/>
          <w:szCs w:val="22"/>
        </w:rPr>
        <w:t>6. Siūlomos p</w:t>
      </w:r>
      <w:r w:rsidR="00AA396A">
        <w:rPr>
          <w:sz w:val="22"/>
          <w:szCs w:val="22"/>
        </w:rPr>
        <w:t>rekės</w:t>
      </w:r>
      <w:r>
        <w:rPr>
          <w:sz w:val="22"/>
          <w:szCs w:val="22"/>
        </w:rPr>
        <w:t>/paslaugos/darbai</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C50A09" w:rsidRDefault="000C4966" w:rsidP="000C4966">
      <w:pPr>
        <w:ind w:firstLine="720"/>
        <w:jc w:val="both"/>
        <w:rPr>
          <w:b/>
          <w:sz w:val="22"/>
          <w:szCs w:val="22"/>
        </w:rPr>
      </w:pPr>
      <w:r w:rsidRPr="00C50A09">
        <w:rPr>
          <w:b/>
          <w:sz w:val="22"/>
          <w:szCs w:val="22"/>
        </w:rPr>
        <w:t>Siūlome šias p</w:t>
      </w:r>
      <w:r w:rsidR="00AA396A" w:rsidRPr="00C50A09">
        <w:rPr>
          <w:b/>
          <w:sz w:val="22"/>
          <w:szCs w:val="22"/>
        </w:rPr>
        <w:t>rekes</w:t>
      </w:r>
      <w:r w:rsidR="00807E81" w:rsidRPr="00C50A09">
        <w:rPr>
          <w:b/>
          <w:sz w:val="22"/>
          <w:szCs w:val="22"/>
        </w:rPr>
        <w:t>/paslaugas/darbus</w:t>
      </w:r>
      <w:r w:rsidRPr="00C50A09">
        <w:rPr>
          <w:b/>
          <w:sz w:val="22"/>
          <w:szCs w:val="22"/>
        </w:rPr>
        <w:t xml:space="preserve">: </w:t>
      </w:r>
    </w:p>
    <w:p w:rsidR="00CC32F8" w:rsidRPr="00C50A09" w:rsidRDefault="00CC32F8" w:rsidP="00C50A09">
      <w:pPr>
        <w:spacing w:before="120" w:after="120"/>
        <w:ind w:firstLine="720"/>
        <w:jc w:val="center"/>
        <w:rPr>
          <w:b/>
          <w:sz w:val="22"/>
          <w:szCs w:val="22"/>
        </w:rPr>
      </w:pPr>
      <w:r w:rsidRPr="00C50A09">
        <w:rPr>
          <w:b/>
          <w:sz w:val="22"/>
          <w:szCs w:val="22"/>
        </w:rPr>
        <w:t>TECHNINĖ SPECIFIKACIJA:</w:t>
      </w:r>
    </w:p>
    <w:tbl>
      <w:tblPr>
        <w:tblW w:w="948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2410"/>
        <w:gridCol w:w="850"/>
        <w:gridCol w:w="1216"/>
        <w:gridCol w:w="1477"/>
        <w:gridCol w:w="2552"/>
      </w:tblGrid>
      <w:tr w:rsidR="00807E81" w:rsidRPr="00766B6D" w:rsidTr="00807E81">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807E81" w:rsidRPr="00AC0359" w:rsidRDefault="00C50A09" w:rsidP="00C50A09">
            <w:pPr>
              <w:widowControl w:val="0"/>
              <w:tabs>
                <w:tab w:val="left" w:pos="1440"/>
                <w:tab w:val="left" w:pos="1620"/>
                <w:tab w:val="left" w:pos="2880"/>
                <w:tab w:val="left" w:pos="3240"/>
              </w:tabs>
              <w:rPr>
                <w:b/>
                <w:sz w:val="18"/>
                <w:szCs w:val="18"/>
              </w:rPr>
            </w:pPr>
            <w:r>
              <w:rPr>
                <w:b/>
                <w:sz w:val="18"/>
                <w:szCs w:val="18"/>
              </w:rPr>
              <w:t>E</w:t>
            </w:r>
            <w:r w:rsidR="00807E81" w:rsidRPr="00AC0359">
              <w:rPr>
                <w:b/>
                <w:sz w:val="18"/>
                <w:szCs w:val="18"/>
              </w:rPr>
              <w:t>il. Nr.</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Prekės</w:t>
            </w:r>
            <w:r w:rsidR="00C50A09">
              <w:rPr>
                <w:b/>
                <w:sz w:val="18"/>
                <w:szCs w:val="18"/>
              </w:rPr>
              <w:t>/paslaugos/darbų</w:t>
            </w:r>
            <w:r w:rsidRPr="00AC0359">
              <w:rPr>
                <w:b/>
                <w:sz w:val="18"/>
                <w:szCs w:val="18"/>
              </w:rPr>
              <w:t xml:space="preserve">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807E81" w:rsidRPr="00AC0359" w:rsidRDefault="00807E81" w:rsidP="00AE7EB0">
            <w:pPr>
              <w:widowControl w:val="0"/>
              <w:tabs>
                <w:tab w:val="left" w:pos="1440"/>
                <w:tab w:val="left" w:pos="1620"/>
                <w:tab w:val="left" w:pos="2880"/>
                <w:tab w:val="left" w:pos="3240"/>
              </w:tabs>
              <w:ind w:left="113" w:right="113"/>
              <w:jc w:val="center"/>
              <w:rPr>
                <w:b/>
                <w:sz w:val="18"/>
                <w:szCs w:val="18"/>
              </w:rPr>
            </w:pPr>
            <w:r w:rsidRPr="00AC0359">
              <w:rPr>
                <w:b/>
                <w:sz w:val="18"/>
                <w:szCs w:val="18"/>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Pr>
                <w:b/>
                <w:sz w:val="18"/>
                <w:szCs w:val="18"/>
              </w:rPr>
              <w:t>1 vnt. p</w:t>
            </w:r>
            <w:r w:rsidRPr="00AC0359">
              <w:rPr>
                <w:b/>
                <w:sz w:val="18"/>
                <w:szCs w:val="18"/>
              </w:rPr>
              <w:t xml:space="preserve">asiūlymo  kaina, Eur </w:t>
            </w:r>
            <w:r>
              <w:rPr>
                <w:b/>
                <w:sz w:val="18"/>
                <w:szCs w:val="18"/>
              </w:rPr>
              <w:t>su</w:t>
            </w:r>
            <w:r w:rsidRPr="00AC0359">
              <w:rPr>
                <w:b/>
                <w:sz w:val="18"/>
                <w:szCs w:val="18"/>
              </w:rPr>
              <w:t xml:space="preserve"> PVM</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AC0359" w:rsidRDefault="00807E81" w:rsidP="00AE7EB0">
            <w:pPr>
              <w:widowControl w:val="0"/>
              <w:tabs>
                <w:tab w:val="left" w:pos="1440"/>
                <w:tab w:val="left" w:pos="1620"/>
                <w:tab w:val="left" w:pos="2880"/>
                <w:tab w:val="left" w:pos="3240"/>
              </w:tabs>
              <w:jc w:val="center"/>
              <w:rPr>
                <w:b/>
                <w:sz w:val="18"/>
                <w:szCs w:val="18"/>
              </w:rPr>
            </w:pPr>
            <w:r w:rsidRPr="00AC0359">
              <w:rPr>
                <w:b/>
                <w:sz w:val="18"/>
                <w:szCs w:val="18"/>
              </w:rPr>
              <w:t xml:space="preserve">Pasiūlymo  kaina, Eur su PVM   </w:t>
            </w:r>
            <w:r w:rsidRPr="00AC0359">
              <w:rPr>
                <w:b/>
                <w:color w:val="0070C0"/>
                <w:sz w:val="18"/>
                <w:szCs w:val="18"/>
              </w:rPr>
              <w:t>(skaičiais)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AC0359" w:rsidRDefault="00807E81" w:rsidP="00AE7EB0">
            <w:pPr>
              <w:suppressAutoHyphens/>
              <w:snapToGrid w:val="0"/>
              <w:jc w:val="center"/>
              <w:rPr>
                <w:b/>
                <w:sz w:val="18"/>
                <w:szCs w:val="18"/>
              </w:rPr>
            </w:pPr>
            <w:r w:rsidRPr="00AC0359">
              <w:rPr>
                <w:b/>
                <w:sz w:val="18"/>
                <w:szCs w:val="18"/>
              </w:rPr>
              <w:t>Siūlomų prekių pavadinimas (modelis), gamintojas, kilmės šalis</w:t>
            </w:r>
            <w:r>
              <w:rPr>
                <w:b/>
                <w:sz w:val="18"/>
                <w:szCs w:val="18"/>
              </w:rPr>
              <w:t>, garantija (prekėms, paslaugos ir darbams)</w:t>
            </w:r>
          </w:p>
          <w:p w:rsidR="00807E81" w:rsidRPr="00AC0359" w:rsidRDefault="00807E81" w:rsidP="00AE7EB0">
            <w:pPr>
              <w:suppressAutoHyphens/>
              <w:snapToGrid w:val="0"/>
              <w:jc w:val="center"/>
              <w:rPr>
                <w:b/>
                <w:sz w:val="18"/>
                <w:szCs w:val="18"/>
              </w:rPr>
            </w:pPr>
            <w:r w:rsidRPr="00AC0359">
              <w:rPr>
                <w:b/>
                <w:sz w:val="18"/>
                <w:szCs w:val="18"/>
              </w:rPr>
              <w:t>PILDYTI PRIVALOMA</w:t>
            </w:r>
          </w:p>
          <w:p w:rsidR="00807E81" w:rsidRPr="00AC0359" w:rsidRDefault="00807E81" w:rsidP="00807E81">
            <w:pPr>
              <w:suppressAutoHyphens/>
              <w:snapToGrid w:val="0"/>
              <w:jc w:val="center"/>
              <w:rPr>
                <w:b/>
                <w:sz w:val="18"/>
                <w:szCs w:val="18"/>
                <w:highlight w:val="yellow"/>
              </w:rPr>
            </w:pPr>
            <w:r w:rsidRPr="00AC0359">
              <w:rPr>
                <w:b/>
                <w:sz w:val="18"/>
                <w:szCs w:val="18"/>
              </w:rPr>
              <w:t xml:space="preserve">NEUŽPILDŽIUS TIKSLIŲ </w:t>
            </w:r>
            <w:r w:rsidRPr="00AC0359">
              <w:rPr>
                <w:b/>
                <w:sz w:val="18"/>
                <w:szCs w:val="18"/>
                <w:highlight w:val="green"/>
              </w:rPr>
              <w:t xml:space="preserve">DUOMENŲ (MODELIS, </w:t>
            </w:r>
            <w:r w:rsidRPr="00AC0359">
              <w:rPr>
                <w:b/>
                <w:sz w:val="18"/>
                <w:szCs w:val="18"/>
                <w:highlight w:val="green"/>
                <w:shd w:val="clear" w:color="auto" w:fill="92D050"/>
              </w:rPr>
              <w:t>GAMINTOJAS, KILMĖS ŠALIS)</w:t>
            </w:r>
          </w:p>
        </w:tc>
      </w:tr>
      <w:tr w:rsidR="00807E81" w:rsidRPr="00766B6D" w:rsidTr="00807E81">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766B6D" w:rsidRDefault="00807E81"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807E81" w:rsidRPr="00766B6D" w:rsidRDefault="00807E81" w:rsidP="00B93ACF">
            <w:pPr>
              <w:suppressAutoHyphens/>
              <w:snapToGrid w:val="0"/>
              <w:jc w:val="center"/>
              <w:rPr>
                <w:b/>
                <w:sz w:val="20"/>
                <w:szCs w:val="20"/>
              </w:rPr>
            </w:pPr>
            <w:r>
              <w:rPr>
                <w:b/>
                <w:sz w:val="20"/>
                <w:szCs w:val="20"/>
              </w:rPr>
              <w:t>6</w:t>
            </w: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both"/>
              <w:outlineLvl w:val="0"/>
              <w:rPr>
                <w:b/>
                <w:sz w:val="22"/>
                <w:szCs w:val="22"/>
              </w:rPr>
            </w:pPr>
            <w:r w:rsidRPr="00B74C91">
              <w:rPr>
                <w:b/>
                <w:sz w:val="22"/>
                <w:szCs w:val="22"/>
              </w:rPr>
              <w:t>Automatinės durys ir jų sumontavimas</w:t>
            </w:r>
          </w:p>
          <w:p w:rsidR="00807E81" w:rsidRPr="00B74C91" w:rsidRDefault="00807E81" w:rsidP="002F5A24">
            <w:pPr>
              <w:jc w:val="both"/>
              <w:outlineLvl w:val="0"/>
              <w:rPr>
                <w:bCs/>
                <w:color w:val="FF0000"/>
                <w:kern w:val="36"/>
                <w:sz w:val="22"/>
                <w:szCs w:val="22"/>
                <w:lang w:eastAsia="lt-LT"/>
              </w:rPr>
            </w:pPr>
            <w:r w:rsidRPr="00B74C91">
              <w:rPr>
                <w:sz w:val="22"/>
                <w:szCs w:val="22"/>
              </w:rPr>
              <w:t xml:space="preserve">Garantija </w:t>
            </w:r>
            <w:r w:rsidRPr="00B74C91">
              <w:rPr>
                <w:sz w:val="22"/>
                <w:szCs w:val="22"/>
                <w:u w:val="single"/>
              </w:rPr>
              <w:t>&gt;</w:t>
            </w:r>
            <w:r w:rsidRPr="00B74C91">
              <w:rPr>
                <w:sz w:val="22"/>
                <w:szCs w:val="22"/>
              </w:rPr>
              <w:t xml:space="preserve"> 24 mėn.</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2F5A24">
            <w:pPr>
              <w:jc w:val="center"/>
              <w:outlineLvl w:val="0"/>
              <w:rPr>
                <w:bCs/>
                <w:kern w:val="36"/>
                <w:sz w:val="22"/>
                <w:szCs w:val="22"/>
                <w:lang w:eastAsia="lt-LT"/>
              </w:rPr>
            </w:pPr>
            <w:r w:rsidRPr="00B74C91">
              <w:rPr>
                <w:bCs/>
                <w:kern w:val="36"/>
                <w:sz w:val="22"/>
                <w:szCs w:val="22"/>
                <w:lang w:eastAsia="lt-LT"/>
              </w:rPr>
              <w:t>2 vnt.</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AE7EB0">
            <w:pPr>
              <w:widowControl w:val="0"/>
              <w:tabs>
                <w:tab w:val="left" w:pos="1440"/>
                <w:tab w:val="left" w:pos="1620"/>
                <w:tab w:val="left" w:pos="2880"/>
                <w:tab w:val="left" w:pos="3240"/>
              </w:tabs>
              <w:rPr>
                <w:b/>
                <w:sz w:val="22"/>
                <w:szCs w:val="22"/>
                <w:highlight w:val="yellow"/>
              </w:rPr>
            </w:pPr>
          </w:p>
        </w:tc>
      </w:tr>
      <w:tr w:rsidR="00807E81" w:rsidRPr="00B74C91" w:rsidTr="00807E81">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b/>
                <w:sz w:val="22"/>
                <w:szCs w:val="22"/>
              </w:rPr>
            </w:pPr>
            <w:r w:rsidRPr="00B74C91">
              <w:rPr>
                <w:b/>
                <w:sz w:val="22"/>
                <w:szCs w:val="22"/>
              </w:rPr>
              <w:t>2.</w:t>
            </w:r>
          </w:p>
        </w:tc>
        <w:tc>
          <w:tcPr>
            <w:tcW w:w="241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B74C91">
            <w:pPr>
              <w:jc w:val="both"/>
              <w:outlineLvl w:val="0"/>
              <w:rPr>
                <w:color w:val="FF0000"/>
                <w:sz w:val="22"/>
                <w:szCs w:val="22"/>
              </w:rPr>
            </w:pPr>
            <w:r w:rsidRPr="00B74C91">
              <w:rPr>
                <w:b/>
                <w:sz w:val="22"/>
                <w:szCs w:val="22"/>
              </w:rPr>
              <w:t>Pagrindinio įėjimo panduso įrengimas</w:t>
            </w:r>
          </w:p>
        </w:tc>
        <w:tc>
          <w:tcPr>
            <w:tcW w:w="850"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jc w:val="center"/>
              <w:outlineLvl w:val="0"/>
              <w:rPr>
                <w:bCs/>
                <w:kern w:val="36"/>
                <w:sz w:val="22"/>
                <w:szCs w:val="22"/>
                <w:lang w:eastAsia="lt-LT"/>
              </w:rPr>
            </w:pPr>
            <w:r w:rsidRPr="00B74C91">
              <w:rPr>
                <w:bCs/>
                <w:kern w:val="36"/>
                <w:sz w:val="22"/>
                <w:szCs w:val="22"/>
                <w:lang w:eastAsia="lt-LT"/>
              </w:rPr>
              <w:t>1 kompl.</w:t>
            </w:r>
          </w:p>
        </w:tc>
        <w:tc>
          <w:tcPr>
            <w:tcW w:w="1216"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C50A09" w:rsidP="00C50A09">
            <w:pPr>
              <w:widowControl w:val="0"/>
              <w:tabs>
                <w:tab w:val="left" w:pos="1440"/>
                <w:tab w:val="left" w:pos="1620"/>
                <w:tab w:val="left" w:pos="2880"/>
                <w:tab w:val="left" w:pos="3240"/>
              </w:tabs>
              <w:jc w:val="center"/>
              <w:rPr>
                <w:b/>
                <w:sz w:val="22"/>
                <w:szCs w:val="22"/>
                <w:highlight w:val="yellow"/>
              </w:rPr>
            </w:pPr>
            <w:r>
              <w:rPr>
                <w:b/>
                <w:sz w:val="22"/>
                <w:szCs w:val="22"/>
                <w:highlight w:val="yellow"/>
              </w:rPr>
              <w:t>x</w:t>
            </w:r>
          </w:p>
        </w:tc>
      </w:tr>
      <w:tr w:rsidR="00807E81" w:rsidRPr="00B74C91" w:rsidTr="00F565A1">
        <w:trPr>
          <w:cantSplit/>
          <w:trHeight w:val="50"/>
        </w:trPr>
        <w:tc>
          <w:tcPr>
            <w:tcW w:w="5459" w:type="dxa"/>
            <w:gridSpan w:val="4"/>
            <w:tcBorders>
              <w:top w:val="single" w:sz="4" w:space="0" w:color="auto"/>
              <w:left w:val="single" w:sz="4" w:space="0" w:color="auto"/>
              <w:bottom w:val="single" w:sz="4" w:space="0" w:color="auto"/>
              <w:right w:val="single" w:sz="4" w:space="0" w:color="auto"/>
            </w:tcBorders>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Eur su PVM   </w:t>
            </w:r>
            <w:r w:rsidRPr="00B74C91">
              <w:rPr>
                <w:b/>
                <w:color w:val="0070C0"/>
                <w:sz w:val="22"/>
                <w:szCs w:val="22"/>
              </w:rPr>
              <w:t>(skaičiais)</w:t>
            </w:r>
          </w:p>
        </w:tc>
        <w:tc>
          <w:tcPr>
            <w:tcW w:w="1477" w:type="dxa"/>
            <w:tcBorders>
              <w:top w:val="single" w:sz="4" w:space="0" w:color="auto"/>
              <w:left w:val="single" w:sz="4" w:space="0" w:color="auto"/>
              <w:bottom w:val="single" w:sz="4" w:space="0" w:color="auto"/>
              <w:right w:val="single" w:sz="4" w:space="0" w:color="auto"/>
            </w:tcBorders>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B74C91" w:rsidTr="00807E81">
        <w:trPr>
          <w:cantSplit/>
          <w:trHeight w:val="50"/>
        </w:trPr>
        <w:tc>
          <w:tcPr>
            <w:tcW w:w="5459"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807E81">
            <w:pPr>
              <w:widowControl w:val="0"/>
              <w:tabs>
                <w:tab w:val="left" w:pos="1440"/>
                <w:tab w:val="left" w:pos="1620"/>
                <w:tab w:val="left" w:pos="2880"/>
                <w:tab w:val="left" w:pos="3240"/>
              </w:tabs>
              <w:jc w:val="right"/>
              <w:rPr>
                <w:sz w:val="22"/>
                <w:szCs w:val="22"/>
              </w:rPr>
            </w:pPr>
            <w:r w:rsidRPr="00B74C91">
              <w:rPr>
                <w:b/>
                <w:sz w:val="22"/>
                <w:szCs w:val="22"/>
              </w:rPr>
              <w:t xml:space="preserve">Pasiūlymo kaina, Eur su PVM   </w:t>
            </w:r>
            <w:r w:rsidRPr="00B74C91">
              <w:rPr>
                <w:b/>
                <w:color w:val="0070C0"/>
                <w:sz w:val="22"/>
                <w:szCs w:val="22"/>
              </w:rPr>
              <w:t>(žodžiais)</w:t>
            </w:r>
          </w:p>
        </w:tc>
        <w:tc>
          <w:tcPr>
            <w:tcW w:w="1477" w:type="dxa"/>
            <w:tcBorders>
              <w:top w:val="single" w:sz="4" w:space="0" w:color="auto"/>
              <w:left w:val="single" w:sz="4" w:space="0" w:color="auto"/>
              <w:bottom w:val="single" w:sz="4" w:space="0" w:color="auto"/>
              <w:right w:val="single" w:sz="4" w:space="0" w:color="auto"/>
            </w:tcBorders>
            <w:shd w:val="clear" w:color="auto" w:fill="FFFF00"/>
            <w:vAlign w:val="center"/>
          </w:tcPr>
          <w:p w:rsidR="00807E81" w:rsidRPr="00B74C91" w:rsidRDefault="00807E81" w:rsidP="00AE7EB0">
            <w:pPr>
              <w:widowControl w:val="0"/>
              <w:tabs>
                <w:tab w:val="left" w:pos="1440"/>
                <w:tab w:val="left" w:pos="1620"/>
                <w:tab w:val="left" w:pos="2880"/>
                <w:tab w:val="left" w:pos="3240"/>
              </w:tabs>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807E81" w:rsidRPr="00B74C91" w:rsidRDefault="00807E81" w:rsidP="00807E81">
            <w:pPr>
              <w:widowControl w:val="0"/>
              <w:tabs>
                <w:tab w:val="left" w:pos="1440"/>
                <w:tab w:val="left" w:pos="1620"/>
                <w:tab w:val="left" w:pos="2880"/>
                <w:tab w:val="left" w:pos="3240"/>
              </w:tabs>
              <w:jc w:val="center"/>
              <w:rPr>
                <w:b/>
                <w:sz w:val="22"/>
                <w:szCs w:val="22"/>
              </w:rPr>
            </w:pPr>
            <w:r w:rsidRPr="00B74C91">
              <w:rPr>
                <w:b/>
                <w:sz w:val="22"/>
                <w:szCs w:val="22"/>
              </w:rPr>
              <w:t>x</w:t>
            </w:r>
          </w:p>
        </w:tc>
      </w:tr>
      <w:tr w:rsidR="00807E81" w:rsidRPr="00807E81" w:rsidTr="00807E81">
        <w:trPr>
          <w:cantSplit/>
          <w:trHeight w:val="50"/>
        </w:trPr>
        <w:tc>
          <w:tcPr>
            <w:tcW w:w="94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74C91" w:rsidRDefault="00B74C91" w:rsidP="00B74C91">
            <w:pPr>
              <w:ind w:firstLine="709"/>
              <w:jc w:val="center"/>
              <w:rPr>
                <w:rFonts w:eastAsia="Calibri"/>
                <w:bCs/>
                <w:iCs/>
                <w:sz w:val="20"/>
                <w:szCs w:val="20"/>
              </w:rPr>
            </w:pPr>
            <w:r w:rsidRPr="002F5A24">
              <w:rPr>
                <w:rFonts w:eastAsia="Calibri"/>
                <w:b/>
                <w:iCs/>
                <w:sz w:val="21"/>
                <w:szCs w:val="21"/>
              </w:rPr>
              <w:t>TECHNINĖ</w:t>
            </w:r>
            <w:r>
              <w:rPr>
                <w:rFonts w:eastAsia="Calibri"/>
                <w:b/>
                <w:iCs/>
                <w:sz w:val="21"/>
                <w:szCs w:val="21"/>
              </w:rPr>
              <w:t>S</w:t>
            </w:r>
            <w:r w:rsidRPr="002F5A24">
              <w:rPr>
                <w:rFonts w:eastAsia="Calibri"/>
                <w:b/>
                <w:iCs/>
                <w:sz w:val="21"/>
                <w:szCs w:val="21"/>
              </w:rPr>
              <w:t xml:space="preserve"> SPECIFIKACIJ</w:t>
            </w:r>
            <w:r>
              <w:rPr>
                <w:rFonts w:eastAsia="Calibri"/>
                <w:b/>
                <w:iCs/>
                <w:sz w:val="21"/>
                <w:szCs w:val="21"/>
              </w:rPr>
              <w:t>OS TĘSINYS</w:t>
            </w:r>
          </w:p>
          <w:p w:rsidR="00807E81" w:rsidRPr="00807E81" w:rsidRDefault="00807E81" w:rsidP="00807E81">
            <w:pPr>
              <w:ind w:firstLine="709"/>
              <w:jc w:val="both"/>
              <w:rPr>
                <w:rFonts w:eastAsia="Calibri"/>
                <w:bCs/>
                <w:iCs/>
                <w:sz w:val="20"/>
                <w:szCs w:val="20"/>
              </w:rPr>
            </w:pPr>
            <w:r w:rsidRPr="00807E81">
              <w:rPr>
                <w:rFonts w:eastAsia="Calibri"/>
                <w:bCs/>
                <w:iCs/>
                <w:sz w:val="20"/>
                <w:szCs w:val="20"/>
              </w:rPr>
              <w:t>Patekimui iš lauko į ligoninės patalpas įrengiamas pandusas su turėklais. Pandusų nuožulnumas ‒ 1:7, paviršiaus plotis ‒ 1500 mm (</w:t>
            </w:r>
            <w:r w:rsidRPr="00807E81">
              <w:rPr>
                <w:rFonts w:eastAsia="Calibri"/>
                <w:bCs/>
                <w:iCs/>
                <w:sz w:val="20"/>
                <w:szCs w:val="20"/>
                <w:u w:val="single"/>
              </w:rPr>
              <w:t>+</w:t>
            </w:r>
            <w:r w:rsidRPr="00807E81">
              <w:rPr>
                <w:rFonts w:eastAsia="Calibri"/>
                <w:bCs/>
                <w:iCs/>
                <w:sz w:val="20"/>
                <w:szCs w:val="20"/>
              </w:rPr>
              <w:t xml:space="preserve"> 30 mm), plotis tarp turėklų ‒ 1300 mm (</w:t>
            </w:r>
            <w:r w:rsidRPr="00807E81">
              <w:rPr>
                <w:rFonts w:eastAsia="Calibri"/>
                <w:bCs/>
                <w:iCs/>
                <w:sz w:val="20"/>
                <w:szCs w:val="20"/>
                <w:u w:val="single"/>
              </w:rPr>
              <w:t>+</w:t>
            </w:r>
            <w:r w:rsidRPr="00807E81">
              <w:rPr>
                <w:rFonts w:eastAsia="Calibri"/>
                <w:bCs/>
                <w:iCs/>
                <w:sz w:val="20"/>
                <w:szCs w:val="20"/>
              </w:rPr>
              <w:t xml:space="preserve"> 30 mm). Pandusų ir tako paviršius turi būti tvirtas, lygus ir neslidus. Prieigos prie pastato įrengiamas su taktiliniais vaikščiojamojo paviršiaus indikatoriais. Prieš pagrindinį įėjimą į pastatą įrengiama 3500 x 3350 mm (</w:t>
            </w:r>
            <w:r w:rsidRPr="00807E81">
              <w:rPr>
                <w:rFonts w:eastAsia="Calibri"/>
                <w:bCs/>
                <w:iCs/>
                <w:sz w:val="20"/>
                <w:szCs w:val="20"/>
                <w:u w:val="single"/>
              </w:rPr>
              <w:t>+</w:t>
            </w:r>
            <w:r w:rsidRPr="00807E81">
              <w:rPr>
                <w:rFonts w:eastAsia="Calibri"/>
                <w:bCs/>
                <w:iCs/>
                <w:sz w:val="20"/>
                <w:szCs w:val="20"/>
              </w:rPr>
              <w:t xml:space="preserve"> 30 mm) dydžio manevravimo erdvė su vieno laipto pakopa iš dviejų pusių, tambūras – 3000 x 3150 mm (</w:t>
            </w:r>
            <w:r w:rsidRPr="00807E81">
              <w:rPr>
                <w:rFonts w:eastAsia="Calibri"/>
                <w:bCs/>
                <w:iCs/>
                <w:sz w:val="20"/>
                <w:szCs w:val="20"/>
                <w:u w:val="single"/>
              </w:rPr>
              <w:t>+</w:t>
            </w:r>
            <w:r w:rsidRPr="00807E81">
              <w:rPr>
                <w:rFonts w:eastAsia="Calibri"/>
                <w:bCs/>
                <w:iCs/>
                <w:sz w:val="20"/>
                <w:szCs w:val="20"/>
              </w:rPr>
              <w:t xml:space="preserve"> 30mm).</w:t>
            </w:r>
          </w:p>
          <w:p w:rsidR="00807E81" w:rsidRPr="00807E81" w:rsidRDefault="00807E81" w:rsidP="00807E81">
            <w:pPr>
              <w:ind w:firstLine="709"/>
              <w:jc w:val="both"/>
              <w:rPr>
                <w:rFonts w:eastAsia="Calibri"/>
                <w:bCs/>
                <w:iCs/>
                <w:sz w:val="20"/>
                <w:szCs w:val="20"/>
              </w:rPr>
            </w:pPr>
            <w:r w:rsidRPr="00807E81">
              <w:rPr>
                <w:rFonts w:eastAsia="Calibri"/>
                <w:iCs/>
                <w:sz w:val="20"/>
                <w:szCs w:val="20"/>
                <w:lang w:bidi="lt-LT"/>
              </w:rPr>
              <w:t>Turėklai turi būti dvigubi: viršutiniai tvirtinami 850-1000 mm (</w:t>
            </w:r>
            <w:r w:rsidRPr="00807E81">
              <w:rPr>
                <w:rFonts w:eastAsia="Calibri"/>
                <w:bCs/>
                <w:iCs/>
                <w:sz w:val="20"/>
                <w:szCs w:val="20"/>
                <w:u w:val="single"/>
                <w:lang w:bidi="lt-LT"/>
              </w:rPr>
              <w:t>+</w:t>
            </w:r>
            <w:r w:rsidRPr="00807E81">
              <w:rPr>
                <w:rFonts w:eastAsia="Calibri"/>
                <w:iCs/>
                <w:sz w:val="20"/>
                <w:szCs w:val="20"/>
                <w:lang w:bidi="lt-LT"/>
              </w:rPr>
              <w:t>10 mm) aukštyje, apatiniai – 600-750 mm (</w:t>
            </w:r>
            <w:r w:rsidRPr="00807E81">
              <w:rPr>
                <w:rFonts w:eastAsia="Calibri"/>
                <w:bCs/>
                <w:iCs/>
                <w:sz w:val="20"/>
                <w:szCs w:val="20"/>
                <w:u w:val="single"/>
                <w:lang w:bidi="lt-LT"/>
              </w:rPr>
              <w:t>+</w:t>
            </w:r>
            <w:r w:rsidRPr="00807E81">
              <w:rPr>
                <w:rFonts w:eastAsia="Calibri"/>
                <w:iCs/>
                <w:sz w:val="20"/>
                <w:szCs w:val="20"/>
                <w:lang w:bidi="lt-LT"/>
              </w:rPr>
              <w:t xml:space="preserve">10 mm) aukštyje nuo panduso juostos plokštumos. Turėklai iš vidinės panduso pusės turi būti ištisiniai. Turėklai turi būti lygiagretūs su laiptų ar panduso pakilimo plokštuma, o pratęstos jų dalys – lygiagrečios su aikštelės paviršiumi (t. y. horizontalios). Turėklų paviršius turi būti lygus, ištisinis, neslidus ir be išsikišimų. Turėklų stveriamoji konstrukcija turi būti patogi suimti ranka. Tam naudoti elipsės, ovalo ar apskritimo formos skerspjūvio, kurį galima apibrėžti 45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ir į kurį galima įbrėžti 35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 mm) </w:t>
            </w:r>
            <w:r w:rsidRPr="00807E81">
              <w:rPr>
                <w:rFonts w:eastAsia="Calibri"/>
                <w:iCs/>
                <w:sz w:val="20"/>
                <w:szCs w:val="20"/>
                <w:lang w:bidi="lt-LT"/>
              </w:rPr>
              <w:t xml:space="preserve">apskritimą, turėklus. Laisvasis tarpas tarp turėklo ir bet kokios kliūties bent 40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w:t>
            </w:r>
            <w:r w:rsidRPr="00807E81">
              <w:rPr>
                <w:rFonts w:eastAsia="Calibri"/>
                <w:iCs/>
                <w:sz w:val="20"/>
                <w:szCs w:val="20"/>
                <w:lang w:bidi="lt-LT"/>
              </w:rPr>
              <w:t>. Turėklas turi turėti 270</w:t>
            </w:r>
            <w:r w:rsidRPr="00807E81">
              <w:rPr>
                <w:rFonts w:eastAsia="Calibri"/>
                <w:iCs/>
                <w:sz w:val="20"/>
                <w:szCs w:val="20"/>
                <w:vertAlign w:val="superscript"/>
                <w:lang w:bidi="lt-LT"/>
              </w:rPr>
              <w:t>°</w:t>
            </w:r>
            <w:r w:rsidRPr="00807E81">
              <w:rPr>
                <w:rFonts w:eastAsia="Calibri"/>
                <w:iCs/>
                <w:sz w:val="20"/>
                <w:szCs w:val="20"/>
                <w:lang w:bidi="lt-LT"/>
              </w:rPr>
              <w:t xml:space="preserve"> (</w:t>
            </w:r>
            <w:r w:rsidRPr="00807E81">
              <w:rPr>
                <w:rFonts w:eastAsia="Calibri"/>
                <w:iCs/>
                <w:sz w:val="20"/>
                <w:szCs w:val="20"/>
                <w:u w:val="single"/>
                <w:lang w:bidi="lt-LT"/>
              </w:rPr>
              <w:t>+</w:t>
            </w:r>
            <w:r w:rsidRPr="00807E81">
              <w:rPr>
                <w:rFonts w:eastAsia="Calibri"/>
                <w:iCs/>
                <w:sz w:val="20"/>
                <w:szCs w:val="20"/>
                <w:lang w:bidi="lt-LT"/>
              </w:rPr>
              <w:t xml:space="preserve"> 3°) laisvą lanką viso turėklo ilgiu ir bent 50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2 mm) </w:t>
            </w:r>
            <w:r w:rsidRPr="00807E81">
              <w:rPr>
                <w:rFonts w:eastAsia="Calibri"/>
                <w:iCs/>
                <w:sz w:val="20"/>
                <w:szCs w:val="20"/>
                <w:lang w:bidi="lt-LT"/>
              </w:rPr>
              <w:t xml:space="preserve">laisvą tarpą po šiuo lanku pirštų įduboms. Turėklų galai turi būti suapvalinti ar užlenkti į sienos, atramos ar grindų pusę. Turėklai turi turėti horizontalią iškyšą, besitęsiančią bent 300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5 mm)</w:t>
            </w:r>
            <w:r w:rsidRPr="00807E81">
              <w:rPr>
                <w:rFonts w:eastAsia="Calibri"/>
                <w:iCs/>
                <w:sz w:val="20"/>
                <w:szCs w:val="20"/>
                <w:lang w:bidi="lt-LT"/>
              </w:rPr>
              <w:t xml:space="preserve"> už laiptatakio pirmutinės ir paskutinės pakopos iškyšų. Turėklų ir sienos regimasis kontrastas – 30 balų (</w:t>
            </w:r>
            <w:r w:rsidRPr="00807E81">
              <w:rPr>
                <w:rFonts w:eastAsia="Calibri"/>
                <w:iCs/>
                <w:sz w:val="20"/>
                <w:szCs w:val="20"/>
                <w:u w:val="single"/>
                <w:lang w:bidi="lt-LT"/>
              </w:rPr>
              <w:t>&gt;1</w:t>
            </w:r>
            <w:r w:rsidRPr="00807E81">
              <w:rPr>
                <w:rFonts w:eastAsia="Calibri"/>
                <w:iCs/>
                <w:sz w:val="20"/>
                <w:szCs w:val="20"/>
                <w:lang w:bidi="lt-LT"/>
              </w:rPr>
              <w:t>). Abipus kiekvienos panduso juostos ir aplink aikštelę turi būti įrengta turėklo atbraila (skersinis) ne žemiau kaip 150 mm (</w:t>
            </w:r>
            <w:r w:rsidRPr="00807E81">
              <w:rPr>
                <w:rFonts w:eastAsia="Calibri"/>
                <w:bCs/>
                <w:iCs/>
                <w:sz w:val="20"/>
                <w:szCs w:val="20"/>
                <w:u w:val="single"/>
                <w:lang w:bidi="lt-LT"/>
              </w:rPr>
              <w:t xml:space="preserve">+ </w:t>
            </w:r>
            <w:r w:rsidRPr="00807E81">
              <w:rPr>
                <w:rFonts w:eastAsia="Calibri"/>
                <w:iCs/>
                <w:sz w:val="20"/>
                <w:szCs w:val="20"/>
                <w:lang w:bidi="lt-LT"/>
              </w:rPr>
              <w:t xml:space="preserve">10 mm)  nuo rampos ar laiptų paviršiaus. Bendras turėklo ilgis 9000 mm </w:t>
            </w:r>
            <w:r w:rsidRPr="00807E81">
              <w:rPr>
                <w:rFonts w:eastAsia="Calibri"/>
                <w:bCs/>
                <w:iCs/>
                <w:sz w:val="20"/>
                <w:szCs w:val="20"/>
              </w:rPr>
              <w:t>(</w:t>
            </w:r>
            <w:r w:rsidRPr="00807E81">
              <w:rPr>
                <w:rFonts w:eastAsia="Calibri"/>
                <w:bCs/>
                <w:iCs/>
                <w:sz w:val="20"/>
                <w:szCs w:val="20"/>
                <w:u w:val="single"/>
              </w:rPr>
              <w:t>+</w:t>
            </w:r>
            <w:r w:rsidRPr="00807E81">
              <w:rPr>
                <w:rFonts w:eastAsia="Calibri"/>
                <w:bCs/>
                <w:iCs/>
                <w:sz w:val="20"/>
                <w:szCs w:val="20"/>
              </w:rPr>
              <w:t xml:space="preserve"> 30 mm)</w:t>
            </w:r>
            <w:r w:rsidRPr="00807E81">
              <w:rPr>
                <w:rFonts w:eastAsia="Calibri"/>
                <w:iCs/>
                <w:sz w:val="20"/>
                <w:szCs w:val="20"/>
                <w:lang w:bidi="lt-LT"/>
              </w:rPr>
              <w:t>.</w:t>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709"/>
              <w:jc w:val="center"/>
              <w:rPr>
                <w:rFonts w:eastAsia="Calibri"/>
                <w:b/>
                <w:sz w:val="20"/>
                <w:szCs w:val="20"/>
              </w:rPr>
            </w:pPr>
            <w:r w:rsidRPr="00807E81">
              <w:rPr>
                <w:rFonts w:eastAsia="Calibri"/>
                <w:b/>
                <w:sz w:val="20"/>
                <w:szCs w:val="20"/>
              </w:rPr>
              <w:t>TURĖKLŲ TECHNINĖ SPECIFIKACIJA</w:t>
            </w:r>
          </w:p>
          <w:tbl>
            <w:tblPr>
              <w:tblStyle w:val="TableNormal1"/>
              <w:tblW w:w="8795"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5"/>
              <w:gridCol w:w="2126"/>
              <w:gridCol w:w="3284"/>
            </w:tblGrid>
            <w:tr w:rsidR="00807E81" w:rsidRPr="00807E81" w:rsidTr="00D975E4">
              <w:trPr>
                <w:trHeight w:val="252"/>
              </w:trPr>
              <w:tc>
                <w:tcPr>
                  <w:tcW w:w="8795" w:type="dxa"/>
                  <w:gridSpan w:val="3"/>
                  <w:shd w:val="clear" w:color="auto" w:fill="C0C0C0"/>
                </w:tcPr>
                <w:p w:rsidR="00807E81" w:rsidRPr="00807E81" w:rsidRDefault="00807E81" w:rsidP="00807E81">
                  <w:pPr>
                    <w:ind w:left="107"/>
                    <w:rPr>
                      <w:rFonts w:ascii="Times New Roman" w:hAnsi="Times New Roman" w:cs="Times New Roman"/>
                      <w:b/>
                      <w:sz w:val="20"/>
                      <w:szCs w:val="20"/>
                    </w:rPr>
                  </w:pPr>
                  <w:r w:rsidRPr="00807E81">
                    <w:rPr>
                      <w:rFonts w:ascii="Times New Roman" w:hAnsi="Times New Roman" w:cs="Times New Roman"/>
                      <w:b/>
                      <w:sz w:val="20"/>
                      <w:szCs w:val="20"/>
                    </w:rPr>
                    <w:t>PANDUSO TURĖKLAI</w:t>
                  </w:r>
                </w:p>
              </w:tc>
            </w:tr>
            <w:tr w:rsidR="00807E81" w:rsidRPr="00807E81" w:rsidTr="00D975E4">
              <w:trPr>
                <w:trHeight w:val="379"/>
              </w:trPr>
              <w:tc>
                <w:tcPr>
                  <w:tcW w:w="3385" w:type="dxa"/>
                  <w:vMerge w:val="restart"/>
                  <w:vAlign w:val="center"/>
                </w:tcPr>
                <w:p w:rsidR="00807E81" w:rsidRPr="00807E81" w:rsidRDefault="00807E81" w:rsidP="00807E81">
                  <w:pPr>
                    <w:ind w:left="108"/>
                    <w:jc w:val="center"/>
                    <w:rPr>
                      <w:rFonts w:ascii="Times New Roman" w:hAnsi="Times New Roman" w:cs="Times New Roman"/>
                      <w:sz w:val="20"/>
                      <w:szCs w:val="20"/>
                    </w:rPr>
                  </w:pPr>
                  <w:r w:rsidRPr="00807E81">
                    <w:rPr>
                      <w:noProof/>
                      <w:sz w:val="20"/>
                      <w:szCs w:val="20"/>
                      <w:lang w:eastAsia="lt-LT"/>
                    </w:rPr>
                    <w:drawing>
                      <wp:inline distT="0" distB="0" distL="0" distR="0" wp14:anchorId="5B720C97" wp14:editId="4159F44B">
                        <wp:extent cx="596900" cy="1008556"/>
                        <wp:effectExtent l="0" t="0" r="0" b="127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93629" name="Paveikslėlis 2682936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607" cy="1028336"/>
                                </a:xfrm>
                                <a:prstGeom prst="rect">
                                  <a:avLst/>
                                </a:prstGeom>
                              </pic:spPr>
                            </pic:pic>
                          </a:graphicData>
                        </a:graphic>
                      </wp:inline>
                    </w:drawing>
                  </w: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MATMENYS</w:t>
                  </w:r>
                </w:p>
              </w:tc>
              <w:tc>
                <w:tcPr>
                  <w:tcW w:w="3284"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z w:val="20"/>
                      <w:szCs w:val="20"/>
                    </w:rPr>
                    <w:t>Pagal brėžinį ir TS</w:t>
                  </w:r>
                  <w:r w:rsidRPr="00807E81">
                    <w:rPr>
                      <w:rFonts w:ascii="Times New Roman" w:hAnsi="Times New Roman" w:cs="Times New Roman"/>
                      <w:spacing w:val="-2"/>
                      <w:sz w:val="20"/>
                      <w:szCs w:val="20"/>
                    </w:rPr>
                    <w:t>.</w:t>
                  </w:r>
                </w:p>
              </w:tc>
            </w:tr>
            <w:tr w:rsidR="00807E81" w:rsidRPr="00807E81" w:rsidTr="00D975E4">
              <w:trPr>
                <w:trHeight w:val="856"/>
              </w:trPr>
              <w:tc>
                <w:tcPr>
                  <w:tcW w:w="3385" w:type="dxa"/>
                  <w:vMerge/>
                  <w:tcBorders>
                    <w:top w:val="nil"/>
                  </w:tcBorders>
                </w:tcPr>
                <w:p w:rsidR="00807E81" w:rsidRPr="00807E81" w:rsidRDefault="00807E81" w:rsidP="00807E81">
                  <w:pPr>
                    <w:rPr>
                      <w:rFonts w:ascii="Times New Roman" w:hAnsi="Times New Roman" w:cs="Times New Roman"/>
                      <w:sz w:val="20"/>
                      <w:szCs w:val="20"/>
                    </w:rPr>
                  </w:pPr>
                </w:p>
              </w:tc>
              <w:tc>
                <w:tcPr>
                  <w:tcW w:w="2126" w:type="dxa"/>
                </w:tcPr>
                <w:p w:rsidR="00807E81" w:rsidRPr="00807E81" w:rsidRDefault="00807E81" w:rsidP="00807E81">
                  <w:pPr>
                    <w:ind w:left="107"/>
                    <w:rPr>
                      <w:rFonts w:ascii="Times New Roman" w:hAnsi="Times New Roman" w:cs="Times New Roman"/>
                      <w:sz w:val="20"/>
                      <w:szCs w:val="20"/>
                    </w:rPr>
                  </w:pPr>
                  <w:r w:rsidRPr="00807E81">
                    <w:rPr>
                      <w:rFonts w:ascii="Times New Roman" w:hAnsi="Times New Roman" w:cs="Times New Roman"/>
                      <w:spacing w:val="-2"/>
                      <w:sz w:val="20"/>
                      <w:szCs w:val="20"/>
                    </w:rPr>
                    <w:t>APRAŠYMAS</w:t>
                  </w:r>
                </w:p>
              </w:tc>
              <w:tc>
                <w:tcPr>
                  <w:tcW w:w="3284" w:type="dxa"/>
                </w:tcPr>
                <w:p w:rsidR="00807E81" w:rsidRPr="00807E81" w:rsidRDefault="00807E81" w:rsidP="00807E81">
                  <w:pPr>
                    <w:ind w:left="107"/>
                    <w:rPr>
                      <w:rFonts w:ascii="Times New Roman" w:hAnsi="Times New Roman" w:cs="Times New Roman"/>
                      <w:sz w:val="20"/>
                      <w:szCs w:val="20"/>
                      <w:lang w:val="lt-LT"/>
                    </w:rPr>
                  </w:pPr>
                  <w:r w:rsidRPr="00807E81">
                    <w:rPr>
                      <w:rFonts w:ascii="Times New Roman" w:hAnsi="Times New Roman" w:cs="Times New Roman"/>
                      <w:sz w:val="20"/>
                      <w:szCs w:val="20"/>
                    </w:rPr>
                    <w:t>Nerūdijantis</w:t>
                  </w:r>
                  <w:r w:rsidRPr="00807E81">
                    <w:rPr>
                      <w:rFonts w:ascii="Times New Roman" w:hAnsi="Times New Roman" w:cs="Times New Roman"/>
                      <w:spacing w:val="-12"/>
                      <w:sz w:val="20"/>
                      <w:szCs w:val="20"/>
                    </w:rPr>
                    <w:t xml:space="preserve"> </w:t>
                  </w:r>
                  <w:r w:rsidRPr="00807E81">
                    <w:rPr>
                      <w:rFonts w:ascii="Times New Roman" w:hAnsi="Times New Roman" w:cs="Times New Roman"/>
                      <w:spacing w:val="-2"/>
                      <w:sz w:val="20"/>
                      <w:szCs w:val="20"/>
                    </w:rPr>
                    <w:t xml:space="preserve">plienas ar lygiavertė medžiaga. </w:t>
                  </w:r>
                </w:p>
              </w:tc>
            </w:tr>
          </w:tbl>
          <w:p w:rsidR="00807E81" w:rsidRPr="00807E81" w:rsidRDefault="00807E81" w:rsidP="00807E81">
            <w:pPr>
              <w:autoSpaceDE w:val="0"/>
              <w:autoSpaceDN w:val="0"/>
              <w:adjustRightInd w:val="0"/>
              <w:ind w:right="27" w:firstLine="709"/>
              <w:jc w:val="both"/>
              <w:rPr>
                <w:rFonts w:eastAsia="Calibri"/>
                <w:bCs/>
                <w:sz w:val="20"/>
                <w:szCs w:val="20"/>
              </w:rPr>
            </w:pPr>
          </w:p>
          <w:p w:rsidR="00807E81" w:rsidRPr="00807E81" w:rsidRDefault="00807E81" w:rsidP="00807E81">
            <w:pPr>
              <w:autoSpaceDE w:val="0"/>
              <w:autoSpaceDN w:val="0"/>
              <w:adjustRightInd w:val="0"/>
              <w:spacing w:after="120"/>
              <w:ind w:right="28" w:firstLine="851"/>
              <w:jc w:val="center"/>
              <w:rPr>
                <w:rFonts w:eastAsia="Calibri"/>
                <w:b/>
                <w:bCs/>
                <w:sz w:val="20"/>
                <w:szCs w:val="20"/>
              </w:rPr>
            </w:pPr>
            <w:r w:rsidRPr="00807E81">
              <w:rPr>
                <w:rFonts w:eastAsia="Calibri"/>
                <w:b/>
                <w:bCs/>
                <w:sz w:val="20"/>
                <w:szCs w:val="20"/>
              </w:rPr>
              <w:t xml:space="preserve">TAKTILINIŲ INDIKATORIŲ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Įrengiami įklijuojami nerūdijančio plieno ar lygiaverčiai įspėjamieji indikatoriai.</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lang w:eastAsia="lt-LT"/>
              </w:rPr>
              <w:drawing>
                <wp:inline distT="0" distB="0" distL="0" distR="0" wp14:anchorId="32FDA941" wp14:editId="4852EB72">
                  <wp:extent cx="1464498" cy="2223135"/>
                  <wp:effectExtent l="0" t="0" r="2540" b="5715"/>
                  <wp:docPr id="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224303" name="Paveikslėlis 73622430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2582" cy="2235407"/>
                          </a:xfrm>
                          <a:prstGeom prst="rect">
                            <a:avLst/>
                          </a:prstGeom>
                        </pic:spPr>
                      </pic:pic>
                    </a:graphicData>
                  </a:graphic>
                </wp:inline>
              </w:drawing>
            </w:r>
          </w:p>
          <w:p w:rsidR="00807E81" w:rsidRPr="00807E81" w:rsidRDefault="00807E81" w:rsidP="00807E81">
            <w:pPr>
              <w:autoSpaceDE w:val="0"/>
              <w:autoSpaceDN w:val="0"/>
              <w:adjustRightInd w:val="0"/>
              <w:ind w:right="27" w:firstLine="851"/>
              <w:rPr>
                <w:rFonts w:eastAsia="Calibri"/>
                <w:sz w:val="20"/>
                <w:szCs w:val="20"/>
              </w:rPr>
            </w:pPr>
            <w:r w:rsidRPr="00807E81">
              <w:rPr>
                <w:rFonts w:eastAsia="Calibri"/>
                <w:sz w:val="20"/>
                <w:szCs w:val="20"/>
              </w:rPr>
              <w:t xml:space="preserve">Įrengiami įklijuojami nerūdijančio plieno ar lygiaverčiai kryptiniai indikatoriai (paklaidos </w:t>
            </w:r>
            <w:r w:rsidRPr="00807E81">
              <w:rPr>
                <w:rFonts w:eastAsia="Calibri"/>
                <w:sz w:val="20"/>
                <w:szCs w:val="20"/>
                <w:u w:val="single"/>
              </w:rPr>
              <w:t>+</w:t>
            </w:r>
            <w:r w:rsidRPr="00807E81">
              <w:rPr>
                <w:rFonts w:eastAsia="Calibri"/>
                <w:sz w:val="20"/>
                <w:szCs w:val="20"/>
              </w:rPr>
              <w:t xml:space="preserve"> 0,1):</w:t>
            </w:r>
          </w:p>
          <w:p w:rsidR="00807E81" w:rsidRPr="00807E81" w:rsidRDefault="00807E81" w:rsidP="00807E81">
            <w:pPr>
              <w:autoSpaceDE w:val="0"/>
              <w:autoSpaceDN w:val="0"/>
              <w:adjustRightInd w:val="0"/>
              <w:ind w:right="27" w:firstLine="851"/>
              <w:jc w:val="center"/>
              <w:rPr>
                <w:rFonts w:eastAsia="Calibri"/>
                <w:sz w:val="20"/>
                <w:szCs w:val="20"/>
              </w:rPr>
            </w:pPr>
            <w:r w:rsidRPr="00807E81">
              <w:rPr>
                <w:rFonts w:eastAsia="Calibri"/>
                <w:noProof/>
                <w:sz w:val="20"/>
                <w:szCs w:val="20"/>
                <w:lang w:eastAsia="lt-LT"/>
              </w:rPr>
              <w:drawing>
                <wp:inline distT="0" distB="0" distL="0" distR="0" wp14:anchorId="301F3D2C" wp14:editId="397A82C6">
                  <wp:extent cx="3231742" cy="2152650"/>
                  <wp:effectExtent l="0" t="0" r="6985" b="0"/>
                  <wp:docPr id="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88377" name="Paveikslėlis 1457888377"/>
                          <pic:cNvPicPr/>
                        </pic:nvPicPr>
                        <pic:blipFill>
                          <a:blip r:embed="rId16">
                            <a:extLst>
                              <a:ext uri="{28A0092B-C50C-407E-A947-70E740481C1C}">
                                <a14:useLocalDpi xmlns:a14="http://schemas.microsoft.com/office/drawing/2010/main" val="0"/>
                              </a:ext>
                            </a:extLst>
                          </a:blip>
                          <a:stretch>
                            <a:fillRect/>
                          </a:stretch>
                        </pic:blipFill>
                        <pic:spPr>
                          <a:xfrm>
                            <a:off x="0" y="0"/>
                            <a:ext cx="3239792" cy="2158012"/>
                          </a:xfrm>
                          <a:prstGeom prst="rect">
                            <a:avLst/>
                          </a:prstGeom>
                        </pic:spPr>
                      </pic:pic>
                    </a:graphicData>
                  </a:graphic>
                </wp:inline>
              </w:drawing>
            </w:r>
          </w:p>
          <w:p w:rsidR="00807E81" w:rsidRPr="00807E81" w:rsidRDefault="00807E81" w:rsidP="00807E81">
            <w:pPr>
              <w:rPr>
                <w:sz w:val="20"/>
                <w:szCs w:val="20"/>
              </w:rPr>
            </w:pPr>
          </w:p>
          <w:p w:rsidR="00807E81" w:rsidRPr="00807E81" w:rsidRDefault="00807E81" w:rsidP="00807E81">
            <w:pPr>
              <w:autoSpaceDE w:val="0"/>
              <w:autoSpaceDN w:val="0"/>
              <w:adjustRightInd w:val="0"/>
              <w:ind w:right="27" w:firstLine="851"/>
              <w:jc w:val="center"/>
              <w:rPr>
                <w:rFonts w:eastAsia="Calibri"/>
                <w:b/>
                <w:bCs/>
                <w:sz w:val="20"/>
                <w:szCs w:val="20"/>
              </w:rPr>
            </w:pPr>
            <w:r w:rsidRPr="00807E81">
              <w:rPr>
                <w:rFonts w:eastAsia="Calibri"/>
                <w:b/>
                <w:bCs/>
                <w:sz w:val="20"/>
                <w:szCs w:val="20"/>
              </w:rPr>
              <w:t xml:space="preserve">PAGRINDŲ KONSTRUKCIJOS </w:t>
            </w:r>
            <w:r w:rsidRPr="00807E81">
              <w:rPr>
                <w:rFonts w:eastAsia="Calibri"/>
                <w:b/>
                <w:sz w:val="20"/>
                <w:szCs w:val="20"/>
              </w:rPr>
              <w:t>TECHNINĖ SPECIFIKACIJA</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Apsauginis šalčiui atsparus 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Apsauginio šalčiui atsparaus sluoksnio ir šalčiui nejautrių medžiagų sluoksnio mišiniams ir gruntams taikomi Automobilių kelių nesurištųjų mišinių ir gruntų, naudojamų sluoksniams be rišiklių, techninių reikalavimų apraše TRA SBR 19 nustatyti reikalavimai. Sluoksniai įrengiami vadovaujantis techniniu projektu ir Automobilių kelių dangos konstrukcijos sluoksnių be rišiklių įrengimo taisyklių ĮT SBR 19 reikalavimais.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Apsauginis šalčiui atsparus sluoksnis ir šalčiui nejautrių medžiagų sluoksnis (jei įrengiama ant F2 ir F3 klasės gruntų) įrengiamas ant sutankinto grunto. Gruntas sutankinamas iki 30 MPa pėsčiųjų takui ir aikštelei. Tako ir aikštelės apsauginio šalčiui atsparaus sluoksnio deformacijos modulis E</w:t>
            </w:r>
            <w:r w:rsidRPr="00807E81">
              <w:rPr>
                <w:rFonts w:eastAsia="Calibri"/>
                <w:sz w:val="20"/>
                <w:szCs w:val="20"/>
                <w:vertAlign w:val="subscript"/>
              </w:rPr>
              <w:t>v</w:t>
            </w:r>
            <w:r w:rsidRPr="00807E81">
              <w:rPr>
                <w:rFonts w:eastAsia="Calibri"/>
                <w:sz w:val="20"/>
                <w:szCs w:val="20"/>
              </w:rPr>
              <w:t xml:space="preserve"> ≥ 100 MPa, sutankinimo rodiklis D</w:t>
            </w:r>
            <w:r w:rsidRPr="00807E81">
              <w:rPr>
                <w:rFonts w:eastAsia="Calibri"/>
                <w:sz w:val="20"/>
                <w:szCs w:val="20"/>
                <w:vertAlign w:val="subscript"/>
              </w:rPr>
              <w:t>pr</w:t>
            </w:r>
            <w:r w:rsidRPr="00807E81">
              <w:rPr>
                <w:rFonts w:eastAsia="Calibri"/>
                <w:sz w:val="20"/>
                <w:szCs w:val="20"/>
              </w:rPr>
              <w:t xml:space="preserve"> ≥ 100 %.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 xml:space="preserve">Apsauginis šalčiui atsparus sluoksnis yra rišikliais nesustiprintas apatinis pagrindo sluoksnis. Jį sudaro šalčiui nejautrios birios mineralinės medžiagos, kurios sutankintoje būklėje turi būti pakankamai laidžios vandeniui (laidumas </w:t>
            </w:r>
            <w:r w:rsidRPr="00807E81">
              <w:rPr>
                <w:rFonts w:eastAsia="Calibri"/>
                <w:sz w:val="20"/>
                <w:szCs w:val="20"/>
                <w:u w:val="single"/>
              </w:rPr>
              <w:t>&gt;</w:t>
            </w:r>
            <w:r w:rsidRPr="00807E81">
              <w:rPr>
                <w:rFonts w:eastAsia="Calibri"/>
                <w:sz w:val="20"/>
                <w:szCs w:val="20"/>
              </w:rPr>
              <w:t xml:space="preserve"> 1 m/p). Apsauginio šalčiui atsparaus mineralinio sluoksnio išbandymas vykdomas pagal LST 1361 ar lygiavertį standartą. Medžiagos turi būti paskleistos tolygiais sluoksniais ir sutankintos, pasiekiant nustatytą sutankinimo rodiklį. Užbaigto apsauginio šalčiui atsparaus pagrindo sluoksnio storis turi atitikti brėžiniuose nurodytus storius.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Visi apatinio pagrindo trūkumai turi būti pašalinti (silpnų sluoksnių nuėmimas, didesnių nelygumų ir kenksmingų teršalų pašalinimas, profilio išlyginimas) ir atitikti techninius dokumentus. Užbaigtas apatinio pagrindo paviršius turi būti lygus, tikslaus skerspjūvio, gerai užpildytas ir išlygintas, be duobių, paliktų vėžių, įdaubų, atliekų ar kitų defektų.</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Įrengto ir sutankinto apsauginio šalčiui atsparaus sluoksnio faktinis storis (atskirųjų verčių vidurkis) neturi būti daugiau kaip 2,0 cm mažesnis už nurodytą storį, skersiniai nuolydžiai nuo projektinių skirtis daugiau kaip ± 0,5 %, sluoksnio plotis – daugiau kaip ± 10 cm. Sluoksnio lygumas – ne didesnė kaip 10 mm prošvaisa po 3 m liniuote.</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Skaldos atsijų pasluoksnis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Cs/>
                <w:iCs/>
                <w:sz w:val="20"/>
                <w:szCs w:val="20"/>
              </w:rPr>
              <w:t>Pasluoksnio medžiaga</w:t>
            </w:r>
            <w:r w:rsidRPr="00807E81">
              <w:rPr>
                <w:rFonts w:eastAsia="Calibri"/>
                <w:sz w:val="20"/>
                <w:szCs w:val="20"/>
              </w:rPr>
              <w:t xml:space="preserve"> – nesurištasis mineralinių medžiagų mišinys, skirtas įrengti trinkelių dangos apatinę dalį. Taip pat gali būti įvardijamas pasluoksniu. </w:t>
            </w:r>
            <w:r w:rsidRPr="00807E81">
              <w:rPr>
                <w:rFonts w:eastAsia="Calibri"/>
                <w:bCs/>
                <w:iCs/>
                <w:sz w:val="20"/>
                <w:szCs w:val="20"/>
              </w:rPr>
              <w:t>Siūlių užpilo medžiaga</w:t>
            </w:r>
            <w:r w:rsidRPr="00807E81">
              <w:rPr>
                <w:rFonts w:eastAsia="Calibri"/>
                <w:sz w:val="20"/>
                <w:szCs w:val="20"/>
              </w:rPr>
              <w:t xml:space="preserve"> – nesurištasis mineralinių medžiagų mišinys, skirtas nuostatas užpilti tarpus (siūles) tarp trinkelių arba prie bordiūrų ir prie eismo zonoje esančių įrenginių. Pasluoksnis įrengiamas iš 0/5  (</w:t>
            </w:r>
            <w:r w:rsidRPr="00807E81">
              <w:rPr>
                <w:rFonts w:eastAsia="Calibri"/>
                <w:sz w:val="20"/>
                <w:szCs w:val="20"/>
                <w:u w:val="single"/>
              </w:rPr>
              <w:t>+</w:t>
            </w:r>
            <w:r w:rsidRPr="00807E81">
              <w:rPr>
                <w:rFonts w:eastAsia="Calibri"/>
                <w:sz w:val="20"/>
                <w:szCs w:val="20"/>
              </w:rPr>
              <w:t xml:space="preserve"> 0/1) frakcijos smėlio ir dolomitinės ar granitinės skaldos atsijų mišinio. Pasluoksnis sutankinamas kartu su paklotomis trinkelėmis. Sutankintos būklės pasluoksnio storis turi būti ne mažesnis kaip 3 cm. Pasluoksnio ir siūlių užpildo mineralinių medžiagų mišiniai turi atitikti Automobilių kelių trinkelių, plokščių ir kitų medžiagų techninių reikalavimų apraše TRA TRINKELĖS 14 nustatytus reikalavimus.</w:t>
            </w:r>
          </w:p>
          <w:p w:rsidR="00807E81" w:rsidRPr="00807E81" w:rsidRDefault="00807E81" w:rsidP="00807E81">
            <w:pPr>
              <w:autoSpaceDE w:val="0"/>
              <w:autoSpaceDN w:val="0"/>
              <w:adjustRightInd w:val="0"/>
              <w:ind w:right="27" w:firstLine="851"/>
              <w:jc w:val="both"/>
              <w:rPr>
                <w:rFonts w:eastAsia="Calibri"/>
                <w:b/>
                <w:sz w:val="20"/>
                <w:szCs w:val="20"/>
              </w:rPr>
            </w:pPr>
            <w:r w:rsidRPr="00807E81">
              <w:rPr>
                <w:rFonts w:eastAsia="Calibri"/>
                <w:b/>
                <w:i/>
                <w:iCs/>
                <w:sz w:val="20"/>
                <w:szCs w:val="20"/>
              </w:rPr>
              <w:t>Trinkelių tarpų užpildas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tarpai užpildomi 0/4 (</w:t>
            </w:r>
            <w:r w:rsidRPr="00807E81">
              <w:rPr>
                <w:rFonts w:eastAsia="Calibri"/>
                <w:sz w:val="20"/>
                <w:szCs w:val="20"/>
                <w:u w:val="single"/>
              </w:rPr>
              <w:t>+</w:t>
            </w:r>
            <w:r w:rsidRPr="00807E81">
              <w:rPr>
                <w:rFonts w:eastAsia="Calibri"/>
                <w:sz w:val="20"/>
                <w:szCs w:val="20"/>
              </w:rPr>
              <w:t xml:space="preserve"> 0/1) frakcijos polimeriniu ar lygiaverčiu smėliu. Mišinys turi atitikti aprašo TRA TRINKELĖS 14 reikalavimus.</w:t>
            </w:r>
          </w:p>
          <w:p w:rsidR="00807E81" w:rsidRPr="00807E81" w:rsidRDefault="00807E81" w:rsidP="00807E81">
            <w:pPr>
              <w:autoSpaceDE w:val="0"/>
              <w:autoSpaceDN w:val="0"/>
              <w:adjustRightInd w:val="0"/>
              <w:ind w:right="27" w:firstLine="851"/>
              <w:jc w:val="both"/>
              <w:rPr>
                <w:rFonts w:eastAsia="Calibri"/>
                <w:b/>
                <w:bCs/>
                <w:sz w:val="20"/>
                <w:szCs w:val="20"/>
              </w:rPr>
            </w:pPr>
            <w:r w:rsidRPr="00807E81">
              <w:rPr>
                <w:rFonts w:eastAsia="Calibri"/>
                <w:b/>
                <w:bCs/>
                <w:sz w:val="20"/>
                <w:szCs w:val="20"/>
              </w:rPr>
              <w:t>Betoninių trinkelių takas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3"/>
              <w:gridCol w:w="3118"/>
            </w:tblGrid>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Takų, nuogrindų danga įrengiama iš betoninių trinkelių, kurių matmenys 200x100x60(h) mm (</w:t>
                  </w:r>
                  <w:r w:rsidRPr="00807E81">
                    <w:rPr>
                      <w:rFonts w:eastAsia="Calibri"/>
                      <w:sz w:val="20"/>
                      <w:szCs w:val="20"/>
                      <w:u w:val="single"/>
                    </w:rPr>
                    <w:t>+</w:t>
                  </w:r>
                  <w:r w:rsidRPr="00807E81">
                    <w:rPr>
                      <w:rFonts w:eastAsia="Calibri"/>
                      <w:sz w:val="20"/>
                      <w:szCs w:val="20"/>
                    </w:rPr>
                    <w:t>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sz w:val="20"/>
                      <w:szCs w:val="20"/>
                      <w:lang w:val="en-US"/>
                    </w:rPr>
                  </w:pPr>
                  <w:r w:rsidRPr="00807E81">
                    <w:rPr>
                      <w:rFonts w:eastAsia="Calibri"/>
                      <w:noProof/>
                      <w:sz w:val="20"/>
                      <w:szCs w:val="20"/>
                      <w:lang w:eastAsia="lt-LT"/>
                    </w:rPr>
                    <w:drawing>
                      <wp:inline distT="0" distB="0" distL="0" distR="0" wp14:anchorId="2BF7ABD7" wp14:editId="57881CA3">
                        <wp:extent cx="1060450" cy="596503"/>
                        <wp:effectExtent l="0" t="0" r="6350" b="0"/>
                        <wp:docPr id="9"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0897" cy="602379"/>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Įspėjamųjų paviršių ir neregių vedimo juostos įrengiamos iš betoninių taktilinių trinkelių, kurių matmenys 200x100x60(h) mm (</w:t>
                  </w:r>
                  <w:r w:rsidRPr="00807E81">
                    <w:rPr>
                      <w:rFonts w:eastAsia="Calibri"/>
                      <w:sz w:val="20"/>
                      <w:szCs w:val="20"/>
                      <w:u w:val="single"/>
                    </w:rPr>
                    <w:t>+</w:t>
                  </w:r>
                  <w:r w:rsidRPr="00807E81">
                    <w:rPr>
                      <w:rFonts w:eastAsia="Calibri"/>
                      <w:sz w:val="20"/>
                      <w:szCs w:val="20"/>
                    </w:rPr>
                    <w:t xml:space="preserve"> 2 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1BBF88A3" wp14:editId="1DE98C84">
                        <wp:extent cx="682901" cy="615950"/>
                        <wp:effectExtent l="0" t="0" r="3175" b="0"/>
                        <wp:docPr id="10" name="Paveikslėlis 3" descr="Grindinio trinkelės PRIZMA-6A/6R - Grindinio trinkelės - Aplinkos tvarkymo  elementai - - Produk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descr="Grindinio trinkelės PRIZMA-6A/6R - Grindinio trinkelės - Aplinkos tvarkymo  elementai - - Produkcija"/>
                                <pic:cNvPicPr>
                                  <a:picLocks noChangeAspect="1" noChangeArrowheads="1"/>
                                </pic:cNvPicPr>
                              </pic:nvPicPr>
                              <pic:blipFill>
                                <a:blip r:embed="rId18" cstate="print">
                                  <a:extLst>
                                    <a:ext uri="{28A0092B-C50C-407E-A947-70E740481C1C}">
                                      <a14:useLocalDpi xmlns:a14="http://schemas.microsoft.com/office/drawing/2010/main" val="0"/>
                                    </a:ext>
                                  </a:extLst>
                                </a:blip>
                                <a:srcRect l="13562" t="1367" r="15350" b="5321"/>
                                <a:stretch>
                                  <a:fillRect/>
                                </a:stretch>
                              </pic:blipFill>
                              <pic:spPr bwMode="auto">
                                <a:xfrm>
                                  <a:off x="0" y="0"/>
                                  <a:ext cx="688152" cy="620686"/>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Vejos bordiūro elementai naudojami gėlynams ar žaliosioms vejoms atskirti nuo šaligatvių, takų.</w:t>
                  </w:r>
                </w:p>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1000x50x200(h) mm (</w:t>
                  </w:r>
                  <w:r w:rsidRPr="00807E81">
                    <w:rPr>
                      <w:rFonts w:eastAsia="Calibri"/>
                      <w:sz w:val="20"/>
                      <w:szCs w:val="20"/>
                      <w:u w:val="single"/>
                    </w:rPr>
                    <w:t>+</w:t>
                  </w:r>
                  <w:r w:rsidRPr="00807E81">
                    <w:rPr>
                      <w:rFonts w:eastAsia="Calibri"/>
                      <w:sz w:val="20"/>
                      <w:szCs w:val="20"/>
                    </w:rPr>
                    <w:t xml:space="preserve"> 5mm).</w:t>
                  </w:r>
                </w:p>
              </w:tc>
              <w:tc>
                <w:tcPr>
                  <w:tcW w:w="3118" w:type="dxa"/>
                  <w:shd w:val="clear" w:color="auto" w:fill="auto"/>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23C05961" wp14:editId="2531A546">
                        <wp:extent cx="990600" cy="606647"/>
                        <wp:effectExtent l="0" t="0" r="0" b="3175"/>
                        <wp:docPr id="1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002937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1210" cy="613144"/>
                                </a:xfrm>
                                <a:prstGeom prst="rect">
                                  <a:avLst/>
                                </a:prstGeom>
                                <a:noFill/>
                                <a:ln>
                                  <a:noFill/>
                                </a:ln>
                              </pic:spPr>
                            </pic:pic>
                          </a:graphicData>
                        </a:graphic>
                      </wp:inline>
                    </w:drawing>
                  </w:r>
                </w:p>
              </w:tc>
            </w:tr>
            <w:tr w:rsidR="00807E81" w:rsidRPr="00807E81" w:rsidTr="00D975E4">
              <w:tc>
                <w:tcPr>
                  <w:tcW w:w="5973" w:type="dxa"/>
                  <w:shd w:val="clear" w:color="auto" w:fill="auto"/>
                  <w:vAlign w:val="center"/>
                </w:tcPr>
                <w:p w:rsidR="00807E81" w:rsidRPr="00807E81" w:rsidRDefault="00807E81" w:rsidP="00807E81">
                  <w:pPr>
                    <w:autoSpaceDE w:val="0"/>
                    <w:autoSpaceDN w:val="0"/>
                    <w:adjustRightInd w:val="0"/>
                    <w:ind w:right="27"/>
                    <w:rPr>
                      <w:rFonts w:eastAsia="Calibri"/>
                      <w:sz w:val="20"/>
                      <w:szCs w:val="20"/>
                    </w:rPr>
                  </w:pPr>
                  <w:r w:rsidRPr="00807E81">
                    <w:rPr>
                      <w:rFonts w:eastAsia="Calibri"/>
                      <w:sz w:val="20"/>
                      <w:szCs w:val="20"/>
                    </w:rPr>
                    <w:t>Įvažiavimo bordiūras nusklembtas 1000x150x220(h) mm (</w:t>
                  </w:r>
                  <w:r w:rsidRPr="00807E81">
                    <w:rPr>
                      <w:rFonts w:eastAsia="Calibri"/>
                      <w:sz w:val="20"/>
                      <w:szCs w:val="20"/>
                      <w:u w:val="single"/>
                    </w:rPr>
                    <w:t>+</w:t>
                  </w:r>
                  <w:r w:rsidRPr="00807E81">
                    <w:rPr>
                      <w:rFonts w:eastAsia="Calibri"/>
                      <w:sz w:val="20"/>
                      <w:szCs w:val="20"/>
                    </w:rPr>
                    <w:t xml:space="preserve"> 5 mm).</w:t>
                  </w:r>
                </w:p>
              </w:tc>
              <w:tc>
                <w:tcPr>
                  <w:tcW w:w="3118" w:type="dxa"/>
                  <w:shd w:val="clear" w:color="auto" w:fill="auto"/>
                  <w:vAlign w:val="center"/>
                </w:tcPr>
                <w:p w:rsidR="00807E81" w:rsidRPr="00807E81" w:rsidRDefault="00807E81" w:rsidP="00807E81">
                  <w:pPr>
                    <w:autoSpaceDE w:val="0"/>
                    <w:autoSpaceDN w:val="0"/>
                    <w:adjustRightInd w:val="0"/>
                    <w:ind w:right="27"/>
                    <w:jc w:val="center"/>
                    <w:rPr>
                      <w:rFonts w:eastAsia="Calibri"/>
                      <w:noProof/>
                      <w:sz w:val="20"/>
                      <w:szCs w:val="20"/>
                      <w:lang w:val="en-US"/>
                    </w:rPr>
                  </w:pPr>
                  <w:r w:rsidRPr="00807E81">
                    <w:rPr>
                      <w:rFonts w:eastAsia="Calibri"/>
                      <w:noProof/>
                      <w:sz w:val="20"/>
                      <w:szCs w:val="20"/>
                      <w:lang w:eastAsia="lt-LT"/>
                    </w:rPr>
                    <w:drawing>
                      <wp:inline distT="0" distB="0" distL="0" distR="0" wp14:anchorId="7C9E2965" wp14:editId="5AA70605">
                        <wp:extent cx="1060450" cy="604955"/>
                        <wp:effectExtent l="0" t="0" r="6350" b="5080"/>
                        <wp:docPr id="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70654" cy="610776"/>
                                </a:xfrm>
                                <a:prstGeom prst="rect">
                                  <a:avLst/>
                                </a:prstGeom>
                                <a:noFill/>
                                <a:ln>
                                  <a:noFill/>
                                </a:ln>
                              </pic:spPr>
                            </pic:pic>
                          </a:graphicData>
                        </a:graphic>
                      </wp:inline>
                    </w:drawing>
                  </w:r>
                </w:p>
              </w:tc>
            </w:tr>
          </w:tbl>
          <w:p w:rsidR="00807E81" w:rsidRPr="00807E81" w:rsidRDefault="00807E81" w:rsidP="00807E81">
            <w:pPr>
              <w:autoSpaceDE w:val="0"/>
              <w:autoSpaceDN w:val="0"/>
              <w:adjustRightInd w:val="0"/>
              <w:ind w:right="27" w:firstLine="851"/>
              <w:jc w:val="both"/>
              <w:rPr>
                <w:rFonts w:eastAsia="Calibri"/>
                <w:b/>
                <w:i/>
                <w:iCs/>
                <w:sz w:val="20"/>
                <w:szCs w:val="20"/>
              </w:rPr>
            </w:pPr>
            <w:r w:rsidRPr="00807E81">
              <w:rPr>
                <w:rFonts w:eastAsia="Calibri"/>
                <w:b/>
                <w:i/>
                <w:iCs/>
                <w:sz w:val="20"/>
                <w:szCs w:val="20"/>
              </w:rPr>
              <w:t>Trinkelių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0,1l). Ardančioji apkrova ≥ 250 N/mm</w:t>
            </w:r>
            <w:r w:rsidRPr="00807E81">
              <w:rPr>
                <w:rFonts w:eastAsia="Calibri"/>
                <w:sz w:val="20"/>
                <w:szCs w:val="20"/>
                <w:vertAlign w:val="superscript"/>
              </w:rPr>
              <w:t>2</w:t>
            </w:r>
            <w:r w:rsidRPr="00807E81">
              <w:rPr>
                <w:rFonts w:eastAsia="Calibri"/>
                <w:sz w:val="20"/>
                <w:szCs w:val="20"/>
              </w:rPr>
              <w:t xml:space="preserve">.  </w:t>
            </w:r>
            <w:r w:rsidRPr="00807E81">
              <w:rPr>
                <w:rFonts w:eastAsia="Calibri"/>
                <w:bCs/>
                <w:sz w:val="20"/>
                <w:szCs w:val="20"/>
              </w:rPr>
              <w:t>Trinkelės turi būti nesuskilusios, be nudaužytų kampų ir zonų.</w:t>
            </w:r>
            <w:r w:rsidRPr="00807E81">
              <w:rPr>
                <w:rFonts w:eastAsia="Calibri"/>
                <w:sz w:val="20"/>
                <w:szCs w:val="20"/>
              </w:rPr>
              <w:t xml:space="preserve"> Betoninės trinkelės turi atitikti LST EN 1338 ar lygiaverčio standarto reikalavimus.</w:t>
            </w:r>
          </w:p>
          <w:p w:rsidR="00807E81" w:rsidRPr="00807E81" w:rsidRDefault="00807E81" w:rsidP="00807E81">
            <w:pPr>
              <w:autoSpaceDE w:val="0"/>
              <w:autoSpaceDN w:val="0"/>
              <w:adjustRightInd w:val="0"/>
              <w:ind w:right="27" w:firstLine="851"/>
              <w:jc w:val="both"/>
              <w:rPr>
                <w:rFonts w:eastAsia="Calibri"/>
                <w:b/>
                <w:i/>
                <w:sz w:val="20"/>
                <w:szCs w:val="20"/>
              </w:rPr>
            </w:pPr>
            <w:r w:rsidRPr="00807E81">
              <w:rPr>
                <w:rFonts w:eastAsia="Calibri"/>
                <w:b/>
                <w:i/>
                <w:sz w:val="20"/>
                <w:szCs w:val="20"/>
              </w:rPr>
              <w:t>Gatvės ir vejos bordiūrų eksploatacinės savybės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Vandens įgeriamumas  ≤ 6%. Atsparumas šalčiui  ≤ 1,0 kg/m</w:t>
            </w:r>
            <w:r w:rsidRPr="00807E81">
              <w:rPr>
                <w:rFonts w:eastAsia="Calibri"/>
                <w:sz w:val="20"/>
                <w:szCs w:val="20"/>
                <w:vertAlign w:val="superscript"/>
              </w:rPr>
              <w:t>2</w:t>
            </w:r>
            <w:r w:rsidRPr="00807E81">
              <w:rPr>
                <w:rFonts w:eastAsia="Calibri"/>
                <w:sz w:val="20"/>
                <w:szCs w:val="20"/>
              </w:rPr>
              <w:t xml:space="preserve"> po 28 ciklų. Atsparumas dilumui – 4l (</w:t>
            </w:r>
            <w:r w:rsidRPr="00807E81">
              <w:rPr>
                <w:rFonts w:eastAsia="Calibri"/>
                <w:sz w:val="20"/>
                <w:szCs w:val="20"/>
                <w:u w:val="single"/>
              </w:rPr>
              <w:t>+</w:t>
            </w:r>
            <w:r w:rsidRPr="00807E81">
              <w:rPr>
                <w:rFonts w:eastAsia="Calibri"/>
                <w:sz w:val="20"/>
                <w:szCs w:val="20"/>
              </w:rPr>
              <w:t xml:space="preserve"> 0,1 l). Tempimo stipris lenkiant ≥ 3,5 MPa. </w:t>
            </w:r>
            <w:r w:rsidRPr="00807E81">
              <w:rPr>
                <w:rFonts w:eastAsia="Calibri"/>
                <w:bCs/>
                <w:sz w:val="20"/>
                <w:szCs w:val="20"/>
              </w:rPr>
              <w:t xml:space="preserve">Bordiūrai turi būti nesuskilę, be nudaužytų kampų ir zonų. Bordiūrai </w:t>
            </w:r>
            <w:r w:rsidRPr="00807E81">
              <w:rPr>
                <w:rFonts w:eastAsia="Calibri"/>
                <w:sz w:val="20"/>
                <w:szCs w:val="20"/>
              </w:rPr>
              <w:t>turi atitikti LST EN 1340 ar lygiaverčio standarto reikalavimus.</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Skersinis tako nuolydis turi būti ne didesnis kaip 1:7. Skersinių nuolydžių nuokrypiai nuo projektinių neturi skirtis daugiau kaip ± 0,5 %.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Trinkelių danga siūlių vietose turi būti paklota vienodame aukštyje (lygyje). Klojant lygaus paviršiaus statybos produktus nuokrypis neturi viršyti 2 mm. Įrengiant trinkelių dangų prijungtis prie apvadų, šių dangų paviršius turi būti 3–5 mm aukštesnis už apvadų paviršių. Betoninės trinkelės ant skaldos atsijų pasluoksnio išdėstomos/klojamos eilėmis taisyklingu šablonu (pagal esamų takų raštą), paliekant siūlių tarpelius. Siūlių plotis turi būti nuo 3 mm iki 5 mm. Prieš klojant trinkelių dangą būsimos dangos kraštuose įrengiami bortai. Visos trinkelių dangos atribojamos. Bortai turi būti taisyklingi, lygūs ir prieš pradedant klojimo darbus statybos  vadovo patikrinti ir aprobuoti. Bortai pagal ilgį sujungiami 6 mm (</w:t>
            </w:r>
            <w:r w:rsidRPr="00807E81">
              <w:rPr>
                <w:rFonts w:eastAsia="Calibri"/>
                <w:sz w:val="20"/>
                <w:szCs w:val="20"/>
                <w:u w:val="single"/>
              </w:rPr>
              <w:t>+</w:t>
            </w:r>
            <w:r w:rsidRPr="00807E81">
              <w:rPr>
                <w:rFonts w:eastAsia="Calibri"/>
                <w:sz w:val="20"/>
                <w:szCs w:val="20"/>
              </w:rPr>
              <w:t xml:space="preserve"> 2 mm) storio cemento skiediniu. Bordiūrai klojami ant 15 cm (</w:t>
            </w:r>
            <w:r w:rsidRPr="00807E81">
              <w:rPr>
                <w:rFonts w:eastAsia="Calibri"/>
                <w:sz w:val="20"/>
                <w:szCs w:val="20"/>
                <w:u w:val="single"/>
              </w:rPr>
              <w:t xml:space="preserve">+ </w:t>
            </w:r>
            <w:r w:rsidRPr="00807E81">
              <w:rPr>
                <w:rFonts w:eastAsia="Calibri"/>
                <w:sz w:val="20"/>
                <w:szCs w:val="20"/>
              </w:rPr>
              <w:t xml:space="preserve">10 mm) storio pamato su atspara. Naudojamo betono markė ne žemesnė kaip C 12/15. Pamatas ir atspara turi būti tinkamai sutankinti. Lygaus paviršiaus bordiūrų ir kitų elementų tarpusavio viršutinio ir priekinio paviršiaus nuokrypiai siūlės vietoje neturi būti didesni kaip 2,0 mm. Bortai turi atitikti LST EN 1340 ar lygiaverčius techninius reikalavimus. </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b/>
                <w:i/>
                <w:iCs/>
                <w:sz w:val="20"/>
                <w:szCs w:val="20"/>
              </w:rPr>
              <w:t>Pastaba</w:t>
            </w:r>
            <w:r w:rsidRPr="00807E81">
              <w:rPr>
                <w:rFonts w:eastAsia="Calibri"/>
                <w:i/>
                <w:iCs/>
                <w:sz w:val="20"/>
                <w:szCs w:val="20"/>
              </w:rPr>
              <w:t xml:space="preserve">. </w:t>
            </w:r>
            <w:r w:rsidRPr="00807E81">
              <w:rPr>
                <w:rFonts w:eastAsia="Calibri"/>
                <w:sz w:val="20"/>
                <w:szCs w:val="20"/>
              </w:rPr>
              <w:t xml:space="preserve">Pagrindo sluoksnių be rišiklių sutankinimo rodiklis </w:t>
            </w:r>
            <w:r w:rsidRPr="00807E81">
              <w:rPr>
                <w:rFonts w:eastAsia="Calibri"/>
                <w:i/>
                <w:sz w:val="20"/>
                <w:szCs w:val="20"/>
              </w:rPr>
              <w:t>D</w:t>
            </w:r>
            <w:r w:rsidRPr="00807E81">
              <w:rPr>
                <w:rFonts w:eastAsia="Calibri"/>
                <w:sz w:val="20"/>
                <w:szCs w:val="20"/>
                <w:vertAlign w:val="subscript"/>
              </w:rPr>
              <w:t>Pr</w:t>
            </w:r>
            <w:r w:rsidRPr="00807E81">
              <w:rPr>
                <w:rFonts w:eastAsia="Calibri"/>
                <w:sz w:val="20"/>
                <w:szCs w:val="20"/>
              </w:rPr>
              <w:t xml:space="preserve"> gali būti įvertintas netiesiogiai, t. y. pagal deformacijos modulių santykį </w:t>
            </w:r>
            <w:r w:rsidRPr="00807E81">
              <w:rPr>
                <w:rFonts w:eastAsia="Calibri"/>
                <w:i/>
                <w:sz w:val="20"/>
                <w:szCs w:val="20"/>
              </w:rPr>
              <w:t>E</w:t>
            </w:r>
            <w:r w:rsidRPr="00807E81">
              <w:rPr>
                <w:rFonts w:eastAsia="Calibri"/>
                <w:sz w:val="20"/>
                <w:szCs w:val="20"/>
                <w:vertAlign w:val="subscript"/>
              </w:rPr>
              <w:t>V2</w:t>
            </w:r>
            <w:r w:rsidRPr="00807E81">
              <w:rPr>
                <w:rFonts w:eastAsia="Calibri"/>
                <w:sz w:val="20"/>
                <w:szCs w:val="20"/>
              </w:rPr>
              <w:t>/</w:t>
            </w:r>
            <w:r w:rsidRPr="00807E81">
              <w:rPr>
                <w:rFonts w:eastAsia="Calibri"/>
                <w:i/>
                <w:sz w:val="20"/>
                <w:szCs w:val="20"/>
              </w:rPr>
              <w:t>E</w:t>
            </w:r>
            <w:r w:rsidRPr="00807E81">
              <w:rPr>
                <w:rFonts w:eastAsia="Calibri"/>
                <w:sz w:val="20"/>
                <w:szCs w:val="20"/>
                <w:vertAlign w:val="subscript"/>
              </w:rPr>
              <w:t>V1</w:t>
            </w:r>
            <w:r w:rsidRPr="00807E81">
              <w:rPr>
                <w:rFonts w:eastAsia="Calibri"/>
                <w:sz w:val="20"/>
                <w:szCs w:val="20"/>
              </w:rPr>
              <w:t xml:space="preserve">, nustatytų pagal standartą LST 1360-5 ar lygiavertį. Darbai turi būti atliekami vadovaujantis Automobilių kelių dangos konstrukcijos sluoksnių be rišiklių įrengimo taisyklėmis ĮT SBR 19 ir Automobilių kelių dangos konstrukcijos iš trinkelių ir plokščių įrengimo taisyklėmis </w:t>
            </w:r>
          </w:p>
          <w:p w:rsidR="00807E81" w:rsidRPr="00807E81" w:rsidRDefault="00807E81" w:rsidP="00807E81">
            <w:pPr>
              <w:autoSpaceDE w:val="0"/>
              <w:autoSpaceDN w:val="0"/>
              <w:adjustRightInd w:val="0"/>
              <w:spacing w:before="120" w:after="120"/>
              <w:ind w:right="28" w:firstLine="851"/>
              <w:jc w:val="center"/>
              <w:rPr>
                <w:rFonts w:eastAsia="Calibri"/>
                <w:b/>
                <w:bCs/>
                <w:sz w:val="20"/>
                <w:szCs w:val="20"/>
              </w:rPr>
            </w:pPr>
            <w:r w:rsidRPr="00807E81">
              <w:rPr>
                <w:rFonts w:eastAsia="Calibri"/>
                <w:b/>
                <w:bCs/>
                <w:sz w:val="20"/>
                <w:szCs w:val="20"/>
              </w:rPr>
              <w:t>AUTOMATINIŲ DURŲ TECHNINĖ SPECIFIKACIJA</w:t>
            </w:r>
          </w:p>
          <w:p w:rsidR="00807E81" w:rsidRPr="00807E81" w:rsidRDefault="00807E81" w:rsidP="00807E81">
            <w:pPr>
              <w:autoSpaceDE w:val="0"/>
              <w:autoSpaceDN w:val="0"/>
              <w:adjustRightInd w:val="0"/>
              <w:ind w:right="27" w:firstLine="851"/>
              <w:jc w:val="both"/>
              <w:rPr>
                <w:rFonts w:eastAsia="Calibri"/>
                <w:sz w:val="20"/>
                <w:szCs w:val="20"/>
              </w:rPr>
            </w:pPr>
            <w:r w:rsidRPr="00807E81">
              <w:rPr>
                <w:rFonts w:eastAsia="Calibri"/>
                <w:sz w:val="20"/>
                <w:szCs w:val="20"/>
              </w:rPr>
              <w:t>Aliuminio ar lygiaverčio rėmo vitrinos su slankiojančiu dvivėriu segmentu (2,1 x 1,3 m (</w:t>
            </w:r>
            <w:r w:rsidRPr="00807E81">
              <w:rPr>
                <w:rFonts w:eastAsia="Calibri"/>
                <w:sz w:val="20"/>
                <w:szCs w:val="20"/>
                <w:u w:val="single"/>
              </w:rPr>
              <w:t>+</w:t>
            </w:r>
            <w:r w:rsidRPr="00807E81">
              <w:rPr>
                <w:rFonts w:eastAsia="Calibri"/>
                <w:sz w:val="20"/>
                <w:szCs w:val="20"/>
              </w:rPr>
              <w:t xml:space="preserve"> 0,01 m)) montavimas. Vitrina ir durys su saugiu stiklu, el. pavara, jutikliais, jungikliais ir pilna furnitūra. Spalva – balta.</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Durys iš gamintojo turi būti pristatytos surinktos į blokus. Visos durys turi būti gamyklinio išbaigtumo ir sertifikuotos Lietuvoje (pristačius duris turės būti pateikti įrodantys dokumentai). Gamintojas atsakingas už gaminių kokybę ir nustatytus atsparumo ugniai bei garso izoliavimui reikalavimus. Bandant gaminius, įvežamus iš kitų šalių, jų pagaminimo šalyje, bandymo metodai turi būti identiški ir priimtini Lietuvos institucijoms. Rangovas privalo gauti bandymų, rezultatų dokumentus ir sertifikatus bei pateikti šią dokumentaciją Užsakovui, jei to bus paprašytas. Prieš pradėdamas durų gamybą, tiekėjas privalo gauti perkančiosios organizacijos raštišką patvirtinimą dėl spalvos ir durų dizaino.</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Prieš pradedant gamybą, rangovas turi kartu įvertinti sąlygas vietoje, angų dydžius ir išmatavimus, spalvas ir montavimo tvarką, kad montavimo darbus būtų galima atlikti greitai ir tiksliai. Pradėjus kiekvieno durų tipo montavimo darbus, montavimo pavyzdys turi būti pateikiamas perkančiosios organizacijos patvirtinimui. Nematomi tvirtinimai gali būti padengti cinku ar kita atsparia vandeniui ir išorės poveikiams danga. Visos patalpų durys turi būti atsparios santykiniam drėgnumui iki 80%. Garso izoliavimo vertė pateikiama kaip laboratorijos tyrimų vertė “dBA“. Laboratorinė vertė turi būti įvertinta tomis sąlygomis, kokiose bus montuojamos durys. Garsą izoliuojančios durys turi turėti etiketę, kurioje pateikiama garso izoliavimo vertė, tiriančiojo instituto pavadinimas ir gamintojo pavadinimas. Fiksuotos dalys virš durų ir elektros laidų konsolės, įtrauktos, į durų konstrukciją, turi turėti tokią pačią garso izoliavimo vertę, kaip ir pačios durys.</w:t>
            </w:r>
          </w:p>
          <w:p w:rsidR="00807E81" w:rsidRPr="00807E81" w:rsidRDefault="00807E81" w:rsidP="00807E81">
            <w:pPr>
              <w:autoSpaceDE w:val="0"/>
              <w:autoSpaceDN w:val="0"/>
              <w:adjustRightInd w:val="0"/>
              <w:ind w:right="27" w:firstLine="851"/>
              <w:jc w:val="both"/>
              <w:rPr>
                <w:sz w:val="20"/>
                <w:szCs w:val="20"/>
              </w:rPr>
            </w:pPr>
            <w:r w:rsidRPr="00807E81">
              <w:rPr>
                <w:sz w:val="20"/>
                <w:szCs w:val="20"/>
              </w:rPr>
              <w:t>Gaminio komplektą sudaro: varčia, automatinis slenkstis (jei numatomas) ir pilnas paruošimas numatytiems rakinimo/automatinio rakinimo sprendimams.</w:t>
            </w:r>
          </w:p>
          <w:tbl>
            <w:tblPr>
              <w:tblStyle w:val="Lentelstinklelis"/>
              <w:tblW w:w="0" w:type="auto"/>
              <w:tblLayout w:type="fixed"/>
              <w:tblLook w:val="04A0" w:firstRow="1" w:lastRow="0" w:firstColumn="1" w:lastColumn="0" w:noHBand="0" w:noVBand="1"/>
            </w:tblPr>
            <w:tblGrid>
              <w:gridCol w:w="4106"/>
              <w:gridCol w:w="5245"/>
            </w:tblGrid>
            <w:tr w:rsidR="00807E81" w:rsidRPr="00807E81" w:rsidTr="00D975E4">
              <w:trPr>
                <w:trHeight w:val="1956"/>
              </w:trPr>
              <w:tc>
                <w:tcPr>
                  <w:tcW w:w="4106" w:type="dxa"/>
                </w:tcPr>
                <w:p w:rsidR="00807E81" w:rsidRPr="00807E81" w:rsidRDefault="00807E81" w:rsidP="00807E81">
                  <w:pPr>
                    <w:rPr>
                      <w:sz w:val="20"/>
                      <w:szCs w:val="20"/>
                    </w:rPr>
                  </w:pPr>
                  <w:r w:rsidRPr="00807E81">
                    <w:rPr>
                      <w:noProof/>
                      <w:sz w:val="20"/>
                      <w:szCs w:val="20"/>
                      <w:lang w:eastAsia="lt-LT"/>
                    </w:rPr>
                    <w:drawing>
                      <wp:anchor distT="0" distB="0" distL="114300" distR="114300" simplePos="0" relativeHeight="251661312" behindDoc="0" locked="0" layoutInCell="1" allowOverlap="1" wp14:anchorId="549ED13F" wp14:editId="6BCE3926">
                        <wp:simplePos x="0" y="0"/>
                        <wp:positionH relativeFrom="column">
                          <wp:posOffset>-2540</wp:posOffset>
                        </wp:positionH>
                        <wp:positionV relativeFrom="paragraph">
                          <wp:posOffset>193675</wp:posOffset>
                        </wp:positionV>
                        <wp:extent cx="2051050" cy="730250"/>
                        <wp:effectExtent l="0" t="0" r="6350" b="0"/>
                        <wp:wrapNone/>
                        <wp:docPr id="13" name="Picture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2B4096-9847-4453-98C5-1E387CC45353}"/>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D32B4096-9847-4453-98C5-1E387CC45353}"/>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51050" cy="730250"/>
                                </a:xfrm>
                                <a:prstGeom prst="rect">
                                  <a:avLst/>
                                </a:prstGeom>
                                <a:noFill/>
                              </pic:spPr>
                            </pic:pic>
                          </a:graphicData>
                        </a:graphic>
                        <wp14:sizeRelH relativeFrom="page">
                          <wp14:pctWidth>0</wp14:pctWidth>
                        </wp14:sizeRelH>
                        <wp14:sizeRelV relativeFrom="page">
                          <wp14:pctHeight>0</wp14:pctHeight>
                        </wp14:sizeRelV>
                      </wp:anchor>
                    </w:drawing>
                  </w:r>
                  <w:r w:rsidRPr="00807E81">
                    <w:rPr>
                      <w:sz w:val="20"/>
                      <w:szCs w:val="20"/>
                    </w:rPr>
                    <w:t>SPALVA  Balta RAL9010 ar lygiavertė</w:t>
                  </w:r>
                </w:p>
                <w:p w:rsidR="00807E81" w:rsidRPr="00807E81" w:rsidRDefault="00807E81" w:rsidP="00807E81">
                  <w:pPr>
                    <w:autoSpaceDE w:val="0"/>
                    <w:autoSpaceDN w:val="0"/>
                    <w:adjustRightInd w:val="0"/>
                    <w:ind w:right="27"/>
                    <w:jc w:val="both"/>
                    <w:rPr>
                      <w:sz w:val="20"/>
                      <w:szCs w:val="20"/>
                    </w:rPr>
                  </w:pPr>
                </w:p>
              </w:tc>
              <w:tc>
                <w:tcPr>
                  <w:tcW w:w="5245" w:type="dxa"/>
                </w:tcPr>
                <w:p w:rsidR="00807E81" w:rsidRPr="00807E81" w:rsidRDefault="00807E81" w:rsidP="00807E81">
                  <w:pPr>
                    <w:jc w:val="both"/>
                    <w:rPr>
                      <w:sz w:val="20"/>
                      <w:szCs w:val="20"/>
                    </w:rPr>
                  </w:pPr>
                  <w:r w:rsidRPr="00807E81">
                    <w:rPr>
                      <w:sz w:val="20"/>
                      <w:szCs w:val="20"/>
                    </w:rPr>
                    <w:t xml:space="preserve">APRAŠYMAS Rėmas – aliuminio ar lygiavertis profilis, dažytas. Su saugiu stiklu, integruotomis rankenomis, sandarinimo profiliu ir tvirtinimo detalėmis. Durų profilio storis ≥ 40 mm. Durys dviejų varčių su pusiau automatiniu būdu valdoma praėjimo kontrole (kojinis jungiklis iš abiejų pusių): automatine pavara su įėjimo/išėjimo kontaktais, integruotu kabelių kanalu, integruota baterija, saugos davikliais, plieniniais kojiniais jungikliais. </w:t>
                  </w:r>
                </w:p>
                <w:p w:rsidR="00807E81" w:rsidRPr="00807E81" w:rsidRDefault="00807E81" w:rsidP="00807E81">
                  <w:pPr>
                    <w:jc w:val="both"/>
                    <w:rPr>
                      <w:sz w:val="20"/>
                      <w:szCs w:val="20"/>
                    </w:rPr>
                  </w:pPr>
                  <w:r w:rsidRPr="00807E81">
                    <w:rPr>
                      <w:sz w:val="20"/>
                      <w:szCs w:val="20"/>
                    </w:rPr>
                    <w:t>Varčios svoris iki 200 kg. Stiklas ‒ ne plonesnis kaip 6 mm grūdintas laminuotas. Durys gaisro metu, dingus elektrai turi atsidaryti nuo nepriklausomo energijos šaltinio arba rankiniu būdu.</w:t>
                  </w:r>
                </w:p>
                <w:p w:rsidR="00807E81" w:rsidRPr="00807E81" w:rsidRDefault="00807E81" w:rsidP="00807E81">
                  <w:pPr>
                    <w:jc w:val="both"/>
                    <w:rPr>
                      <w:noProof/>
                      <w:sz w:val="20"/>
                      <w:szCs w:val="20"/>
                    </w:rPr>
                  </w:pPr>
                  <w:r w:rsidRPr="00807E81">
                    <w:rPr>
                      <w:sz w:val="20"/>
                      <w:szCs w:val="20"/>
                    </w:rPr>
                    <w:t>Automatika turi būti surinkta gamintojo, su originaliomis detalėmis ir medžiagomis. Automatinių pavarų garantinis periodas ne trumpesnis kaip 24 mėn. Automatinės durų sistemos turi atitikti DIN 18650 / EN 16005 ar lygiaverčius standartus</w:t>
                  </w:r>
                </w:p>
              </w:tc>
            </w:tr>
          </w:tbl>
          <w:p w:rsidR="00807E81" w:rsidRPr="00807E81" w:rsidRDefault="00807E81" w:rsidP="00807E81">
            <w:pPr>
              <w:widowControl w:val="0"/>
              <w:tabs>
                <w:tab w:val="left" w:pos="1440"/>
                <w:tab w:val="left" w:pos="1620"/>
                <w:tab w:val="left" w:pos="2880"/>
                <w:tab w:val="left" w:pos="3240"/>
              </w:tabs>
              <w:jc w:val="center"/>
              <w:rPr>
                <w:b/>
                <w:sz w:val="20"/>
                <w:szCs w:val="20"/>
              </w:rPr>
            </w:pPr>
          </w:p>
        </w:tc>
      </w:tr>
    </w:tbl>
    <w:p w:rsidR="00807E81" w:rsidRDefault="00807E81"/>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A02AB8">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29" w:rsidRDefault="00386F29">
      <w:r>
        <w:separator/>
      </w:r>
    </w:p>
  </w:endnote>
  <w:endnote w:type="continuationSeparator" w:id="0">
    <w:p w:rsidR="00386F29" w:rsidRDefault="0038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29" w:rsidRDefault="00386F29">
      <w:r>
        <w:separator/>
      </w:r>
    </w:p>
  </w:footnote>
  <w:footnote w:type="continuationSeparator" w:id="0">
    <w:p w:rsidR="00386F29" w:rsidRDefault="00386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5"/>
  </w:num>
  <w:num w:numId="15">
    <w:abstractNumId w:val="14"/>
  </w:num>
  <w:num w:numId="16">
    <w:abstractNumId w:val="2"/>
  </w:num>
  <w:num w:numId="17">
    <w:abstractNumId w:val="16"/>
  </w:num>
  <w:num w:numId="18">
    <w:abstractNumId w:val="1"/>
  </w:num>
  <w:num w:numId="19">
    <w:abstractNumId w:val="29"/>
  </w:num>
  <w:num w:numId="20">
    <w:abstractNumId w:val="26"/>
  </w:num>
  <w:num w:numId="21">
    <w:abstractNumId w:val="12"/>
  </w:num>
  <w:num w:numId="22">
    <w:abstractNumId w:val="28"/>
  </w:num>
  <w:num w:numId="23">
    <w:abstractNumId w:val="8"/>
  </w:num>
  <w:num w:numId="24">
    <w:abstractNumId w:val="20"/>
  </w:num>
  <w:num w:numId="25">
    <w:abstractNumId w:val="21"/>
  </w:num>
  <w:num w:numId="26">
    <w:abstractNumId w:val="13"/>
  </w:num>
  <w:num w:numId="27">
    <w:abstractNumId w:val="23"/>
  </w:num>
  <w:num w:numId="28">
    <w:abstractNumId w:val="17"/>
  </w:num>
  <w:num w:numId="29">
    <w:abstractNumId w:val="22"/>
  </w:num>
  <w:num w:numId="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2F5A2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86F29"/>
    <w:rsid w:val="00391102"/>
    <w:rsid w:val="00392512"/>
    <w:rsid w:val="003968BE"/>
    <w:rsid w:val="003A7B70"/>
    <w:rsid w:val="003B1A2F"/>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07E81"/>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A001BA"/>
    <w:rsid w:val="00A0137D"/>
    <w:rsid w:val="00A02AB8"/>
    <w:rsid w:val="00A04591"/>
    <w:rsid w:val="00A045C1"/>
    <w:rsid w:val="00A13A1C"/>
    <w:rsid w:val="00A14302"/>
    <w:rsid w:val="00A146DD"/>
    <w:rsid w:val="00A1610D"/>
    <w:rsid w:val="00A30E7C"/>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74C91"/>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0A09"/>
    <w:rsid w:val="00C546C6"/>
    <w:rsid w:val="00C55B0B"/>
    <w:rsid w:val="00C5655B"/>
    <w:rsid w:val="00C617E0"/>
    <w:rsid w:val="00C6420D"/>
    <w:rsid w:val="00C6432D"/>
    <w:rsid w:val="00C64623"/>
    <w:rsid w:val="00C67A92"/>
    <w:rsid w:val="00C74A9E"/>
    <w:rsid w:val="00C75026"/>
    <w:rsid w:val="00C82672"/>
    <w:rsid w:val="00C84E21"/>
    <w:rsid w:val="00C87E08"/>
    <w:rsid w:val="00C92FE5"/>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link w:val="StandardChar"/>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 w:type="table" w:customStyle="1" w:styleId="TableNormal1">
    <w:name w:val="Table Normal1"/>
    <w:uiPriority w:val="2"/>
    <w:semiHidden/>
    <w:unhideWhenUsed/>
    <w:qFormat/>
    <w:rsid w:val="002F5A2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S1lygis">
    <w:name w:val="_S 1 lygis"/>
    <w:basedOn w:val="prastasis"/>
    <w:rsid w:val="00B74C91"/>
    <w:pPr>
      <w:numPr>
        <w:numId w:val="30"/>
      </w:numPr>
      <w:spacing w:before="240" w:after="240"/>
    </w:pPr>
    <w:rPr>
      <w:b/>
      <w:lang w:eastAsia="lt-LT"/>
    </w:rPr>
  </w:style>
  <w:style w:type="paragraph" w:customStyle="1" w:styleId="S2lygis">
    <w:name w:val="_S 2 lygis"/>
    <w:basedOn w:val="prastasis"/>
    <w:rsid w:val="00B74C91"/>
    <w:pPr>
      <w:numPr>
        <w:ilvl w:val="1"/>
        <w:numId w:val="30"/>
      </w:numPr>
      <w:spacing w:before="120" w:after="120"/>
      <w:jc w:val="both"/>
    </w:pPr>
    <w:rPr>
      <w:lang w:eastAsia="lt-LT"/>
    </w:rPr>
  </w:style>
  <w:style w:type="paragraph" w:customStyle="1" w:styleId="S3lygis">
    <w:name w:val="_S 3 lygis"/>
    <w:basedOn w:val="S2lygis"/>
    <w:rsid w:val="00B74C91"/>
    <w:pPr>
      <w:numPr>
        <w:ilvl w:val="2"/>
      </w:numPr>
    </w:pPr>
  </w:style>
  <w:style w:type="paragraph" w:customStyle="1" w:styleId="Betarp1">
    <w:name w:val="Be tarpų1"/>
    <w:qFormat/>
    <w:rsid w:val="00B74C91"/>
    <w:rPr>
      <w:sz w:val="24"/>
      <w:szCs w:val="24"/>
      <w:lang w:val="en-GB" w:eastAsia="en-US"/>
    </w:rPr>
  </w:style>
  <w:style w:type="character" w:customStyle="1" w:styleId="StandardChar">
    <w:name w:val="Standard Char"/>
    <w:basedOn w:val="Numatytasispastraiposriftas"/>
    <w:link w:val="Standard"/>
    <w:qFormat/>
    <w:rsid w:val="00B74C91"/>
    <w:rPr>
      <w:rFonts w:eastAsia="Calibri"/>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3690-E2A4-4251-BA4D-5A2A47061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12</Pages>
  <Words>29086</Words>
  <Characters>16580</Characters>
  <Application>Microsoft Office Word</Application>
  <DocSecurity>0</DocSecurity>
  <Lines>138</Lines>
  <Paragraphs>91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prekėms/paslaugoms/darbams (toliau – prekės/paslaugo</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45575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64</cp:revision>
  <cp:lastPrinted>2022-05-30T11:29:00Z</cp:lastPrinted>
  <dcterms:created xsi:type="dcterms:W3CDTF">2021-02-18T10:18:00Z</dcterms:created>
  <dcterms:modified xsi:type="dcterms:W3CDTF">2025-03-03T10:58:00Z</dcterms:modified>
</cp:coreProperties>
</file>