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BA4A00" w:rsidRPr="00F47240" w14:paraId="43E042FD" w14:textId="77777777" w:rsidTr="00875E40">
        <w:tc>
          <w:tcPr>
            <w:tcW w:w="9639" w:type="dxa"/>
            <w:hideMark/>
          </w:tcPr>
          <w:p w14:paraId="6B29F671" w14:textId="77777777" w:rsidR="00BA4A00" w:rsidRPr="00F47240" w:rsidRDefault="00BA4A00" w:rsidP="00875E40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F47240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:lang w:eastAsia="lt-LT"/>
                <w14:ligatures w14:val="none"/>
              </w:rPr>
              <w:drawing>
                <wp:inline distT="0" distB="0" distL="0" distR="0" wp14:anchorId="0FB68443" wp14:editId="67FCB2DD">
                  <wp:extent cx="477520" cy="525145"/>
                  <wp:effectExtent l="0" t="0" r="0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4A00" w:rsidRPr="00F47240" w14:paraId="1ED046A2" w14:textId="77777777" w:rsidTr="00875E40">
        <w:tc>
          <w:tcPr>
            <w:tcW w:w="9639" w:type="dxa"/>
          </w:tcPr>
          <w:p w14:paraId="0D76BA28" w14:textId="77777777" w:rsidR="00BA4A00" w:rsidRPr="00F47240" w:rsidRDefault="00BA4A00" w:rsidP="00875E40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BA4A00" w:rsidRPr="00F47240" w14:paraId="24ADE69F" w14:textId="77777777" w:rsidTr="00875E40">
        <w:tc>
          <w:tcPr>
            <w:tcW w:w="9639" w:type="dxa"/>
            <w:hideMark/>
          </w:tcPr>
          <w:p w14:paraId="37326DDF" w14:textId="77777777" w:rsidR="00BA4A00" w:rsidRPr="00F47240" w:rsidRDefault="00BA4A00" w:rsidP="00875E40">
            <w:pPr>
              <w:keepNext/>
              <w:spacing w:after="0" w:line="256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</w:pPr>
            <w:r w:rsidRPr="00F47240"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  <w:t>ALYTAUS MIESTO SAVIVALDYBĖS ADMINISTRACIJOS</w:t>
            </w:r>
          </w:p>
        </w:tc>
      </w:tr>
      <w:tr w:rsidR="00BA4A00" w:rsidRPr="00F47240" w14:paraId="2CF6143F" w14:textId="77777777" w:rsidTr="00875E40">
        <w:tc>
          <w:tcPr>
            <w:tcW w:w="9639" w:type="dxa"/>
            <w:hideMark/>
          </w:tcPr>
          <w:p w14:paraId="3E7516BD" w14:textId="77777777" w:rsidR="00BA4A00" w:rsidRPr="00F47240" w:rsidRDefault="00BA4A00" w:rsidP="00875E40">
            <w:pPr>
              <w:keepNext/>
              <w:spacing w:after="0" w:line="256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</w:pPr>
            <w:r w:rsidRPr="00F47240"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  <w:t>VIEŠŲJŲ PIRKIMŲ SKYRIUS</w:t>
            </w:r>
          </w:p>
        </w:tc>
      </w:tr>
      <w:tr w:rsidR="00BA4A00" w:rsidRPr="00F47240" w14:paraId="264B91D9" w14:textId="77777777" w:rsidTr="00875E40">
        <w:tc>
          <w:tcPr>
            <w:tcW w:w="9639" w:type="dxa"/>
          </w:tcPr>
          <w:p w14:paraId="77738894" w14:textId="77777777" w:rsidR="00BA4A00" w:rsidRPr="00F47240" w:rsidRDefault="00BA4A00" w:rsidP="00875E40">
            <w:pPr>
              <w:keepNext/>
              <w:spacing w:after="0" w:line="256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</w:pPr>
          </w:p>
        </w:tc>
      </w:tr>
      <w:tr w:rsidR="00BA4A00" w:rsidRPr="00F47240" w14:paraId="5BD240DF" w14:textId="77777777" w:rsidTr="00875E40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C2703E1" w14:textId="77777777" w:rsidR="00BA4A00" w:rsidRPr="00F47240" w:rsidRDefault="00BA4A00" w:rsidP="00875E40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 w:rsidRPr="00F47240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3FCCA49B" w14:textId="77777777" w:rsidR="00BA4A00" w:rsidRPr="00F47240" w:rsidRDefault="00BA4A00" w:rsidP="00875E40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 w:rsidRPr="00F47240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el. p. viesieji_pirkimai@alytus.lt. </w:t>
            </w:r>
          </w:p>
          <w:p w14:paraId="28D3AE4B" w14:textId="77777777" w:rsidR="00BA4A00" w:rsidRPr="00F47240" w:rsidRDefault="00BA4A00" w:rsidP="00875E40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 w:rsidRPr="00F47240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2C0F8BBF" w14:textId="77777777" w:rsidR="00BA4A00" w:rsidRPr="00F47240" w:rsidRDefault="00BA4A00" w:rsidP="00BA4A0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tbl>
      <w:tblPr>
        <w:tblW w:w="116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2586"/>
        <w:gridCol w:w="4507"/>
      </w:tblGrid>
      <w:tr w:rsidR="00BA4A00" w:rsidRPr="00F47240" w14:paraId="3183C07E" w14:textId="77777777" w:rsidTr="00875E40">
        <w:trPr>
          <w:cantSplit/>
        </w:trPr>
        <w:tc>
          <w:tcPr>
            <w:tcW w:w="4536" w:type="dxa"/>
            <w:hideMark/>
          </w:tcPr>
          <w:p w14:paraId="6B70E4F8" w14:textId="77777777" w:rsidR="00BA4A00" w:rsidRPr="00F47240" w:rsidRDefault="00BA4A00" w:rsidP="00875E40">
            <w:pPr>
              <w:spacing w:after="0" w:line="256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47240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2586" w:type="dxa"/>
          </w:tcPr>
          <w:p w14:paraId="650CDBFA" w14:textId="77777777" w:rsidR="00BA4A00" w:rsidRPr="00F47240" w:rsidRDefault="00BA4A00" w:rsidP="00875E40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  <w:hideMark/>
          </w:tcPr>
          <w:p w14:paraId="395FF697" w14:textId="3F7659D9" w:rsidR="00BA4A00" w:rsidRPr="00F47240" w:rsidRDefault="00B30853" w:rsidP="00875E40">
            <w:pPr>
              <w:spacing w:after="0" w:line="256" w:lineRule="auto"/>
              <w:ind w:lef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2025 0</w:t>
            </w:r>
            <w:r w:rsidR="00287C08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287C08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03</w:t>
            </w:r>
          </w:p>
        </w:tc>
      </w:tr>
      <w:tr w:rsidR="00BA4A00" w:rsidRPr="00F47240" w14:paraId="5B7819D5" w14:textId="77777777" w:rsidTr="00875E40">
        <w:trPr>
          <w:cantSplit/>
        </w:trPr>
        <w:tc>
          <w:tcPr>
            <w:tcW w:w="4536" w:type="dxa"/>
          </w:tcPr>
          <w:p w14:paraId="267C801C" w14:textId="77777777" w:rsidR="00BA4A00" w:rsidRPr="00F47240" w:rsidRDefault="00BA4A00" w:rsidP="00875E40">
            <w:pPr>
              <w:spacing w:after="0" w:line="256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6" w:type="dxa"/>
          </w:tcPr>
          <w:p w14:paraId="114B7FF3" w14:textId="77777777" w:rsidR="00BA4A00" w:rsidRPr="00F47240" w:rsidRDefault="00BA4A00" w:rsidP="00875E40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</w:tcPr>
          <w:p w14:paraId="18785596" w14:textId="77777777" w:rsidR="00BA4A00" w:rsidRPr="00F47240" w:rsidRDefault="00BA4A00" w:rsidP="00875E40">
            <w:pPr>
              <w:spacing w:after="0" w:line="256" w:lineRule="auto"/>
              <w:ind w:left="1" w:hanging="1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BA4A00" w:rsidRPr="00F47240" w14:paraId="77784BAB" w14:textId="77777777" w:rsidTr="00875E40">
        <w:trPr>
          <w:cantSplit/>
          <w:trHeight w:val="599"/>
        </w:trPr>
        <w:tc>
          <w:tcPr>
            <w:tcW w:w="4536" w:type="dxa"/>
          </w:tcPr>
          <w:p w14:paraId="2983DF04" w14:textId="77777777" w:rsidR="00BA4A00" w:rsidRPr="00F47240" w:rsidRDefault="00BA4A00" w:rsidP="00875E40">
            <w:pPr>
              <w:spacing w:after="0" w:line="256" w:lineRule="auto"/>
              <w:ind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6" w:type="dxa"/>
          </w:tcPr>
          <w:p w14:paraId="430F5FBD" w14:textId="77777777" w:rsidR="00BA4A00" w:rsidRPr="00F47240" w:rsidRDefault="00BA4A00" w:rsidP="00875E40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</w:tcPr>
          <w:p w14:paraId="3FD8B3D8" w14:textId="77777777" w:rsidR="00BA4A00" w:rsidRPr="00F47240" w:rsidRDefault="00BA4A00" w:rsidP="00875E40">
            <w:pPr>
              <w:spacing w:after="0" w:line="256" w:lineRule="auto"/>
              <w:ind w:lef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BA4A00" w:rsidRPr="00F47240" w14:paraId="1F4BC179" w14:textId="77777777" w:rsidTr="00875E40">
        <w:trPr>
          <w:cantSplit/>
        </w:trPr>
        <w:tc>
          <w:tcPr>
            <w:tcW w:w="11629" w:type="dxa"/>
            <w:gridSpan w:val="3"/>
            <w:hideMark/>
          </w:tcPr>
          <w:p w14:paraId="5CFBD608" w14:textId="17015A91" w:rsidR="00BA4A00" w:rsidRDefault="00BA4A00" w:rsidP="00875E40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aps/>
                <w:sz w:val="24"/>
                <w:szCs w:val="24"/>
              </w:rPr>
            </w:pPr>
            <w:r w:rsidRPr="00F47240">
              <w:rPr>
                <w:rFonts w:ascii="Arial" w:eastAsia="Calibri" w:hAnsi="Arial" w:cs="Arial"/>
                <w:b/>
                <w:caps/>
                <w:sz w:val="24"/>
                <w:szCs w:val="24"/>
              </w:rPr>
              <w:t xml:space="preserve">Dėl </w:t>
            </w:r>
            <w:r w:rsidR="00926917">
              <w:rPr>
                <w:rFonts w:ascii="Arial" w:eastAsia="Calibri" w:hAnsi="Arial" w:cs="Arial"/>
                <w:b/>
                <w:caps/>
                <w:sz w:val="24"/>
                <w:szCs w:val="24"/>
              </w:rPr>
              <w:t>viešojo pirkimo procedūrų nutraukimo</w:t>
            </w:r>
            <w:r w:rsidRPr="00F47240">
              <w:rPr>
                <w:rFonts w:ascii="Arial" w:eastAsia="Calibri" w:hAnsi="Arial" w:cs="Arial"/>
                <w:b/>
                <w:caps/>
                <w:sz w:val="24"/>
                <w:szCs w:val="24"/>
              </w:rPr>
              <w:t xml:space="preserve"> </w:t>
            </w:r>
          </w:p>
          <w:p w14:paraId="29FC368F" w14:textId="77777777" w:rsidR="00385C8F" w:rsidRPr="00F47240" w:rsidRDefault="00385C8F" w:rsidP="00875E40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aps/>
                <w:sz w:val="24"/>
                <w:szCs w:val="24"/>
              </w:rPr>
            </w:pPr>
          </w:p>
          <w:p w14:paraId="444ED4F0" w14:textId="77777777" w:rsidR="00BA4A00" w:rsidRPr="00F47240" w:rsidRDefault="00BA4A00" w:rsidP="00875E40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cap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0CCDCA7B" w14:textId="6922E3E9" w:rsidR="00052F7E" w:rsidRDefault="00B30853" w:rsidP="0037771F">
      <w:pPr>
        <w:tabs>
          <w:tab w:val="left" w:pos="1701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  <w:r w:rsidRPr="00B30853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Alytaus miesto savivaldybės administracijos viešųjų pirkimų komisija (toliau – komisija), 2025-0</w:t>
      </w:r>
      <w:r w:rsidR="00287C08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2-28</w:t>
      </w:r>
      <w:r w:rsidRPr="00B30853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posėdžio metu, vadovaudamasi komisijos 202</w:t>
      </w:r>
      <w:r w:rsidR="00052F7E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5</w:t>
      </w:r>
      <w:r w:rsidRPr="00B30853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-</w:t>
      </w:r>
      <w:r w:rsidR="00052F7E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02</w:t>
      </w:r>
      <w:r w:rsidRPr="00B30853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-</w:t>
      </w:r>
      <w:r w:rsidR="00052F7E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18</w:t>
      </w:r>
      <w:r w:rsidRPr="00B30853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posėdžio protokolu Nr. VP-</w:t>
      </w:r>
      <w:r w:rsidR="00052F7E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104</w:t>
      </w:r>
      <w:r w:rsidRPr="00B30853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patvirtintų mažos vertės viešojo pirkimo „Sporto ir rekreacijos centro Alytuje, Naujoji g. 52, patalpų remonto darbai“ skelbiamos apklausos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bendrosiomis ir specialiosiomis sąlygomis, </w:t>
      </w:r>
      <w:r w:rsidR="00052F7E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nustatė, kad pirkimo dokumentai</w:t>
      </w:r>
      <w:r w:rsidR="00052F7E" w:rsidRPr="00052F7E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="00052F7E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turi būti iš esmės patikslinti.</w:t>
      </w:r>
      <w:r w:rsidR="00052F7E" w:rsidRPr="00052F7E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="00052F7E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Todėl vadovaujantis </w:t>
      </w:r>
      <w:r w:rsidR="00052F7E" w:rsidRPr="00BA4A0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Lietuvos Respublikos viešųjų pirkimų įstatymo</w:t>
      </w:r>
      <w:r w:rsidR="00052F7E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29 str. </w:t>
      </w:r>
      <w:r w:rsidR="005B23C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3</w:t>
      </w:r>
      <w:r w:rsidR="00052F7E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d.</w:t>
      </w:r>
      <w:r w:rsidR="005B23C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,</w:t>
      </w:r>
      <w:r w:rsidR="00052F7E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pirkimo procedūros nutraukiamos. Pirkimas bus kartojamas patikslinus pirkimo dokumentus.</w:t>
      </w:r>
    </w:p>
    <w:p w14:paraId="47ECF601" w14:textId="77777777" w:rsidR="00052F7E" w:rsidRDefault="00052F7E" w:rsidP="0037771F">
      <w:pPr>
        <w:tabs>
          <w:tab w:val="left" w:pos="1701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31B0EA5A" w14:textId="77777777" w:rsidR="00BA4A00" w:rsidRDefault="00BA4A00" w:rsidP="00BA4A00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3B591BB6" w14:textId="77777777" w:rsidR="00E41802" w:rsidRPr="00F47240" w:rsidRDefault="00E41802" w:rsidP="00BA4A00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640EE535" w14:textId="77777777" w:rsidR="00251184" w:rsidRDefault="00BA4A00" w:rsidP="00BA4A00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  <w:r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Viešųjų pirkimų skyriaus </w:t>
      </w:r>
    </w:p>
    <w:p w14:paraId="6B1B41C1" w14:textId="03AF5451" w:rsidR="00BA4A00" w:rsidRPr="00F47240" w:rsidRDefault="00BA4A00" w:rsidP="00BA4A00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vedėj</w:t>
      </w:r>
      <w:r w:rsidR="00251184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o pavaduotoja</w:t>
      </w:r>
      <w:r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</w:r>
      <w:r w:rsidR="00251184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Sandra Dabkevičienė</w:t>
      </w:r>
    </w:p>
    <w:p w14:paraId="52F9DDB2" w14:textId="77777777" w:rsidR="004B06C3" w:rsidRDefault="004B06C3"/>
    <w:sectPr w:rsidR="004B06C3" w:rsidSect="00BA4A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41E81"/>
    <w:multiLevelType w:val="hybridMultilevel"/>
    <w:tmpl w:val="85A8E4C2"/>
    <w:lvl w:ilvl="0" w:tplc="F39A00A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A00"/>
    <w:rsid w:val="00020C90"/>
    <w:rsid w:val="0002186E"/>
    <w:rsid w:val="00052F7E"/>
    <w:rsid w:val="00084CA0"/>
    <w:rsid w:val="00092436"/>
    <w:rsid w:val="00131C4A"/>
    <w:rsid w:val="001F4F87"/>
    <w:rsid w:val="00202526"/>
    <w:rsid w:val="00251184"/>
    <w:rsid w:val="00287C08"/>
    <w:rsid w:val="002A6D09"/>
    <w:rsid w:val="002C3BC8"/>
    <w:rsid w:val="002C63D1"/>
    <w:rsid w:val="00314749"/>
    <w:rsid w:val="0037771F"/>
    <w:rsid w:val="00385C8F"/>
    <w:rsid w:val="004B06C3"/>
    <w:rsid w:val="00515FC5"/>
    <w:rsid w:val="005417CC"/>
    <w:rsid w:val="005B23C6"/>
    <w:rsid w:val="0062264A"/>
    <w:rsid w:val="00667192"/>
    <w:rsid w:val="006D2DFB"/>
    <w:rsid w:val="00714B11"/>
    <w:rsid w:val="007E5655"/>
    <w:rsid w:val="008137D9"/>
    <w:rsid w:val="00926917"/>
    <w:rsid w:val="009649A8"/>
    <w:rsid w:val="00B30853"/>
    <w:rsid w:val="00B93366"/>
    <w:rsid w:val="00BA4A00"/>
    <w:rsid w:val="00C71116"/>
    <w:rsid w:val="00CE4325"/>
    <w:rsid w:val="00D05B3D"/>
    <w:rsid w:val="00D5201D"/>
    <w:rsid w:val="00DA5FD4"/>
    <w:rsid w:val="00DB5273"/>
    <w:rsid w:val="00E4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ECDD"/>
  <w15:chartTrackingRefBased/>
  <w15:docId w15:val="{6504182B-F8B6-4A9B-8AD7-B723CEB7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4A0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A4A00"/>
    <w:pPr>
      <w:ind w:left="720"/>
      <w:contextualSpacing/>
    </w:pPr>
  </w:style>
  <w:style w:type="paragraph" w:styleId="Pataisymai">
    <w:name w:val="Revision"/>
    <w:hidden/>
    <w:uiPriority w:val="99"/>
    <w:semiHidden/>
    <w:rsid w:val="00C71116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9243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9243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9243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9243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92436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09243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92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674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Sandra Dabkevičienė</cp:lastModifiedBy>
  <cp:revision>14</cp:revision>
  <cp:lastPrinted>2024-11-18T13:15:00Z</cp:lastPrinted>
  <dcterms:created xsi:type="dcterms:W3CDTF">2025-01-20T14:24:00Z</dcterms:created>
  <dcterms:modified xsi:type="dcterms:W3CDTF">2025-03-03T14:41:00Z</dcterms:modified>
</cp:coreProperties>
</file>