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64045" w14:textId="77777777" w:rsidR="006F6CD1" w:rsidRPr="00DB205A" w:rsidRDefault="006F6CD1" w:rsidP="006F6CD1">
      <w:pPr>
        <w:jc w:val="center"/>
        <w:rPr>
          <w:b/>
        </w:rPr>
      </w:pPr>
      <w:r w:rsidRPr="00DB205A">
        <w:rPr>
          <w:b/>
        </w:rPr>
        <w:t>Reagentų rinkinių, skirtų molekuliniams patologijos tyrimams atlikti realaus laiko polimerazės grandininės reakcijos metodu, techninė specifikacija</w:t>
      </w:r>
    </w:p>
    <w:p w14:paraId="6E989707" w14:textId="52AFDE42" w:rsidR="006F6CD1" w:rsidRDefault="006F6CD1" w:rsidP="006F6CD1">
      <w:pPr>
        <w:tabs>
          <w:tab w:val="left" w:pos="2429"/>
        </w:tabs>
      </w:pPr>
      <w:r w:rsidRPr="006F6CD1">
        <w:t>Reagentų rinkiniai privalo būti s</w:t>
      </w:r>
      <w:bookmarkStart w:id="0" w:name="_GoBack"/>
      <w:bookmarkEnd w:id="0"/>
      <w:r w:rsidRPr="006F6CD1">
        <w:t>uderinti darbui su realaus laiko polimerazės grandininės reakcijos (toliau PGR) analizatoriumi "</w:t>
      </w:r>
      <w:proofErr w:type="spellStart"/>
      <w:r w:rsidRPr="006F6CD1">
        <w:t>Rotor</w:t>
      </w:r>
      <w:proofErr w:type="spellEnd"/>
      <w:r w:rsidRPr="006F6CD1">
        <w:t xml:space="preserve"> gene Q" arba tiekėjas visam reagentų  rinkinių pirkimo sutarties galiojimo laikotarpiui nemokamai (panaudos sutarties pagrindu) pateikia įrangą, tinkančią atlikti tyrimus PGR metodu, atitinkančią 1 priede  nurodytus reikalavimus bei pasiūlyti visas reikalingas priemones specifikacijoje nurodytiems tyrimams.                        </w:t>
      </w:r>
    </w:p>
    <w:tbl>
      <w:tblPr>
        <w:tblW w:w="18496" w:type="dxa"/>
        <w:tblLook w:val="04A0" w:firstRow="1" w:lastRow="0" w:firstColumn="1" w:lastColumn="0" w:noHBand="0" w:noVBand="1"/>
      </w:tblPr>
      <w:tblGrid>
        <w:gridCol w:w="15771"/>
        <w:gridCol w:w="265"/>
        <w:gridCol w:w="265"/>
        <w:gridCol w:w="265"/>
        <w:gridCol w:w="265"/>
        <w:gridCol w:w="265"/>
        <w:gridCol w:w="1400"/>
      </w:tblGrid>
      <w:tr w:rsidR="00DB205A" w:rsidRPr="006F6CD1" w14:paraId="5F6496A4" w14:textId="77777777" w:rsidTr="006F6CD1">
        <w:trPr>
          <w:trHeight w:val="270"/>
        </w:trPr>
        <w:tc>
          <w:tcPr>
            <w:tcW w:w="15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51D657" w14:textId="77777777" w:rsidR="006F6CD1" w:rsidRDefault="006F6CD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1670"/>
              <w:gridCol w:w="1649"/>
              <w:gridCol w:w="841"/>
              <w:gridCol w:w="228"/>
              <w:gridCol w:w="1463"/>
              <w:gridCol w:w="1610"/>
              <w:gridCol w:w="1192"/>
              <w:gridCol w:w="1413"/>
              <w:gridCol w:w="1030"/>
              <w:gridCol w:w="992"/>
              <w:gridCol w:w="992"/>
              <w:gridCol w:w="1559"/>
            </w:tblGrid>
            <w:tr w:rsidR="006F6CD1" w:rsidRPr="006F6CD1" w14:paraId="5F64964A" w14:textId="77777777" w:rsidTr="006F6CD1">
              <w:tc>
                <w:tcPr>
                  <w:tcW w:w="699" w:type="dxa"/>
                </w:tcPr>
                <w:p w14:paraId="5F64963E" w14:textId="77777777" w:rsidR="006F6CD1" w:rsidRPr="006F6CD1" w:rsidRDefault="006F6CD1" w:rsidP="0053087D">
                  <w:pPr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Eilės Nr.</w:t>
                  </w:r>
                </w:p>
              </w:tc>
              <w:tc>
                <w:tcPr>
                  <w:tcW w:w="1670" w:type="dxa"/>
                </w:tcPr>
                <w:p w14:paraId="5F64963F" w14:textId="77777777" w:rsidR="006F6CD1" w:rsidRPr="006F6CD1" w:rsidRDefault="006F6CD1" w:rsidP="0053087D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Prekė</w:t>
                  </w:r>
                </w:p>
              </w:tc>
              <w:tc>
                <w:tcPr>
                  <w:tcW w:w="1649" w:type="dxa"/>
                </w:tcPr>
                <w:p w14:paraId="5F649640" w14:textId="77777777" w:rsidR="006F6CD1" w:rsidRPr="006F6CD1" w:rsidRDefault="006F6CD1" w:rsidP="0053087D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Reikalavimai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41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Mato vnt.</w:t>
                  </w:r>
                </w:p>
              </w:tc>
              <w:tc>
                <w:tcPr>
                  <w:tcW w:w="1463" w:type="dxa"/>
                </w:tcPr>
                <w:p w14:paraId="5F649642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Orientacinis kiekis mato vienetais</w:t>
                  </w:r>
                </w:p>
              </w:tc>
              <w:tc>
                <w:tcPr>
                  <w:tcW w:w="1610" w:type="dxa"/>
                </w:tcPr>
                <w:p w14:paraId="5F649643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Orientacinis kiekis reakcijomis</w:t>
                  </w:r>
                </w:p>
                <w:p w14:paraId="5F649644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</w:p>
              </w:tc>
              <w:tc>
                <w:tcPr>
                  <w:tcW w:w="1192" w:type="dxa"/>
                </w:tcPr>
                <w:p w14:paraId="5F649645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Siūlomas kiekis mato vienetais</w:t>
                  </w:r>
                </w:p>
              </w:tc>
              <w:tc>
                <w:tcPr>
                  <w:tcW w:w="1413" w:type="dxa"/>
                </w:tcPr>
                <w:p w14:paraId="2C57A229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Siūlomas kiekis</w:t>
                  </w:r>
                </w:p>
                <w:p w14:paraId="74822874" w14:textId="38F4BDAF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reakcijomis</w:t>
                  </w:r>
                </w:p>
              </w:tc>
              <w:tc>
                <w:tcPr>
                  <w:tcW w:w="1030" w:type="dxa"/>
                </w:tcPr>
                <w:p w14:paraId="5F649646" w14:textId="26B7CEB8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Mato vnt. kaina be PVM</w:t>
                  </w:r>
                </w:p>
              </w:tc>
              <w:tc>
                <w:tcPr>
                  <w:tcW w:w="992" w:type="dxa"/>
                </w:tcPr>
                <w:p w14:paraId="5F649647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PVM tarifas</w:t>
                  </w:r>
                </w:p>
              </w:tc>
              <w:tc>
                <w:tcPr>
                  <w:tcW w:w="992" w:type="dxa"/>
                </w:tcPr>
                <w:p w14:paraId="5F649648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Kaina viso su PVM</w:t>
                  </w:r>
                </w:p>
              </w:tc>
              <w:tc>
                <w:tcPr>
                  <w:tcW w:w="1559" w:type="dxa"/>
                </w:tcPr>
                <w:p w14:paraId="5F649649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Gamintojas, katalogo Nr.</w:t>
                  </w:r>
                </w:p>
              </w:tc>
            </w:tr>
            <w:tr w:rsidR="006F6CD1" w:rsidRPr="006F6CD1" w14:paraId="5F649655" w14:textId="77777777" w:rsidTr="006F6CD1">
              <w:tc>
                <w:tcPr>
                  <w:tcW w:w="699" w:type="dxa"/>
                </w:tcPr>
                <w:p w14:paraId="5F64964B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</w:t>
                  </w:r>
                </w:p>
              </w:tc>
              <w:tc>
                <w:tcPr>
                  <w:tcW w:w="3319" w:type="dxa"/>
                  <w:gridSpan w:val="2"/>
                </w:tcPr>
                <w:p w14:paraId="5F64964C" w14:textId="77777777" w:rsidR="006F6CD1" w:rsidRPr="006F6CD1" w:rsidRDefault="006F6CD1" w:rsidP="006F6CD1">
                  <w:pPr>
                    <w:pStyle w:val="Default"/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</w:pP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>Reagentai ir papildomos priemonės, skirti darbui su pirkėjo nuosavybės teise įsigytu</w:t>
                  </w:r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 xml:space="preserve"> realaus laiko polimerazės grandininės reakcijos analizatoriumi "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>Rotor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 xml:space="preserve"> gene Q" arba tiekėjas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 xml:space="preserve">  visam reagentų pirkimo sutarties galiojimo laikotarpiui nemokamai (panaudos sutarties pagrindu) pateikia </w:t>
                  </w:r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 xml:space="preserve">realaus laiko polimerazės grandininės reakcijos 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>analizatorių, atliekantį molekulinius patologijos tyrimus realaus laiko polimerazės grandininės reakcijos (toliau - PGR) metodu, atitinkantį 1 priede pateiktus reikalavimus. Pasiūlymas turi būti pateiktas visai techninėje specifikacijoje nurodytai apimčiai, pilnai atitinkantis techninius reikalavimus panaudai teikiamai įrangai ir reagentams bei papildomoms priemonėms.</w:t>
                  </w:r>
                  <w:r w:rsidRPr="006F6CD1">
                    <w:rPr>
                      <w:rFonts w:ascii="Cambria" w:hAnsi="Cambria"/>
                      <w:color w:val="auto"/>
                      <w:sz w:val="22"/>
                      <w:szCs w:val="22"/>
                    </w:rPr>
                    <w:t xml:space="preserve">                                  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 xml:space="preserve">Tyrimo metodika, reagentų 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lastRenderedPageBreak/>
                    <w:t>aprašymai turi būti pateikti anglų ir lietuvių kalbomis (kartu su pasiūlymu konkursui pakanka pateikti dokumentus anglų kalba, kartu su prekėmis – lietuvių ir anglų kalbomis).</w:t>
                  </w:r>
                  <w:r w:rsidRPr="006F6CD1">
                    <w:rPr>
                      <w:rFonts w:ascii="Cambria" w:hAnsi="Cambria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>Turi būti pateikiami visi papildomi reagentai ir papildomos priemonės, reikalingos reakcijoms atlikti.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4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X</w:t>
                  </w:r>
                </w:p>
              </w:tc>
              <w:tc>
                <w:tcPr>
                  <w:tcW w:w="1463" w:type="dxa"/>
                </w:tcPr>
                <w:p w14:paraId="5F64964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610" w:type="dxa"/>
                </w:tcPr>
                <w:p w14:paraId="5F64964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192" w:type="dxa"/>
                </w:tcPr>
                <w:p w14:paraId="5F64965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413" w:type="dxa"/>
                </w:tcPr>
                <w:p w14:paraId="62A2558B" w14:textId="067C70DA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030" w:type="dxa"/>
                </w:tcPr>
                <w:p w14:paraId="5F649651" w14:textId="4056F283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5F649652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5F649653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559" w:type="dxa"/>
                </w:tcPr>
                <w:p w14:paraId="5F649654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</w:tr>
            <w:tr w:rsidR="006F6CD1" w:rsidRPr="006F6CD1" w14:paraId="5F649663" w14:textId="77777777" w:rsidTr="006F6CD1">
              <w:tc>
                <w:tcPr>
                  <w:tcW w:w="699" w:type="dxa"/>
                </w:tcPr>
                <w:p w14:paraId="5F64965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1.1</w:t>
                  </w:r>
                </w:p>
              </w:tc>
              <w:tc>
                <w:tcPr>
                  <w:tcW w:w="1670" w:type="dxa"/>
                </w:tcPr>
                <w:p w14:paraId="5F64965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tuberkuliozės sukėlėjams nustatyti PGR metodu</w:t>
                  </w:r>
                </w:p>
              </w:tc>
              <w:tc>
                <w:tcPr>
                  <w:tcW w:w="1649" w:type="dxa"/>
                </w:tcPr>
                <w:p w14:paraId="5F649658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Tuberkuliozę sukeliančių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mikobakterijų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DNR nustatymas.                         Taikymo sritis: Rinkinys tinkamas darbui su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intra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ir ekstra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pulmonariniais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mėginiais.</w:t>
                  </w:r>
                </w:p>
                <w:p w14:paraId="5F64965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Sudėtis: Į rinkinio sudėtį įeina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uracil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DNR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glikozilazė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ir vidinė kontrolė.</w:t>
                  </w:r>
                </w:p>
                <w:p w14:paraId="5F64965A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Jautrumas: ne daugiau kaip  10 CFU/ml.                              Žymėjimas: </w:t>
                  </w:r>
                  <w:r w:rsidRPr="006F6CD1">
                    <w:rPr>
                      <w:rFonts w:ascii="Cambria" w:hAnsi="Cambria" w:cs="Arial"/>
                      <w:shd w:val="clear" w:color="auto" w:fill="FFFFFF"/>
                    </w:rPr>
                    <w:t> 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CE sertifikuotas, kaip </w:t>
                  </w:r>
                  <w:proofErr w:type="spellStart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>in-vitro</w:t>
                  </w:r>
                  <w:proofErr w:type="spellEnd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 diagnostikai 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lastRenderedPageBreak/>
                    <w:t>skirta medicinos priemonė (kartu su pasiūlymu būtina pateikti galiojančio dokumento, liudijančio CE IVD žymėjimą (atitikties deklaracijos arba sertifikato), kopiją)</w:t>
                  </w:r>
                  <w:r w:rsidRPr="006F6CD1">
                    <w:rPr>
                      <w:rFonts w:ascii="Cambria" w:hAnsi="Cambria" w:cs="Calibri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5B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48 reakcijos</w:t>
                  </w:r>
                </w:p>
              </w:tc>
              <w:tc>
                <w:tcPr>
                  <w:tcW w:w="1463" w:type="dxa"/>
                </w:tcPr>
                <w:p w14:paraId="5F64965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8</w:t>
                  </w:r>
                </w:p>
              </w:tc>
              <w:tc>
                <w:tcPr>
                  <w:tcW w:w="1610" w:type="dxa"/>
                </w:tcPr>
                <w:p w14:paraId="5F64965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384</w:t>
                  </w:r>
                </w:p>
              </w:tc>
              <w:tc>
                <w:tcPr>
                  <w:tcW w:w="1192" w:type="dxa"/>
                </w:tcPr>
                <w:p w14:paraId="5F64965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2CFAB56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5F" w14:textId="08B89A0E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6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6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62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72" w14:textId="77777777" w:rsidTr="006F6CD1">
              <w:tc>
                <w:tcPr>
                  <w:tcW w:w="699" w:type="dxa"/>
                </w:tcPr>
                <w:p w14:paraId="5F649664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1.2</w:t>
                  </w:r>
                </w:p>
              </w:tc>
              <w:tc>
                <w:tcPr>
                  <w:tcW w:w="1670" w:type="dxa"/>
                </w:tcPr>
                <w:p w14:paraId="5F64966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ALK geno nustatymui PGR metodu</w:t>
                  </w:r>
                </w:p>
              </w:tc>
              <w:tc>
                <w:tcPr>
                  <w:tcW w:w="1649" w:type="dxa"/>
                </w:tcPr>
                <w:p w14:paraId="5F64966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ALK geno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transkriptų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susiliejimams nustatyti.</w:t>
                  </w:r>
                </w:p>
                <w:p w14:paraId="5F64966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Taikymo sritis: Formalinu fiksuoti į parafiną įlieti audiniai. </w:t>
                  </w:r>
                </w:p>
                <w:p w14:paraId="5F649668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Nustatoma ne mažiau kaip 29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transkriptų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susiliejimai. </w:t>
                  </w:r>
                </w:p>
                <w:p w14:paraId="5F64966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Sudėtis: Į rinkinio sudėtį įeina endogeninė vidinė kontrolė.                                                  Žymėjimas: 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CE sertifikuotas, 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lastRenderedPageBreak/>
                    <w:t xml:space="preserve">kaip </w:t>
                  </w:r>
                  <w:proofErr w:type="spellStart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>in-vitro</w:t>
                  </w:r>
                  <w:proofErr w:type="spellEnd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 diagnostikai skirta medicinos priemonė (kartu su pasiūlymu būtina pateikti galiojančio dokumento, liudijančio CE IVD žymėjimą (atitikties deklaracijos arba sertifikato), kopiją)</w:t>
                  </w:r>
                  <w:r w:rsidRPr="006F6CD1">
                    <w:rPr>
                      <w:rFonts w:ascii="Cambria" w:hAnsi="Cambria" w:cs="Calibri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6A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48 reakcijos</w:t>
                  </w:r>
                </w:p>
              </w:tc>
              <w:tc>
                <w:tcPr>
                  <w:tcW w:w="1463" w:type="dxa"/>
                </w:tcPr>
                <w:p w14:paraId="5F64966B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</w:t>
                  </w:r>
                </w:p>
              </w:tc>
              <w:tc>
                <w:tcPr>
                  <w:tcW w:w="1610" w:type="dxa"/>
                </w:tcPr>
                <w:p w14:paraId="5F64966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144</w:t>
                  </w:r>
                </w:p>
              </w:tc>
              <w:tc>
                <w:tcPr>
                  <w:tcW w:w="1192" w:type="dxa"/>
                </w:tcPr>
                <w:p w14:paraId="5F64966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3546054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6E" w14:textId="290EBBC4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6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7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7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7F" w14:textId="77777777" w:rsidTr="006F6CD1">
              <w:tc>
                <w:tcPr>
                  <w:tcW w:w="699" w:type="dxa"/>
                </w:tcPr>
                <w:p w14:paraId="5F649673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1.3</w:t>
                  </w:r>
                </w:p>
              </w:tc>
              <w:tc>
                <w:tcPr>
                  <w:tcW w:w="1670" w:type="dxa"/>
                </w:tcPr>
                <w:p w14:paraId="5F649674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PDGFR geno nustatymui PGR metodu</w:t>
                  </w:r>
                </w:p>
              </w:tc>
              <w:tc>
                <w:tcPr>
                  <w:tcW w:w="1649" w:type="dxa"/>
                </w:tcPr>
                <w:p w14:paraId="5F64967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geno PDGFRA D842V mutacijos nustatymas.                                                         Taikymo sritis: Formalinu fiksuoti į parafiną įlieti audiniai. </w:t>
                  </w:r>
                </w:p>
                <w:p w14:paraId="5F64967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Sudėtis: Į rinkinio sudėtį įeina endogeninė vidinė kontrolė bei teigiama ir neigiama kontrolės. Jautrumas: ne </w:t>
                  </w: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daugiau kaip 5</w:t>
                  </w:r>
                  <w:r w:rsidRPr="006F6CD1">
                    <w:rPr>
                      <w:rFonts w:ascii="Cambria" w:eastAsia="Times New Roman" w:hAnsi="Cambria" w:cs="Calibri"/>
                      <w:lang w:val="en-US" w:eastAsia="lt-LT"/>
                    </w:rPr>
                    <w:t>%.</w:t>
                  </w: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                                              Žymėjimas: </w:t>
                  </w:r>
                  <w:r w:rsidRPr="006F6CD1">
                    <w:rPr>
                      <w:rFonts w:ascii="Cambria" w:hAnsi="Cambria" w:cs="Arial"/>
                      <w:shd w:val="clear" w:color="auto" w:fill="FFFFFF"/>
                    </w:rPr>
                    <w:t> 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CE sertifikuotas, kaip </w:t>
                  </w:r>
                  <w:proofErr w:type="spellStart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>in-vitro</w:t>
                  </w:r>
                  <w:proofErr w:type="spellEnd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 diagnostikai skirta medicinos priemonė (kartu su pasiūlymu būtina pateikti galiojančio dokumento, liudijančio CE IVD žymėjimą (atitikties deklaracijos arba sertifikato), kopiją)</w:t>
                  </w:r>
                  <w:r w:rsidRPr="006F6CD1">
                    <w:rPr>
                      <w:rFonts w:ascii="Cambria" w:hAnsi="Cambria" w:cs="Calibri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77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20 reakcijų</w:t>
                  </w:r>
                </w:p>
              </w:tc>
              <w:tc>
                <w:tcPr>
                  <w:tcW w:w="1463" w:type="dxa"/>
                </w:tcPr>
                <w:p w14:paraId="5F649678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</w:t>
                  </w:r>
                </w:p>
              </w:tc>
              <w:tc>
                <w:tcPr>
                  <w:tcW w:w="1610" w:type="dxa"/>
                </w:tcPr>
                <w:p w14:paraId="5F64967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60</w:t>
                  </w:r>
                </w:p>
              </w:tc>
              <w:tc>
                <w:tcPr>
                  <w:tcW w:w="1192" w:type="dxa"/>
                </w:tcPr>
                <w:p w14:paraId="5F64967A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2D0F2F3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7B" w14:textId="5A453BAD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7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7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7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8C" w14:textId="77777777" w:rsidTr="006F6CD1">
              <w:tc>
                <w:tcPr>
                  <w:tcW w:w="699" w:type="dxa"/>
                </w:tcPr>
                <w:p w14:paraId="5F64968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1.4</w:t>
                  </w:r>
                </w:p>
              </w:tc>
              <w:tc>
                <w:tcPr>
                  <w:tcW w:w="1670" w:type="dxa"/>
                </w:tcPr>
                <w:p w14:paraId="5F64968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MET geno nustatymui PGR metodu</w:t>
                  </w:r>
                </w:p>
              </w:tc>
              <w:tc>
                <w:tcPr>
                  <w:tcW w:w="1649" w:type="dxa"/>
                </w:tcPr>
                <w:p w14:paraId="5F649682" w14:textId="77777777" w:rsidR="006F6CD1" w:rsidRPr="006F6CD1" w:rsidRDefault="006F6CD1" w:rsidP="006F6CD1">
                  <w:pPr>
                    <w:rPr>
                      <w:rFonts w:ascii="Cambria" w:eastAsia="Times New Roman" w:hAnsi="Cambria" w:cstheme="minorHAns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geno MET mutacijų 14 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egzone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nustatymui.       </w:t>
                  </w: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t xml:space="preserve">Kartu nustatomi </w:t>
                  </w:r>
                  <w:r w:rsidRPr="006F6CD1">
                    <w:rPr>
                      <w:rFonts w:ascii="Cambria" w:hAnsi="Cambria" w:cstheme="minorHAnsi"/>
                      <w:noProof/>
                    </w:rPr>
                    <w:t>IPO8 bei UBXN4 genai.</w:t>
                  </w: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t xml:space="preserve">                                                          Taikymo sritis: Formalinu fiksuoti į parafiną įlieti audiniai. </w:t>
                  </w:r>
                </w:p>
                <w:p w14:paraId="5F649683" w14:textId="77777777" w:rsidR="006F6CD1" w:rsidRPr="006F6CD1" w:rsidRDefault="006F6CD1" w:rsidP="006F6CD1">
                  <w:pPr>
                    <w:rPr>
                      <w:rFonts w:ascii="Cambria" w:hAnsi="Cambria" w:cstheme="minorHAnsi"/>
                      <w:noProof/>
                    </w:rPr>
                  </w:pP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t xml:space="preserve">Sudėtis: Į rinkinio sudėtį įeina teigiama </w:t>
                  </w: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lastRenderedPageBreak/>
                    <w:t xml:space="preserve">ir neigiama kontrolės. Jautrumas: ne daugiau kaip </w:t>
                  </w:r>
                  <w:r w:rsidRPr="006F6CD1">
                    <w:rPr>
                      <w:rFonts w:ascii="Cambria" w:hAnsi="Cambria" w:cstheme="minorHAnsi"/>
                      <w:noProof/>
                    </w:rPr>
                    <w:t>25 kopijos (geno MET ex 14  atveju).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84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24 reakcijos</w:t>
                  </w:r>
                </w:p>
              </w:tc>
              <w:tc>
                <w:tcPr>
                  <w:tcW w:w="1463" w:type="dxa"/>
                </w:tcPr>
                <w:p w14:paraId="5F64968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</w:t>
                  </w:r>
                </w:p>
              </w:tc>
              <w:tc>
                <w:tcPr>
                  <w:tcW w:w="1610" w:type="dxa"/>
                </w:tcPr>
                <w:p w14:paraId="5F64968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72</w:t>
                  </w:r>
                </w:p>
              </w:tc>
              <w:tc>
                <w:tcPr>
                  <w:tcW w:w="1192" w:type="dxa"/>
                </w:tcPr>
                <w:p w14:paraId="5F64968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6411117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88" w14:textId="3A943DBB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8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8A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8B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98" w14:textId="77777777" w:rsidTr="006F6CD1">
              <w:tc>
                <w:tcPr>
                  <w:tcW w:w="699" w:type="dxa"/>
                </w:tcPr>
                <w:p w14:paraId="5F64968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1.5</w:t>
                  </w:r>
                </w:p>
              </w:tc>
              <w:tc>
                <w:tcPr>
                  <w:tcW w:w="1670" w:type="dxa"/>
                </w:tcPr>
                <w:p w14:paraId="5F64968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/>
                      <w:i/>
                      <w:lang w:eastAsia="lt-LT"/>
                    </w:rPr>
                    <w:t>Kiti</w:t>
                  </w:r>
                  <w:r w:rsidRPr="006F6CD1">
                    <w:rPr>
                      <w:rFonts w:ascii="Cambria" w:eastAsia="Times New Roman" w:hAnsi="Cambria"/>
                      <w:lang w:eastAsia="lt-LT"/>
                    </w:rPr>
                    <w:t xml:space="preserve"> </w:t>
                  </w:r>
                  <w:r w:rsidRPr="006F6CD1">
                    <w:rPr>
                      <w:rFonts w:ascii="Cambria" w:eastAsia="Times New Roman" w:hAnsi="Cambria"/>
                      <w:i/>
                      <w:iCs/>
                      <w:lang w:eastAsia="lt-LT"/>
                    </w:rPr>
                    <w:t>reagentai ir/ar papildomos priemonės, reikalingos 1.2 -1.4 punktuose nurodytų tyrimų reakcijoms atlikti (</w:t>
                  </w:r>
                  <w:r w:rsidRPr="006F6CD1">
                    <w:rPr>
                      <w:rFonts w:ascii="Cambria" w:eastAsia="Times New Roman" w:hAnsi="Cambria"/>
                      <w:b/>
                      <w:bCs/>
                      <w:i/>
                      <w:iCs/>
                      <w:lang w:eastAsia="lt-LT"/>
                    </w:rPr>
                    <w:t>įrašyti tikslius pavadinimus</w:t>
                  </w:r>
                  <w:r w:rsidRPr="006F6CD1">
                    <w:rPr>
                      <w:rFonts w:ascii="Cambria" w:eastAsia="Times New Roman" w:hAnsi="Cambria"/>
                      <w:i/>
                      <w:iCs/>
                      <w:lang w:eastAsia="lt-LT"/>
                    </w:rPr>
                    <w:t>)</w:t>
                  </w:r>
                </w:p>
              </w:tc>
              <w:tc>
                <w:tcPr>
                  <w:tcW w:w="1649" w:type="dxa"/>
                </w:tcPr>
                <w:p w14:paraId="5F64968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69" w:type="dxa"/>
                  <w:gridSpan w:val="2"/>
                </w:tcPr>
                <w:p w14:paraId="5F64969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63" w:type="dxa"/>
                </w:tcPr>
                <w:p w14:paraId="5F64969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610" w:type="dxa"/>
                </w:tcPr>
                <w:p w14:paraId="5F649692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192" w:type="dxa"/>
                </w:tcPr>
                <w:p w14:paraId="5F649693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5C5099A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94" w14:textId="7DD7D699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9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9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9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9C" w14:textId="77777777" w:rsidTr="006F6CD1">
              <w:tc>
                <w:tcPr>
                  <w:tcW w:w="699" w:type="dxa"/>
                </w:tcPr>
                <w:p w14:paraId="5F64969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670" w:type="dxa"/>
                </w:tcPr>
                <w:p w14:paraId="5F64969A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/>
                      <w:i/>
                      <w:lang w:eastAsia="lt-LT"/>
                    </w:rPr>
                    <w:t>Bendra pasiūlymo kaina EUR su PVM</w:t>
                  </w:r>
                </w:p>
              </w:tc>
              <w:tc>
                <w:tcPr>
                  <w:tcW w:w="2490" w:type="dxa"/>
                  <w:gridSpan w:val="2"/>
                </w:tcPr>
                <w:p w14:paraId="3968990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479" w:type="dxa"/>
                  <w:gridSpan w:val="9"/>
                </w:tcPr>
                <w:p w14:paraId="5F64969B" w14:textId="1B236F11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</w:tbl>
          <w:p w14:paraId="5F64969D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9E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9F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A0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A1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A2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b/>
                <w:bCs/>
                <w:lang w:eastAsia="lt-L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496A3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b/>
                <w:bCs/>
                <w:lang w:eastAsia="lt-LT"/>
              </w:rPr>
              <w:t> </w:t>
            </w:r>
          </w:p>
        </w:tc>
      </w:tr>
    </w:tbl>
    <w:p w14:paraId="5F6496A5" w14:textId="77777777" w:rsidR="0053087D" w:rsidRPr="006F6CD1" w:rsidRDefault="0053087D">
      <w:pPr>
        <w:rPr>
          <w:rFonts w:ascii="Cambria" w:hAnsi="Cambria"/>
        </w:rPr>
      </w:pPr>
    </w:p>
    <w:p w14:paraId="5F6496A6" w14:textId="77777777" w:rsidR="00070C97" w:rsidRPr="006F6CD1" w:rsidRDefault="00070C97" w:rsidP="00070C97">
      <w:pPr>
        <w:ind w:left="-567"/>
        <w:jc w:val="both"/>
        <w:rPr>
          <w:rFonts w:ascii="Cambria" w:hAnsi="Cambria" w:cstheme="minorHAnsi"/>
          <w:b/>
          <w:lang w:val="en-US"/>
        </w:rPr>
      </w:pPr>
      <w:r w:rsidRPr="006F6CD1">
        <w:rPr>
          <w:rFonts w:ascii="Cambria" w:hAnsi="Cambria" w:cstheme="minorHAnsi"/>
          <w:b/>
          <w:lang w:val="en-US"/>
        </w:rPr>
        <w:t>PASTABOS, PAPILDOMI REIKALAVIMAI:</w:t>
      </w:r>
    </w:p>
    <w:p w14:paraId="5F6496A7" w14:textId="77777777" w:rsidR="00070C97" w:rsidRPr="006F6CD1" w:rsidRDefault="00070C97" w:rsidP="00070C97">
      <w:pPr>
        <w:numPr>
          <w:ilvl w:val="0"/>
          <w:numId w:val="1"/>
        </w:numPr>
        <w:spacing w:before="240" w:after="0" w:line="240" w:lineRule="auto"/>
        <w:ind w:left="-142"/>
        <w:contextualSpacing/>
        <w:jc w:val="both"/>
        <w:rPr>
          <w:rFonts w:ascii="Cambria" w:eastAsia="Times New Roman" w:hAnsi="Cambria" w:cstheme="minorHAnsi"/>
          <w:lang w:eastAsia="lt-LT"/>
        </w:rPr>
      </w:pPr>
      <w:r w:rsidRPr="006F6CD1">
        <w:rPr>
          <w:rFonts w:ascii="Cambria" w:eastAsia="Times New Roman" w:hAnsi="Cambria" w:cstheme="minorHAnsi"/>
          <w:lang w:eastAsia="lt-LT"/>
        </w:rPr>
        <w:t>Jeigu tyrimams atlikti reikalinga daugiau reagentų ir priemonių nei nurodyta techninėje specifikacijoje 1.1. – 1.</w:t>
      </w:r>
      <w:r w:rsidR="00104867" w:rsidRPr="006F6CD1">
        <w:rPr>
          <w:rFonts w:ascii="Cambria" w:eastAsia="Times New Roman" w:hAnsi="Cambria" w:cstheme="minorHAnsi"/>
          <w:lang w:eastAsia="lt-LT"/>
        </w:rPr>
        <w:t>4</w:t>
      </w:r>
      <w:r w:rsidRPr="006F6CD1">
        <w:rPr>
          <w:rFonts w:ascii="Cambria" w:eastAsia="Times New Roman" w:hAnsi="Cambria" w:cstheme="minorHAnsi"/>
          <w:lang w:eastAsia="lt-LT"/>
        </w:rPr>
        <w:t xml:space="preserve">. punktuose, tiekėjas privalo nurodyti (įrašyti) visas tyrimų atlikimui pagal gamintojo rekomendacijas reikalingas būtinąsias sudedamąsias priemones (reagentus, kontrolines medžiagas, mėgintuvėlius ir/arba kitas gamintojo nurodytas būtinąsias priemones), reikalingas nurodytų tyrimų atlikimui su panaudai siūloma įranga.             </w:t>
      </w:r>
    </w:p>
    <w:p w14:paraId="5F6496A8" w14:textId="77777777" w:rsidR="00070C97" w:rsidRPr="006F6CD1" w:rsidRDefault="00070C97" w:rsidP="00070C97">
      <w:pPr>
        <w:numPr>
          <w:ilvl w:val="0"/>
          <w:numId w:val="1"/>
        </w:numPr>
        <w:spacing w:after="0" w:line="240" w:lineRule="auto"/>
        <w:ind w:left="-142"/>
        <w:contextualSpacing/>
        <w:jc w:val="both"/>
        <w:rPr>
          <w:rFonts w:ascii="Cambria" w:eastAsia="Times New Roman" w:hAnsi="Cambria" w:cstheme="minorHAnsi"/>
          <w:lang w:eastAsia="lt-LT"/>
        </w:rPr>
      </w:pPr>
      <w:r w:rsidRPr="006F6CD1">
        <w:rPr>
          <w:rFonts w:ascii="Cambria" w:eastAsia="Times New Roman" w:hAnsi="Cambria" w:cstheme="minorHAnsi"/>
          <w:lang w:eastAsia="lt-LT"/>
        </w:rPr>
        <w:t xml:space="preserve"> Skaičiuojant tyrimų atlikimui reikalingų sudedamųjų priemonių kiekius, tiekėjas turi įvertinti tai, kad kontrolinės medžiagos, reagentai ir kt. priemonės bus naudojamos  atsižvelgiant į gamintojo rekomendacijas,  nurodytus galiojimo ir stabilumo terminus.</w:t>
      </w:r>
    </w:p>
    <w:p w14:paraId="5F6496A9" w14:textId="77777777" w:rsidR="00370C5C" w:rsidRPr="006F6CD1" w:rsidRDefault="00370C5C">
      <w:pPr>
        <w:rPr>
          <w:rFonts w:ascii="Cambria" w:hAnsi="Cambria"/>
        </w:rPr>
      </w:pPr>
    </w:p>
    <w:p w14:paraId="5F6496AA" w14:textId="77777777" w:rsidR="00370C5C" w:rsidRPr="006F6CD1" w:rsidRDefault="00370C5C">
      <w:pPr>
        <w:rPr>
          <w:rFonts w:ascii="Cambria" w:hAnsi="Cambria"/>
        </w:rPr>
      </w:pPr>
    </w:p>
    <w:p w14:paraId="5F6496AB" w14:textId="77777777" w:rsidR="00370C5C" w:rsidRPr="006F6CD1" w:rsidRDefault="00370C5C">
      <w:pPr>
        <w:rPr>
          <w:rFonts w:ascii="Cambria" w:hAnsi="Cambria"/>
        </w:rPr>
      </w:pPr>
    </w:p>
    <w:p w14:paraId="5F6496AC" w14:textId="75859386" w:rsidR="00370C5C" w:rsidRPr="006F6CD1" w:rsidRDefault="00370C5C">
      <w:pPr>
        <w:rPr>
          <w:rFonts w:ascii="Cambria" w:hAnsi="Cambria"/>
        </w:rPr>
      </w:pPr>
    </w:p>
    <w:p w14:paraId="20796854" w14:textId="6CA420AD" w:rsidR="008A5354" w:rsidRPr="006F6CD1" w:rsidRDefault="008A5354">
      <w:pPr>
        <w:rPr>
          <w:rFonts w:ascii="Cambria" w:hAnsi="Cambria"/>
        </w:rPr>
      </w:pPr>
    </w:p>
    <w:p w14:paraId="6F867598" w14:textId="145A4607" w:rsidR="008A5354" w:rsidRPr="006F6CD1" w:rsidRDefault="008A5354">
      <w:pPr>
        <w:rPr>
          <w:rFonts w:ascii="Cambria" w:hAnsi="Cambria"/>
        </w:rPr>
      </w:pPr>
    </w:p>
    <w:p w14:paraId="663D2D1E" w14:textId="53F8C90A" w:rsidR="008A5354" w:rsidRPr="006F6CD1" w:rsidRDefault="008A5354">
      <w:pPr>
        <w:rPr>
          <w:rFonts w:ascii="Cambria" w:hAnsi="Cambria"/>
        </w:rPr>
      </w:pPr>
    </w:p>
    <w:p w14:paraId="5F6496AE" w14:textId="77777777" w:rsidR="00D63CAC" w:rsidRPr="006F6CD1" w:rsidRDefault="00D63CAC" w:rsidP="00D63CAC">
      <w:pPr>
        <w:jc w:val="right"/>
        <w:rPr>
          <w:rFonts w:ascii="Cambria" w:hAnsi="Cambria"/>
          <w:b/>
        </w:rPr>
      </w:pPr>
      <w:r w:rsidRPr="006F6CD1">
        <w:rPr>
          <w:rFonts w:ascii="Cambria" w:hAnsi="Cambria"/>
          <w:b/>
        </w:rPr>
        <w:t>1 priedas</w:t>
      </w:r>
    </w:p>
    <w:p w14:paraId="5F6496AF" w14:textId="77777777" w:rsidR="00370C5C" w:rsidRPr="006F6CD1" w:rsidRDefault="00370C5C" w:rsidP="00D63CAC">
      <w:pPr>
        <w:jc w:val="center"/>
        <w:rPr>
          <w:rFonts w:ascii="Cambria" w:hAnsi="Cambria"/>
          <w:b/>
        </w:rPr>
      </w:pPr>
      <w:r w:rsidRPr="006F6CD1">
        <w:rPr>
          <w:rFonts w:ascii="Cambria" w:hAnsi="Cambria"/>
          <w:b/>
        </w:rPr>
        <w:t xml:space="preserve">Realaus laiko </w:t>
      </w:r>
      <w:proofErr w:type="spellStart"/>
      <w:r w:rsidRPr="006F6CD1">
        <w:rPr>
          <w:rFonts w:ascii="Cambria" w:hAnsi="Cambria"/>
          <w:b/>
        </w:rPr>
        <w:t>polimerazinės</w:t>
      </w:r>
      <w:proofErr w:type="spellEnd"/>
      <w:r w:rsidRPr="006F6CD1">
        <w:rPr>
          <w:rFonts w:ascii="Cambria" w:hAnsi="Cambria"/>
          <w:b/>
        </w:rPr>
        <w:t xml:space="preserve"> grandininės reakcijos (PGR) analizatoriaus su programine įranga techninė specifikacija (kiekis – 1 vnt.)</w:t>
      </w:r>
    </w:p>
    <w:p w14:paraId="5F6496B0" w14:textId="77777777" w:rsidR="00370C5C" w:rsidRPr="006F6CD1" w:rsidRDefault="00370C5C" w:rsidP="00370C5C">
      <w:pPr>
        <w:jc w:val="right"/>
        <w:rPr>
          <w:rFonts w:ascii="Cambria" w:hAnsi="Cambria"/>
          <w:b/>
        </w:rPr>
      </w:pPr>
    </w:p>
    <w:tbl>
      <w:tblPr>
        <w:tblW w:w="13983" w:type="dxa"/>
        <w:tblLook w:val="04A0" w:firstRow="1" w:lastRow="0" w:firstColumn="1" w:lastColumn="0" w:noHBand="0" w:noVBand="1"/>
      </w:tblPr>
      <w:tblGrid>
        <w:gridCol w:w="996"/>
        <w:gridCol w:w="3336"/>
        <w:gridCol w:w="5723"/>
        <w:gridCol w:w="3928"/>
      </w:tblGrid>
      <w:tr w:rsidR="00DB205A" w:rsidRPr="006F6CD1" w14:paraId="5F6496B5" w14:textId="77777777" w:rsidTr="00B01F8D">
        <w:trPr>
          <w:trHeight w:val="3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B1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B2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Parametrai (specifikacija)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B3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Reikalaujamos parametrų vertės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6B4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Siūlomos parametrų vertės</w:t>
            </w:r>
          </w:p>
        </w:tc>
      </w:tr>
      <w:tr w:rsidR="00DB205A" w:rsidRPr="006F6CD1" w14:paraId="5F6496BA" w14:textId="77777777" w:rsidTr="00B01F8D">
        <w:trPr>
          <w:trHeight w:val="3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6B6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6B7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6B8" w14:textId="77777777" w:rsidR="00B01F8D" w:rsidRPr="006F6CD1" w:rsidRDefault="00B01F8D" w:rsidP="00D63CAC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6F6CD1">
              <w:rPr>
                <w:rFonts w:ascii="Cambria" w:hAnsi="Cambria" w:cstheme="minorHAnsi"/>
                <w:b/>
              </w:rPr>
              <w:t>Pavadinimas, tipas/modelis, gamintojas – įrašo tiekėjas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6B9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</w:tr>
      <w:tr w:rsidR="00DB205A" w:rsidRPr="006F6CD1" w14:paraId="5F6496BF" w14:textId="77777777" w:rsidTr="001F7D42">
        <w:trPr>
          <w:trHeight w:val="221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BB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BC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Paskirtis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BD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Realaus laiko polimerazės grandininėms reakcijoms atlikti.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BE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C4" w14:textId="77777777" w:rsidTr="001F7D42">
        <w:trPr>
          <w:trHeight w:val="315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C0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2.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C1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Komplektacija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C2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 Realaus laiko PGR aparatas;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C3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CA" w14:textId="77777777" w:rsidTr="001F7D42">
        <w:trPr>
          <w:trHeight w:val="330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C5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C6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C7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2. Kompiuteris su programin</w:t>
            </w:r>
            <w:r w:rsidR="00A42E97" w:rsidRPr="006F6CD1">
              <w:rPr>
                <w:rFonts w:ascii="Cambria" w:eastAsia="Times New Roman" w:hAnsi="Cambria" w:cstheme="minorHAnsi"/>
                <w:lang w:eastAsia="lt-LT"/>
              </w:rPr>
              <w:t>e</w:t>
            </w: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 įranga.</w:t>
            </w:r>
          </w:p>
          <w:p w14:paraId="5F6496C8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C9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CF" w14:textId="77777777" w:rsidTr="001F7D42">
        <w:trPr>
          <w:trHeight w:val="3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CB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CC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Optinė sistema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CD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Ne mažiau 5 kanalų.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CE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D4" w14:textId="77777777" w:rsidTr="001F7D42">
        <w:trPr>
          <w:trHeight w:val="315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D0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4.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D1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Būtini optinės sistemos kanalų bangos ilgiai: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D2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1. Sužadinimas 365±20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460±20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D3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D9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5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6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D7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2. Sužadinimas 470±10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510±5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D8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DE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A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B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DC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3. Sužadinimas 530±5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557±5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DD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E3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F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E0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E1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4. Sužadinimas 585±5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610±5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E2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E9" w14:textId="77777777" w:rsidTr="001F7D42">
        <w:trPr>
          <w:trHeight w:val="330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E4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E5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E6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5. Sužadinimas 625±5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660±10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.</w:t>
            </w:r>
          </w:p>
          <w:p w14:paraId="5F6496E7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E8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EE" w14:textId="77777777" w:rsidTr="00466E95">
        <w:trPr>
          <w:trHeight w:val="630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EA" w14:textId="77777777" w:rsidR="004239FF" w:rsidRPr="006F6CD1" w:rsidRDefault="004239FF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5.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EB" w14:textId="77777777" w:rsidR="004239FF" w:rsidRPr="006F6CD1" w:rsidRDefault="004239FF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Temperatūros kontrolė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96EC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 Temperatūros ribos nuo ≤ 35 iki ≥ 99 °C, tikslumas (paklaida) ne daugiau ±0,5 °C;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ED" w14:textId="77777777" w:rsidR="004239FF" w:rsidRPr="006F6CD1" w:rsidRDefault="004239FF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F3" w14:textId="77777777" w:rsidTr="00466E95">
        <w:trPr>
          <w:trHeight w:val="82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6496EF" w14:textId="77777777" w:rsidR="004239FF" w:rsidRPr="006F6CD1" w:rsidRDefault="004239FF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6496F0" w14:textId="77777777" w:rsidR="004239FF" w:rsidRPr="006F6CD1" w:rsidRDefault="004239FF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F6496F1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2. Šildymo ir šaldymo greičiai ne mažesni kaip 15 °C/s; 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F2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F8" w14:textId="77777777" w:rsidTr="00BA4E2D">
        <w:trPr>
          <w:trHeight w:val="71"/>
        </w:trPr>
        <w:tc>
          <w:tcPr>
            <w:tcW w:w="9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F6496F4" w14:textId="77777777" w:rsidR="004239FF" w:rsidRPr="006F6CD1" w:rsidRDefault="004239FF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F6496F5" w14:textId="77777777" w:rsidR="004239FF" w:rsidRPr="006F6CD1" w:rsidRDefault="004239FF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496F6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3.Temperatūros tolygumas ≤ ±0,02 °C.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6496F7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FF" w14:textId="77777777" w:rsidTr="00BA4E2D">
        <w:trPr>
          <w:trHeight w:val="25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6496F9" w14:textId="77777777" w:rsidR="00BA4E2D" w:rsidRPr="006F6CD1" w:rsidRDefault="00BA4E2D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6.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96FA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Talpa (maksimalus vienu metu tiriamų mėginių kiekis, priklausomai nuo naudojamų </w:t>
            </w:r>
          </w:p>
          <w:p w14:paraId="5F6496FB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mėginių talpų)</w:t>
            </w:r>
          </w:p>
          <w:p w14:paraId="5F6496FC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96FD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1. Ne mažiau 36 mėginių 0,2 ml tūrio mėgintuvėliuose;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96FE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04" w14:textId="77777777" w:rsidTr="00BA4E2D">
        <w:trPr>
          <w:trHeight w:val="60"/>
        </w:trPr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F649700" w14:textId="77777777" w:rsidR="00BA4E2D" w:rsidRPr="006F6CD1" w:rsidRDefault="00BA4E2D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49701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9702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2. Ne mažiau 72 mėginių 0,1 ml tūrio mėgintuvėliuose;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5F649703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09" w14:textId="77777777" w:rsidTr="00BA4E2D">
        <w:trPr>
          <w:trHeight w:val="60"/>
        </w:trPr>
        <w:tc>
          <w:tcPr>
            <w:tcW w:w="99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F649705" w14:textId="77777777" w:rsidR="00BA4E2D" w:rsidRPr="006F6CD1" w:rsidRDefault="00BA4E2D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9706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9707" w14:textId="77777777" w:rsidR="00BA4E2D" w:rsidRPr="006F6CD1" w:rsidRDefault="00BA4E2D" w:rsidP="00BA4E2D">
            <w:pPr>
              <w:pStyle w:val="ListParagraph"/>
              <w:spacing w:after="0" w:line="240" w:lineRule="auto"/>
              <w:ind w:left="0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 Galimybė naudoti ne mažiau 100 šulinėlių, kurių tūris 0,1 ml, rotorių, esantį įrangos komplektacijoje.</w:t>
            </w:r>
          </w:p>
        </w:tc>
        <w:tc>
          <w:tcPr>
            <w:tcW w:w="3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708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0E" w14:textId="77777777" w:rsidTr="00BA4E2D">
        <w:trPr>
          <w:trHeight w:val="165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0A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lastRenderedPageBreak/>
              <w:t>7.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0B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Mėginių apsauga nuo garavimo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70C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Mėginiai veikiami sunkio jėga, besisukančio rotoriaus pagalba.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70D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14" w14:textId="77777777" w:rsidTr="001F7D42">
        <w:trPr>
          <w:trHeight w:val="3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0F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8.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710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Valdymas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11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Komplekte pateikiamo kompiuterio pagalba.</w:t>
            </w:r>
          </w:p>
          <w:p w14:paraId="5F649712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713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1A" w14:textId="77777777" w:rsidTr="001F7D42">
        <w:trPr>
          <w:trHeight w:val="645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15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9.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716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Kompiuteris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17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Kompiuteris, atitinkantis PGR aparato gamintojo techninius reikalavimus. </w:t>
            </w:r>
          </w:p>
          <w:p w14:paraId="5F649718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719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1F" w14:textId="77777777" w:rsidTr="001F7D42">
        <w:trPr>
          <w:trHeight w:val="63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F64971B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10.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71C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Programinė įranga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1D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 Su siūlomu realaus laiko PGR aparatu suderinta programinė įranga, skirta sistemos valdymui, duomenų kaupimui ir analizei;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F64971E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24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20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721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22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2. Suderinta su   </w:t>
            </w:r>
            <w:r w:rsidRPr="006F6CD1">
              <w:rPr>
                <w:rFonts w:ascii="Cambria" w:eastAsia="Times New Roman" w:hAnsi="Cambria" w:cstheme="minorHAnsi"/>
                <w:i/>
                <w:iCs/>
                <w:lang w:eastAsia="lt-LT"/>
              </w:rPr>
              <w:t xml:space="preserve">Windows </w:t>
            </w: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 operacinėmis sistemomis;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723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2A" w14:textId="77777777" w:rsidTr="001F7D42">
        <w:trPr>
          <w:trHeight w:val="64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25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726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27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3.Programinės įrangos įdiegimas ir atnaujinimas įskaičiuotas į pasiūlymo kainą.</w:t>
            </w:r>
          </w:p>
          <w:p w14:paraId="5F649728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729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30" w14:textId="77777777" w:rsidTr="001F7D42">
        <w:trPr>
          <w:trHeight w:val="3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2B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11.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2C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hAnsi="Cambria" w:cstheme="minorHAnsi"/>
              </w:rPr>
              <w:t>Naudojimo instrukcija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72D" w14:textId="77777777" w:rsidR="001F7D42" w:rsidRPr="006F6CD1" w:rsidRDefault="001F7D42" w:rsidP="001F7D42">
            <w:pPr>
              <w:jc w:val="both"/>
              <w:rPr>
                <w:rFonts w:ascii="Cambria" w:hAnsi="Cambria" w:cstheme="minorHAnsi"/>
              </w:rPr>
            </w:pPr>
            <w:r w:rsidRPr="006F6CD1">
              <w:rPr>
                <w:rFonts w:ascii="Cambria" w:hAnsi="Cambria" w:cstheme="minorHAnsi"/>
              </w:rPr>
              <w:t>Kartu su panaudai teikiama įranga turi būti pateikta naudojimo instrukcija (vartotojo vadovas) anglų ir lietuvių kalbomis (elektroninė versija).</w:t>
            </w:r>
          </w:p>
          <w:p w14:paraId="5F64972E" w14:textId="77777777" w:rsidR="001F7D42" w:rsidRPr="006F6CD1" w:rsidRDefault="001F7D42" w:rsidP="001F7D42">
            <w:pPr>
              <w:spacing w:after="0" w:line="240" w:lineRule="auto"/>
              <w:rPr>
                <w:rFonts w:ascii="Cambria" w:hAnsi="Cambria" w:cstheme="minorHAnsi"/>
                <w:shd w:val="clear" w:color="auto" w:fill="FFFFFF"/>
              </w:rPr>
            </w:pPr>
            <w:r w:rsidRPr="006F6CD1">
              <w:rPr>
                <w:rFonts w:ascii="Cambria" w:hAnsi="Cambria" w:cstheme="minorHAnsi"/>
                <w:u w:val="single"/>
              </w:rPr>
              <w:t>Pastaba:</w:t>
            </w:r>
            <w:r w:rsidRPr="006F6CD1">
              <w:rPr>
                <w:rFonts w:ascii="Cambria" w:hAnsi="Cambria" w:cstheme="minorHAnsi"/>
              </w:rPr>
              <w:t xml:space="preserve"> Reikalavimas taikomas vadovaujantis </w:t>
            </w:r>
            <w:r w:rsidRPr="006F6CD1">
              <w:rPr>
                <w:rFonts w:ascii="Cambria" w:hAnsi="Cambria" w:cstheme="minorHAnsi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72F" w14:textId="77777777" w:rsidR="001F7D42" w:rsidRPr="006F6CD1" w:rsidRDefault="001F7D42" w:rsidP="001F7D42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DB205A" w:rsidRPr="006F6CD1" w14:paraId="5F649735" w14:textId="77777777" w:rsidTr="001F7D42">
        <w:trPr>
          <w:trHeight w:val="1310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49731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49732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hAnsi="Cambria" w:cstheme="minorHAnsi"/>
              </w:rPr>
              <w:t>Žymėjimas CE ženklu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649733" w14:textId="77777777" w:rsidR="001F7D42" w:rsidRPr="006F6CD1" w:rsidRDefault="001F7D42" w:rsidP="001F7D42">
            <w:pPr>
              <w:spacing w:after="0" w:line="240" w:lineRule="auto"/>
              <w:rPr>
                <w:rFonts w:ascii="Cambria" w:hAnsi="Cambria" w:cstheme="minorHAnsi"/>
              </w:rPr>
            </w:pPr>
            <w:r w:rsidRPr="006F6CD1">
              <w:rPr>
                <w:rFonts w:ascii="Cambria" w:hAnsi="Cambria" w:cstheme="minorHAnsi"/>
              </w:rPr>
              <w:t xml:space="preserve">Panaudai teikiama įranga turi turėti CE ženklinimą pagal Europos Parlamento ir Tarybos reglamento (ES) 2017/746 dėl </w:t>
            </w:r>
            <w:proofErr w:type="spellStart"/>
            <w:r w:rsidRPr="006F6CD1">
              <w:rPr>
                <w:rFonts w:ascii="Cambria" w:hAnsi="Cambria" w:cstheme="minorHAnsi"/>
              </w:rPr>
              <w:t>in</w:t>
            </w:r>
            <w:proofErr w:type="spellEnd"/>
            <w:r w:rsidRPr="006F6CD1">
              <w:rPr>
                <w:rFonts w:ascii="Cambria" w:hAnsi="Cambria" w:cstheme="minorHAnsi"/>
              </w:rPr>
              <w:t xml:space="preserve"> </w:t>
            </w:r>
            <w:proofErr w:type="spellStart"/>
            <w:r w:rsidRPr="006F6CD1">
              <w:rPr>
                <w:rFonts w:ascii="Cambria" w:hAnsi="Cambria" w:cstheme="minorHAnsi"/>
              </w:rPr>
              <w:t>vitro</w:t>
            </w:r>
            <w:proofErr w:type="spellEnd"/>
            <w:r w:rsidRPr="006F6CD1">
              <w:rPr>
                <w:rFonts w:ascii="Cambria" w:hAnsi="Cambria" w:cstheme="minorHAnsi"/>
              </w:rPr>
              <w:t xml:space="preserve"> diagnostikos medicinos priemonių  reikalavimus (kartu su pasiūlymu konkursui būtina pateikti galiojančių dokumentų, liudijančių žymėjimą CE ženklu, kopijas).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F649734" w14:textId="77777777" w:rsidR="001F7D42" w:rsidRPr="006F6CD1" w:rsidRDefault="001F7D42" w:rsidP="001F7D42">
            <w:pPr>
              <w:spacing w:after="0" w:line="240" w:lineRule="auto"/>
              <w:ind w:firstLineChars="200" w:firstLine="440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1F7D42" w:rsidRPr="006F6CD1" w14:paraId="5F64973A" w14:textId="77777777" w:rsidTr="001F7D42">
        <w:trPr>
          <w:trHeight w:val="64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9736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13.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9737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hAnsi="Cambria" w:cstheme="minorHAnsi"/>
              </w:rPr>
              <w:t>Priežiūra sutarties galiojimo laikotarpiu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738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hAnsi="Cambria" w:cstheme="minorHAnsi"/>
              </w:rPr>
            </w:pPr>
            <w:r w:rsidRPr="006F6CD1">
              <w:rPr>
                <w:rFonts w:ascii="Cambria" w:hAnsi="Cambria" w:cstheme="minorHAnsi"/>
              </w:rPr>
              <w:t xml:space="preserve">1.Tiekėjas, pateikęs įrangą panaudos būdu, privalo savo sąskaita ją įdiegti, apmokyti vartotojus, užtikrinti jos techninę priežiūrą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</w:t>
            </w:r>
            <w:r w:rsidRPr="006F6CD1">
              <w:rPr>
                <w:rFonts w:ascii="Cambria" w:hAnsi="Cambria" w:cstheme="minorHAnsi"/>
              </w:rPr>
              <w:lastRenderedPageBreak/>
              <w:t xml:space="preserve">terminą (būtinas atitinkamas tiekėjo patvirtinimas).                                                                                           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6F6CD1">
              <w:rPr>
                <w:rFonts w:ascii="Cambria" w:hAnsi="Cambria" w:cstheme="minorHAnsi"/>
              </w:rPr>
              <w:t>savalaikiškai</w:t>
            </w:r>
            <w:proofErr w:type="spellEnd"/>
            <w:r w:rsidRPr="006F6CD1">
              <w:rPr>
                <w:rFonts w:ascii="Cambria" w:hAnsi="Cambria" w:cstheme="minorHAnsi"/>
              </w:rPr>
              <w:t xml:space="preserve"> atlikti tyrimus (būtinas atitinkamas tiekėjo patvirtinimas).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739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</w:rPr>
            </w:pPr>
          </w:p>
        </w:tc>
      </w:tr>
    </w:tbl>
    <w:p w14:paraId="5F64973B" w14:textId="77777777" w:rsidR="001F7D42" w:rsidRPr="006F6CD1" w:rsidRDefault="001F7D42" w:rsidP="00B01F8D">
      <w:pPr>
        <w:spacing w:after="0" w:line="240" w:lineRule="auto"/>
        <w:rPr>
          <w:rFonts w:ascii="Cambria" w:hAnsi="Cambria"/>
        </w:rPr>
      </w:pPr>
    </w:p>
    <w:p w14:paraId="5F64973C" w14:textId="77777777" w:rsidR="001F7D42" w:rsidRPr="006F6CD1" w:rsidRDefault="001F7D42" w:rsidP="00B01F8D">
      <w:pPr>
        <w:spacing w:after="0" w:line="240" w:lineRule="auto"/>
        <w:rPr>
          <w:rFonts w:ascii="Cambria" w:hAnsi="Cambria"/>
        </w:rPr>
      </w:pPr>
    </w:p>
    <w:sectPr w:rsidR="001F7D42" w:rsidRPr="006F6CD1" w:rsidSect="006F6C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FFA26" w14:textId="77777777" w:rsidR="007F776C" w:rsidRDefault="007F776C" w:rsidP="0004073A">
      <w:pPr>
        <w:spacing w:after="0" w:line="240" w:lineRule="auto"/>
      </w:pPr>
      <w:r>
        <w:separator/>
      </w:r>
    </w:p>
  </w:endnote>
  <w:endnote w:type="continuationSeparator" w:id="0">
    <w:p w14:paraId="638A0907" w14:textId="77777777" w:rsidR="007F776C" w:rsidRDefault="007F776C" w:rsidP="0004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C" w14:textId="77777777" w:rsidR="0004073A" w:rsidRDefault="0004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D" w14:textId="77777777" w:rsidR="0004073A" w:rsidRDefault="0004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F" w14:textId="77777777" w:rsidR="0004073A" w:rsidRDefault="0004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E74E7" w14:textId="77777777" w:rsidR="007F776C" w:rsidRDefault="007F776C" w:rsidP="0004073A">
      <w:pPr>
        <w:spacing w:after="0" w:line="240" w:lineRule="auto"/>
      </w:pPr>
      <w:r>
        <w:separator/>
      </w:r>
    </w:p>
  </w:footnote>
  <w:footnote w:type="continuationSeparator" w:id="0">
    <w:p w14:paraId="74391C62" w14:textId="77777777" w:rsidR="007F776C" w:rsidRDefault="007F776C" w:rsidP="0004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A" w14:textId="77777777" w:rsidR="0004073A" w:rsidRDefault="0004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B" w14:textId="77777777" w:rsidR="0004073A" w:rsidRDefault="0004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E" w14:textId="77777777" w:rsidR="0004073A" w:rsidRDefault="0004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00FC"/>
    <w:multiLevelType w:val="hybridMultilevel"/>
    <w:tmpl w:val="766ED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766C2"/>
    <w:multiLevelType w:val="hybridMultilevel"/>
    <w:tmpl w:val="102252B6"/>
    <w:lvl w:ilvl="0" w:tplc="1D826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DE32E8"/>
    <w:multiLevelType w:val="hybridMultilevel"/>
    <w:tmpl w:val="4DF2C2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7D"/>
    <w:rsid w:val="00006A12"/>
    <w:rsid w:val="000264F5"/>
    <w:rsid w:val="0004073A"/>
    <w:rsid w:val="000470CB"/>
    <w:rsid w:val="00064413"/>
    <w:rsid w:val="00070C97"/>
    <w:rsid w:val="00104867"/>
    <w:rsid w:val="001F7D42"/>
    <w:rsid w:val="002877A7"/>
    <w:rsid w:val="0029094E"/>
    <w:rsid w:val="002D22CD"/>
    <w:rsid w:val="00362558"/>
    <w:rsid w:val="00370C5C"/>
    <w:rsid w:val="003B3380"/>
    <w:rsid w:val="004239FF"/>
    <w:rsid w:val="004D3CAB"/>
    <w:rsid w:val="0053087D"/>
    <w:rsid w:val="00690AF9"/>
    <w:rsid w:val="006C423B"/>
    <w:rsid w:val="006F6CD1"/>
    <w:rsid w:val="00777EC0"/>
    <w:rsid w:val="007F776C"/>
    <w:rsid w:val="00825C92"/>
    <w:rsid w:val="008A5354"/>
    <w:rsid w:val="008E03BE"/>
    <w:rsid w:val="00917F8A"/>
    <w:rsid w:val="00967722"/>
    <w:rsid w:val="009F65AB"/>
    <w:rsid w:val="00A14623"/>
    <w:rsid w:val="00A4029F"/>
    <w:rsid w:val="00A42E97"/>
    <w:rsid w:val="00AA3485"/>
    <w:rsid w:val="00B01F8D"/>
    <w:rsid w:val="00B17387"/>
    <w:rsid w:val="00B63991"/>
    <w:rsid w:val="00BA4E2D"/>
    <w:rsid w:val="00BF5363"/>
    <w:rsid w:val="00D63CAC"/>
    <w:rsid w:val="00DB205A"/>
    <w:rsid w:val="00E10197"/>
    <w:rsid w:val="00E23CF0"/>
    <w:rsid w:val="00E75B70"/>
    <w:rsid w:val="00E80545"/>
    <w:rsid w:val="00F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9633"/>
  <w15:chartTrackingRefBased/>
  <w15:docId w15:val="{E2358E48-A7FD-46D5-9442-4F7F29F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73A"/>
  </w:style>
  <w:style w:type="paragraph" w:styleId="Footer">
    <w:name w:val="footer"/>
    <w:basedOn w:val="Normal"/>
    <w:link w:val="FooterChar"/>
    <w:uiPriority w:val="99"/>
    <w:unhideWhenUsed/>
    <w:rsid w:val="0004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73A"/>
  </w:style>
  <w:style w:type="paragraph" w:styleId="ListParagraph">
    <w:name w:val="List Paragraph"/>
    <w:basedOn w:val="Normal"/>
    <w:link w:val="ListParagraphChar"/>
    <w:uiPriority w:val="34"/>
    <w:qFormat/>
    <w:rsid w:val="00370C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01F8D"/>
  </w:style>
  <w:style w:type="paragraph" w:styleId="BalloonText">
    <w:name w:val="Balloon Text"/>
    <w:basedOn w:val="Normal"/>
    <w:link w:val="BalloonTextChar"/>
    <w:uiPriority w:val="99"/>
    <w:semiHidden/>
    <w:unhideWhenUsed/>
    <w:rsid w:val="008E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93FF-FA54-47C6-A15C-F8CE8470C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06F6E-E7B0-4836-857E-7C7063FA7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291D9-579D-482C-A406-2DE86C3AD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9F3037-C56B-47D8-BC46-5D060A8E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5624</Words>
  <Characters>3206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Kutkienė</dc:creator>
  <cp:keywords/>
  <dc:description/>
  <cp:lastModifiedBy>Monika Vaitkevičiūtė</cp:lastModifiedBy>
  <cp:revision>4</cp:revision>
  <cp:lastPrinted>2025-03-04T09:57:00Z</cp:lastPrinted>
  <dcterms:created xsi:type="dcterms:W3CDTF">2025-03-04T09:57:00Z</dcterms:created>
  <dcterms:modified xsi:type="dcterms:W3CDTF">2025-03-04T14:18:00Z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