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D7C4" w14:textId="68424C22" w:rsidR="007C38FA" w:rsidRPr="007B17E9" w:rsidRDefault="007C38FA" w:rsidP="009A16CD">
      <w:pPr>
        <w:pStyle w:val="Pagrindinistekstas"/>
        <w:tabs>
          <w:tab w:val="left" w:pos="4820"/>
        </w:tabs>
        <w:rPr>
          <w:rFonts w:ascii="Times New Roman" w:eastAsia="MS Mincho" w:hAnsi="Times New Roman" w:cs="Times New Roman"/>
          <w:b/>
          <w:bCs/>
          <w:sz w:val="24"/>
          <w:szCs w:val="24"/>
          <w:lang w:val="lt-LT"/>
        </w:rPr>
      </w:pPr>
      <w:bookmarkStart w:id="0" w:name="_Hlk184747377"/>
      <w:r w:rsidRPr="007B17E9">
        <w:rPr>
          <w:rFonts w:ascii="Times New Roman" w:hAnsi="Times New Roman" w:cs="Times New Roman"/>
          <w:noProof/>
          <w:sz w:val="24"/>
          <w:szCs w:val="24"/>
          <w:lang w:val="lt-LT" w:eastAsia="lt-LT"/>
        </w:rPr>
        <w:drawing>
          <wp:anchor distT="0" distB="0" distL="114300" distR="114300" simplePos="0" relativeHeight="251659264" behindDoc="0" locked="0" layoutInCell="1" allowOverlap="1" wp14:anchorId="5F0ABCC6" wp14:editId="2EB09372">
            <wp:simplePos x="0" y="0"/>
            <wp:positionH relativeFrom="column">
              <wp:posOffset>2586990</wp:posOffset>
            </wp:positionH>
            <wp:positionV relativeFrom="paragraph">
              <wp:posOffset>7620</wp:posOffset>
            </wp:positionV>
            <wp:extent cx="887095" cy="810260"/>
            <wp:effectExtent l="0" t="0" r="8255" b="8890"/>
            <wp:wrapThrough wrapText="bothSides">
              <wp:wrapPolygon edited="0">
                <wp:start x="0" y="0"/>
                <wp:lineTo x="0" y="21329"/>
                <wp:lineTo x="21337" y="21329"/>
                <wp:lineTo x="21337" y="0"/>
                <wp:lineTo x="0" y="0"/>
              </wp:wrapPolygon>
            </wp:wrapThrough>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F7371" w14:textId="26B68763" w:rsidR="007C38FA" w:rsidRPr="007B17E9" w:rsidRDefault="007C38FA" w:rsidP="009A16CD">
      <w:pPr>
        <w:pStyle w:val="Pagrindinistekstas"/>
        <w:tabs>
          <w:tab w:val="left" w:pos="4820"/>
        </w:tabs>
        <w:rPr>
          <w:rFonts w:ascii="Times New Roman" w:eastAsia="MS Mincho" w:hAnsi="Times New Roman" w:cs="Times New Roman"/>
          <w:b/>
          <w:bCs/>
          <w:sz w:val="24"/>
          <w:szCs w:val="24"/>
          <w:lang w:val="lt-LT"/>
        </w:rPr>
      </w:pPr>
    </w:p>
    <w:bookmarkEnd w:id="0"/>
    <w:p w14:paraId="043C657C" w14:textId="77777777" w:rsidR="007C38FA" w:rsidRPr="007B17E9" w:rsidRDefault="007C38FA" w:rsidP="009A16CD">
      <w:pPr>
        <w:pStyle w:val="Pagrindinistekstas"/>
        <w:tabs>
          <w:tab w:val="left" w:pos="4820"/>
        </w:tabs>
        <w:rPr>
          <w:rFonts w:ascii="Times New Roman" w:eastAsia="MS Mincho" w:hAnsi="Times New Roman" w:cs="Times New Roman"/>
          <w:b/>
          <w:bCs/>
          <w:sz w:val="24"/>
          <w:szCs w:val="24"/>
          <w:lang w:val="lt-LT"/>
        </w:rPr>
      </w:pPr>
    </w:p>
    <w:p w14:paraId="1437497A" w14:textId="77777777" w:rsidR="007C38FA" w:rsidRPr="007B17E9" w:rsidRDefault="007C38FA" w:rsidP="009A16CD">
      <w:pPr>
        <w:tabs>
          <w:tab w:val="left" w:pos="4820"/>
        </w:tabs>
        <w:jc w:val="both"/>
        <w:rPr>
          <w:rFonts w:ascii="Times New Roman" w:hAnsi="Times New Roman" w:cs="Times New Roman"/>
          <w:b/>
          <w:sz w:val="24"/>
          <w:szCs w:val="24"/>
        </w:rPr>
      </w:pPr>
      <w:bookmarkStart w:id="1" w:name="_Hlk524963424"/>
    </w:p>
    <w:p w14:paraId="347AB51D" w14:textId="77777777" w:rsidR="007C38FA" w:rsidRPr="007B17E9" w:rsidRDefault="007C38FA" w:rsidP="009A16CD">
      <w:pPr>
        <w:tabs>
          <w:tab w:val="left" w:pos="4820"/>
        </w:tabs>
        <w:jc w:val="both"/>
        <w:rPr>
          <w:rFonts w:ascii="Times New Roman" w:hAnsi="Times New Roman" w:cs="Times New Roman"/>
          <w:b/>
          <w:sz w:val="24"/>
          <w:szCs w:val="24"/>
        </w:rPr>
      </w:pPr>
    </w:p>
    <w:bookmarkEnd w:id="1"/>
    <w:p w14:paraId="05B3351C" w14:textId="77777777" w:rsidR="00CB66BB" w:rsidRDefault="00CB66BB" w:rsidP="00CB66BB">
      <w:pPr>
        <w:spacing w:after="0" w:line="240" w:lineRule="auto"/>
        <w:jc w:val="center"/>
        <w:rPr>
          <w:rFonts w:ascii="Times New Roman" w:hAnsi="Times New Roman" w:cs="Times New Roman"/>
          <w:b/>
          <w:sz w:val="24"/>
          <w:szCs w:val="24"/>
        </w:rPr>
      </w:pPr>
      <w:r w:rsidRPr="000B1062">
        <w:rPr>
          <w:rFonts w:ascii="Times New Roman" w:hAnsi="Times New Roman" w:cs="Times New Roman"/>
          <w:b/>
          <w:sz w:val="24"/>
          <w:szCs w:val="24"/>
        </w:rPr>
        <w:t>PROJEKTO „PRISIJUNGUSI LIETUVA“: SKAITMENINIŲ ĮGŪDŽIŲ TOBULINIMAS“ MOKYMO PASLAUGOS</w:t>
      </w:r>
    </w:p>
    <w:p w14:paraId="2AC70516" w14:textId="77777777" w:rsidR="00CB66BB" w:rsidRPr="000B1062" w:rsidRDefault="00CB66BB" w:rsidP="00CB66BB">
      <w:pPr>
        <w:spacing w:after="0" w:line="240" w:lineRule="auto"/>
        <w:jc w:val="center"/>
        <w:rPr>
          <w:rFonts w:ascii="Times New Roman" w:hAnsi="Times New Roman" w:cs="Times New Roman"/>
          <w:b/>
          <w:sz w:val="24"/>
          <w:szCs w:val="24"/>
        </w:rPr>
      </w:pPr>
    </w:p>
    <w:p w14:paraId="7A7B2ABE" w14:textId="346BABD0" w:rsidR="003F0660" w:rsidRPr="007B17E9" w:rsidRDefault="00E34DD8" w:rsidP="009A16CD">
      <w:pPr>
        <w:tabs>
          <w:tab w:val="left" w:pos="4820"/>
        </w:tabs>
        <w:jc w:val="center"/>
        <w:rPr>
          <w:rFonts w:ascii="Times New Roman" w:hAnsi="Times New Roman" w:cs="Times New Roman"/>
          <w:b/>
          <w:sz w:val="24"/>
          <w:szCs w:val="24"/>
        </w:rPr>
      </w:pPr>
      <w:r w:rsidRPr="007B17E9">
        <w:rPr>
          <w:rFonts w:ascii="Times New Roman" w:hAnsi="Times New Roman" w:cs="Times New Roman"/>
          <w:b/>
          <w:bCs/>
          <w:color w:val="000000"/>
          <w:sz w:val="24"/>
          <w:szCs w:val="24"/>
        </w:rPr>
        <w:t xml:space="preserve">ATSAKYMAI Į </w:t>
      </w:r>
      <w:r w:rsidR="00CB66BB">
        <w:rPr>
          <w:rFonts w:ascii="Times New Roman" w:hAnsi="Times New Roman" w:cs="Times New Roman"/>
          <w:b/>
          <w:bCs/>
          <w:color w:val="000000"/>
          <w:sz w:val="24"/>
          <w:szCs w:val="24"/>
        </w:rPr>
        <w:t xml:space="preserve">RINKOS KONSULTACIJOS METU GAUTUS </w:t>
      </w:r>
      <w:r w:rsidRPr="007B17E9">
        <w:rPr>
          <w:rFonts w:ascii="Times New Roman" w:hAnsi="Times New Roman" w:cs="Times New Roman"/>
          <w:b/>
          <w:bCs/>
          <w:color w:val="000000"/>
          <w:sz w:val="24"/>
          <w:szCs w:val="24"/>
        </w:rPr>
        <w:t>TIEKĖJŲ KLAUSIMUS</w:t>
      </w:r>
    </w:p>
    <w:p w14:paraId="6B92C65C" w14:textId="77777777" w:rsidR="00C56908" w:rsidRPr="007B17E9" w:rsidRDefault="00C56908" w:rsidP="009A16CD">
      <w:pPr>
        <w:tabs>
          <w:tab w:val="left" w:pos="4820"/>
        </w:tabs>
        <w:spacing w:after="0" w:line="240" w:lineRule="auto"/>
        <w:jc w:val="both"/>
        <w:rPr>
          <w:rFonts w:ascii="Times New Roman" w:hAnsi="Times New Roman" w:cs="Times New Roman"/>
          <w:b/>
          <w:sz w:val="24"/>
          <w:szCs w:val="24"/>
        </w:rPr>
      </w:pPr>
    </w:p>
    <w:tbl>
      <w:tblPr>
        <w:tblStyle w:val="Lentelstinklelis"/>
        <w:tblW w:w="9776" w:type="dxa"/>
        <w:tblLayout w:type="fixed"/>
        <w:tblLook w:val="04A0" w:firstRow="1" w:lastRow="0" w:firstColumn="1" w:lastColumn="0" w:noHBand="0" w:noVBand="1"/>
      </w:tblPr>
      <w:tblGrid>
        <w:gridCol w:w="1935"/>
        <w:gridCol w:w="4439"/>
        <w:gridCol w:w="3402"/>
      </w:tblGrid>
      <w:tr w:rsidR="00E57549" w:rsidRPr="007B17E9" w14:paraId="18F8AEB6" w14:textId="77777777" w:rsidTr="009A16CD">
        <w:tc>
          <w:tcPr>
            <w:tcW w:w="1935" w:type="dxa"/>
          </w:tcPr>
          <w:p w14:paraId="02248CDF" w14:textId="77777777" w:rsidR="00AE5EAE" w:rsidRPr="007B17E9" w:rsidRDefault="00AE5EAE" w:rsidP="009A16CD">
            <w:pPr>
              <w:tabs>
                <w:tab w:val="left" w:pos="4820"/>
              </w:tabs>
              <w:autoSpaceDE w:val="0"/>
              <w:autoSpaceDN w:val="0"/>
              <w:adjustRightInd w:val="0"/>
              <w:rPr>
                <w:rFonts w:ascii="Times New Roman" w:hAnsi="Times New Roman" w:cs="Times New Roman"/>
                <w:b/>
                <w:bCs/>
                <w:sz w:val="24"/>
                <w:szCs w:val="24"/>
              </w:rPr>
            </w:pPr>
            <w:r w:rsidRPr="007B17E9">
              <w:rPr>
                <w:rFonts w:ascii="Times New Roman" w:hAnsi="Times New Roman" w:cs="Times New Roman"/>
                <w:b/>
                <w:bCs/>
                <w:sz w:val="24"/>
                <w:szCs w:val="24"/>
              </w:rPr>
              <w:t>Nuorodos į planuojamo</w:t>
            </w:r>
          </w:p>
          <w:p w14:paraId="4F3CFC96" w14:textId="77777777" w:rsidR="00AE5EAE" w:rsidRPr="007B17E9" w:rsidRDefault="00AE5EAE" w:rsidP="009A16CD">
            <w:pPr>
              <w:tabs>
                <w:tab w:val="left" w:pos="4820"/>
              </w:tabs>
              <w:autoSpaceDE w:val="0"/>
              <w:autoSpaceDN w:val="0"/>
              <w:adjustRightInd w:val="0"/>
              <w:rPr>
                <w:rFonts w:ascii="Times New Roman" w:hAnsi="Times New Roman" w:cs="Times New Roman"/>
                <w:b/>
                <w:bCs/>
                <w:sz w:val="24"/>
                <w:szCs w:val="24"/>
              </w:rPr>
            </w:pPr>
            <w:r w:rsidRPr="007B17E9">
              <w:rPr>
                <w:rFonts w:ascii="Times New Roman" w:hAnsi="Times New Roman" w:cs="Times New Roman"/>
                <w:b/>
                <w:bCs/>
                <w:sz w:val="24"/>
                <w:szCs w:val="24"/>
              </w:rPr>
              <w:t>viešojo pirkimo</w:t>
            </w:r>
          </w:p>
          <w:p w14:paraId="368642BF" w14:textId="71B2DB76" w:rsidR="00E57549" w:rsidRPr="007B17E9" w:rsidRDefault="00AE5EAE" w:rsidP="009A16CD">
            <w:pPr>
              <w:pStyle w:val="Default"/>
              <w:tabs>
                <w:tab w:val="left" w:pos="4820"/>
              </w:tabs>
              <w:jc w:val="both"/>
              <w:rPr>
                <w:color w:val="000000" w:themeColor="text1"/>
              </w:rPr>
            </w:pPr>
            <w:r w:rsidRPr="007B17E9">
              <w:rPr>
                <w:b/>
                <w:bCs/>
              </w:rPr>
              <w:t>dokumentus</w:t>
            </w:r>
          </w:p>
        </w:tc>
        <w:tc>
          <w:tcPr>
            <w:tcW w:w="4439" w:type="dxa"/>
          </w:tcPr>
          <w:p w14:paraId="57BB6CDB" w14:textId="0AABC2F4" w:rsidR="00E57549" w:rsidRPr="007B17E9" w:rsidRDefault="00AE5EAE" w:rsidP="009A16CD">
            <w:pPr>
              <w:pStyle w:val="Default"/>
              <w:tabs>
                <w:tab w:val="left" w:pos="4820"/>
              </w:tabs>
              <w:jc w:val="both"/>
              <w:rPr>
                <w:b/>
                <w:bCs/>
                <w:color w:val="000000" w:themeColor="text1"/>
              </w:rPr>
            </w:pPr>
            <w:r w:rsidRPr="007B17E9">
              <w:rPr>
                <w:b/>
                <w:bCs/>
              </w:rPr>
              <w:t>Pastabos, pasiūlymai, klausimai, įžvalgos, rekomendacijos</w:t>
            </w:r>
          </w:p>
        </w:tc>
        <w:tc>
          <w:tcPr>
            <w:tcW w:w="3402" w:type="dxa"/>
          </w:tcPr>
          <w:p w14:paraId="4C4BF4BC" w14:textId="59CC7D05" w:rsidR="00E57549" w:rsidRPr="007B17E9" w:rsidRDefault="00AE5EAE" w:rsidP="009A16CD">
            <w:pPr>
              <w:pStyle w:val="Default"/>
              <w:tabs>
                <w:tab w:val="left" w:pos="4820"/>
              </w:tabs>
              <w:jc w:val="both"/>
              <w:rPr>
                <w:b/>
                <w:bCs/>
                <w:color w:val="000000" w:themeColor="text1"/>
              </w:rPr>
            </w:pPr>
            <w:r w:rsidRPr="007B17E9">
              <w:rPr>
                <w:b/>
                <w:bCs/>
                <w:color w:val="000000" w:themeColor="text1"/>
              </w:rPr>
              <w:t>Atsakymai į tiekėjų klausimus</w:t>
            </w:r>
          </w:p>
        </w:tc>
      </w:tr>
      <w:tr w:rsidR="00E57549" w:rsidRPr="007B17E9" w14:paraId="41FE9BDB" w14:textId="77777777" w:rsidTr="009A16CD">
        <w:tc>
          <w:tcPr>
            <w:tcW w:w="1935" w:type="dxa"/>
          </w:tcPr>
          <w:p w14:paraId="17532A80" w14:textId="0F8D1587" w:rsidR="00E5754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6C9234AF" w14:textId="7EE6201C" w:rsidR="00E57549" w:rsidRPr="00561EDB" w:rsidRDefault="007B17E9" w:rsidP="009A16CD">
            <w:pPr>
              <w:pStyle w:val="Default"/>
              <w:tabs>
                <w:tab w:val="left" w:pos="4820"/>
              </w:tabs>
              <w:jc w:val="both"/>
              <w:rPr>
                <w:color w:val="00241A"/>
                <w:shd w:val="clear" w:color="auto" w:fill="FFFFFF"/>
              </w:rPr>
            </w:pPr>
            <w:r w:rsidRPr="00561EDB">
              <w:rPr>
                <w:color w:val="00241A"/>
                <w:shd w:val="clear" w:color="auto" w:fill="FFFFFF"/>
              </w:rPr>
              <w:t xml:space="preserve">1. Dalyvaujant 1dalyje. Vilniaus ir Utenos apskrityse, ar tiekėjas privalo, kiekvienoje savivaldybėje surengti mokymus - surinkti grupes? Jei pvz. kurioje savivaldybėje registruosis per maža grupė (nesieks 10 asmenų), ar tiekėjas gali atsisakyti vesti ten skelbtus ir numatytus mokymus? Juos nukeliant į vėlesnį laiką ar pvz. tuos dalyvius kviečiant atvyti į mokymus kitoje artimesnėje jiems savivaldybėje, taip sujungiant mažas grupeles į vieną? </w:t>
            </w:r>
          </w:p>
        </w:tc>
        <w:tc>
          <w:tcPr>
            <w:tcW w:w="3402" w:type="dxa"/>
          </w:tcPr>
          <w:p w14:paraId="6F84D3A1" w14:textId="182296F9" w:rsidR="00616D72" w:rsidRDefault="00616D72" w:rsidP="009A16CD">
            <w:pPr>
              <w:pStyle w:val="Default"/>
              <w:tabs>
                <w:tab w:val="left" w:pos="4820"/>
              </w:tabs>
              <w:jc w:val="both"/>
              <w:rPr>
                <w:color w:val="000000" w:themeColor="text1"/>
              </w:rPr>
            </w:pPr>
            <w:r>
              <w:rPr>
                <w:color w:val="000000" w:themeColor="text1"/>
              </w:rPr>
              <w:t>Techninės specifikacijos (</w:t>
            </w:r>
            <w:r w:rsidR="00C11D38">
              <w:rPr>
                <w:color w:val="000000" w:themeColor="text1"/>
              </w:rPr>
              <w:t xml:space="preserve">Pirkimo </w:t>
            </w:r>
            <w:r>
              <w:rPr>
                <w:color w:val="000000" w:themeColor="text1"/>
              </w:rPr>
              <w:t xml:space="preserve">specialiųjų </w:t>
            </w:r>
            <w:r w:rsidR="00C11D38">
              <w:rPr>
                <w:color w:val="000000" w:themeColor="text1"/>
              </w:rPr>
              <w:t>sąlyg</w:t>
            </w:r>
            <w:r>
              <w:rPr>
                <w:color w:val="000000" w:themeColor="text1"/>
              </w:rPr>
              <w:t>ų 1 priedas)</w:t>
            </w:r>
            <w:r w:rsidR="00C11D38">
              <w:rPr>
                <w:color w:val="000000" w:themeColor="text1"/>
              </w:rPr>
              <w:t xml:space="preserve"> </w:t>
            </w:r>
            <w:r>
              <w:rPr>
                <w:color w:val="000000" w:themeColor="text1"/>
              </w:rPr>
              <w:t xml:space="preserve">1.3.2. p. </w:t>
            </w:r>
            <w:r w:rsidR="00C11D38">
              <w:rPr>
                <w:color w:val="000000" w:themeColor="text1"/>
              </w:rPr>
              <w:t>nurodyta</w:t>
            </w:r>
            <w:r>
              <w:rPr>
                <w:color w:val="000000" w:themeColor="text1"/>
              </w:rPr>
              <w:t>, kad</w:t>
            </w:r>
            <w:r w:rsidR="00C11D38">
              <w:rPr>
                <w:color w:val="000000" w:themeColor="text1"/>
              </w:rPr>
              <w:t xml:space="preserve"> „</w:t>
            </w:r>
            <w:r w:rsidRPr="00616D72">
              <w:rPr>
                <w:color w:val="000000" w:themeColor="text1"/>
              </w:rPr>
              <w:t>Paslaugos turi būti suteiktos visose pirkimo dalies savivaldybėse</w:t>
            </w:r>
            <w:r w:rsidR="00C11D38">
              <w:rPr>
                <w:color w:val="000000" w:themeColor="text1"/>
              </w:rPr>
              <w:t xml:space="preserve">“, t. y. </w:t>
            </w:r>
            <w:r>
              <w:rPr>
                <w:color w:val="000000" w:themeColor="text1"/>
              </w:rPr>
              <w:t xml:space="preserve">mokymus </w:t>
            </w:r>
            <w:r w:rsidR="00C11D38">
              <w:rPr>
                <w:color w:val="000000" w:themeColor="text1"/>
              </w:rPr>
              <w:t xml:space="preserve">privaloma rengti kiekvienoje savivaldybėje. </w:t>
            </w:r>
          </w:p>
          <w:p w14:paraId="3FFC02A7" w14:textId="1A913D73" w:rsidR="00E57549" w:rsidRPr="007B17E9" w:rsidRDefault="00C11D38" w:rsidP="009A16CD">
            <w:pPr>
              <w:pStyle w:val="Default"/>
              <w:tabs>
                <w:tab w:val="left" w:pos="4820"/>
              </w:tabs>
              <w:jc w:val="both"/>
              <w:rPr>
                <w:color w:val="000000" w:themeColor="text1"/>
              </w:rPr>
            </w:pPr>
            <w:r>
              <w:rPr>
                <w:color w:val="000000" w:themeColor="text1"/>
              </w:rPr>
              <w:t xml:space="preserve">Paslaugų teikėjas kviečia dalyvius ir rengia mokymus </w:t>
            </w:r>
            <w:r w:rsidR="009C0D34">
              <w:rPr>
                <w:color w:val="000000" w:themeColor="text1"/>
              </w:rPr>
              <w:t xml:space="preserve">visose pirkimo dalies </w:t>
            </w:r>
            <w:r>
              <w:rPr>
                <w:color w:val="000000" w:themeColor="text1"/>
              </w:rPr>
              <w:t xml:space="preserve"> savivaldybė</w:t>
            </w:r>
            <w:r w:rsidR="009C0D34">
              <w:rPr>
                <w:color w:val="000000" w:themeColor="text1"/>
              </w:rPr>
              <w:t>s</w:t>
            </w:r>
            <w:r>
              <w:rPr>
                <w:color w:val="000000" w:themeColor="text1"/>
              </w:rPr>
              <w:t xml:space="preserve">e </w:t>
            </w:r>
            <w:r w:rsidR="009C0D34">
              <w:rPr>
                <w:color w:val="000000" w:themeColor="text1"/>
              </w:rPr>
              <w:t>pagal Techninės specifikacijos reikalavimus</w:t>
            </w:r>
            <w:r w:rsidR="00616D72">
              <w:rPr>
                <w:color w:val="000000" w:themeColor="text1"/>
              </w:rPr>
              <w:t>,</w:t>
            </w:r>
            <w:r w:rsidR="009C0D34">
              <w:rPr>
                <w:color w:val="000000" w:themeColor="text1"/>
              </w:rPr>
              <w:t xml:space="preserve"> bet savarankiškai pasirinktais būdais </w:t>
            </w:r>
            <w:r>
              <w:rPr>
                <w:color w:val="000000" w:themeColor="text1"/>
              </w:rPr>
              <w:t>taip, kad būtų įvykdytos tos pirkimo dalies numatytos apimtys</w:t>
            </w:r>
            <w:r w:rsidR="009C0D34">
              <w:rPr>
                <w:color w:val="000000" w:themeColor="text1"/>
              </w:rPr>
              <w:t xml:space="preserve"> nustatytu grafiku</w:t>
            </w:r>
            <w:r>
              <w:rPr>
                <w:color w:val="000000" w:themeColor="text1"/>
              </w:rPr>
              <w:t>.</w:t>
            </w:r>
          </w:p>
        </w:tc>
      </w:tr>
      <w:tr w:rsidR="007B17E9" w:rsidRPr="007B17E9" w14:paraId="650C03BE" w14:textId="77777777" w:rsidTr="009A16CD">
        <w:tc>
          <w:tcPr>
            <w:tcW w:w="1935" w:type="dxa"/>
          </w:tcPr>
          <w:p w14:paraId="41BD2C9E" w14:textId="7D2F276E"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11656F62" w14:textId="5076F5D3" w:rsidR="007B17E9" w:rsidRPr="00E04BA9" w:rsidRDefault="007B17E9" w:rsidP="009A16CD">
            <w:pPr>
              <w:pStyle w:val="Default"/>
              <w:tabs>
                <w:tab w:val="left" w:pos="4820"/>
              </w:tabs>
              <w:jc w:val="both"/>
              <w:rPr>
                <w:color w:val="00241A"/>
                <w:shd w:val="clear" w:color="auto" w:fill="FFFFFF"/>
              </w:rPr>
            </w:pPr>
            <w:r w:rsidRPr="00E04BA9">
              <w:rPr>
                <w:color w:val="00241A"/>
                <w:shd w:val="clear" w:color="auto" w:fill="FFFFFF"/>
              </w:rPr>
              <w:t>2. Tikslinėje grupėje ir asmenys turintys negalią. Pvz.: jei asmuo - aklas, ar jam turės būti vykdomi mokymai specializuotomis programomis, pritaikytomis neregiams ar silpnaregiams? Jei asmuo - kurčiasis, ar tiekėjas turi pasirūpinti vertėju?</w:t>
            </w:r>
          </w:p>
        </w:tc>
        <w:tc>
          <w:tcPr>
            <w:tcW w:w="3402" w:type="dxa"/>
          </w:tcPr>
          <w:p w14:paraId="7B6ECF1A" w14:textId="065F0A5D" w:rsidR="007B17E9" w:rsidRPr="007B17E9" w:rsidRDefault="00FD3333" w:rsidP="009A16CD">
            <w:pPr>
              <w:pStyle w:val="Default"/>
              <w:tabs>
                <w:tab w:val="left" w:pos="4820"/>
              </w:tabs>
              <w:jc w:val="both"/>
              <w:rPr>
                <w:color w:val="000000" w:themeColor="text1"/>
              </w:rPr>
            </w:pPr>
            <w:r>
              <w:t>Kai p</w:t>
            </w:r>
            <w:r w:rsidR="002D2395">
              <w:t>aslaug</w:t>
            </w:r>
            <w:r w:rsidR="00725853">
              <w:t>ų</w:t>
            </w:r>
            <w:r w:rsidR="002D2395">
              <w:t xml:space="preserve"> teikėjas mokymams naudoja šiuolaikinę programinę įrangą, </w:t>
            </w:r>
            <w:r w:rsidR="00743439">
              <w:t>ji</w:t>
            </w:r>
            <w:r w:rsidR="002D2395">
              <w:t xml:space="preserve"> įprastai turi įdiegtas prieinamumo funkcijas, pritaikytas negalią turintiems vartotojams. Specializuotos papildomos programinės įrangos naudojimas nėra privalomas. </w:t>
            </w:r>
            <w:r w:rsidR="00743439">
              <w:t>Rekomenduojama jog d</w:t>
            </w:r>
            <w:r w:rsidR="002D2395">
              <w:t>alyviai, kuriems mokymų metu reikalingos asmeninio asistento paslaugos, jas organizuojasi savarankiškai, o paslaug</w:t>
            </w:r>
            <w:r w:rsidR="00725853">
              <w:t>ų</w:t>
            </w:r>
            <w:r w:rsidR="002D2395">
              <w:t xml:space="preserve"> teikėjas sudaro sąlygas jomis netrukdomai naudotis.</w:t>
            </w:r>
          </w:p>
        </w:tc>
      </w:tr>
      <w:tr w:rsidR="007B17E9" w:rsidRPr="007B17E9" w14:paraId="5BB4EC85" w14:textId="77777777" w:rsidTr="009A16CD">
        <w:tc>
          <w:tcPr>
            <w:tcW w:w="1935" w:type="dxa"/>
          </w:tcPr>
          <w:p w14:paraId="4ED78F69" w14:textId="150899C1" w:rsidR="007B17E9" w:rsidRPr="007B17E9" w:rsidRDefault="007B17E9" w:rsidP="009A16CD">
            <w:pPr>
              <w:pStyle w:val="Default"/>
              <w:tabs>
                <w:tab w:val="left" w:pos="4820"/>
              </w:tabs>
              <w:jc w:val="both"/>
              <w:rPr>
                <w:color w:val="000000" w:themeColor="text1"/>
              </w:rPr>
            </w:pPr>
            <w:r>
              <w:rPr>
                <w:color w:val="000000" w:themeColor="text1"/>
              </w:rPr>
              <w:lastRenderedPageBreak/>
              <w:t>SPS 1 Priedas „Techninė specifikacija“</w:t>
            </w:r>
          </w:p>
        </w:tc>
        <w:tc>
          <w:tcPr>
            <w:tcW w:w="4439" w:type="dxa"/>
          </w:tcPr>
          <w:p w14:paraId="3EA592BA" w14:textId="70ABB667" w:rsidR="007B17E9" w:rsidRPr="00E04BA9" w:rsidRDefault="007B17E9" w:rsidP="009A16CD">
            <w:pPr>
              <w:pStyle w:val="Default"/>
              <w:tabs>
                <w:tab w:val="left" w:pos="4820"/>
              </w:tabs>
              <w:jc w:val="both"/>
              <w:rPr>
                <w:color w:val="00241A"/>
                <w:shd w:val="clear" w:color="auto" w:fill="FFFFFF"/>
              </w:rPr>
            </w:pPr>
            <w:r w:rsidRPr="00E04BA9">
              <w:rPr>
                <w:color w:val="00241A"/>
                <w:shd w:val="clear" w:color="auto" w:fill="FFFFFF"/>
              </w:rPr>
              <w:t>3. Mokymų trukmė „ne mažiau 12 akad. val.“ Ar tiekėjas gali, savo nuožiūra, mokymus skelti į kelis užsiėmimus, pvz.: du kartai po 6 akad. val.?</w:t>
            </w:r>
          </w:p>
        </w:tc>
        <w:tc>
          <w:tcPr>
            <w:tcW w:w="3402" w:type="dxa"/>
          </w:tcPr>
          <w:p w14:paraId="70FAAC67" w14:textId="16752C55" w:rsidR="007B17E9" w:rsidRPr="007B17E9" w:rsidRDefault="00725853" w:rsidP="009A16CD">
            <w:pPr>
              <w:pStyle w:val="Default"/>
              <w:tabs>
                <w:tab w:val="left" w:pos="4820"/>
              </w:tabs>
              <w:jc w:val="both"/>
              <w:rPr>
                <w:color w:val="000000" w:themeColor="text1"/>
              </w:rPr>
            </w:pPr>
            <w:r>
              <w:rPr>
                <w:color w:val="000000" w:themeColor="text1"/>
              </w:rPr>
              <w:t xml:space="preserve">Paslaugų </w:t>
            </w:r>
            <w:r w:rsidR="00520094">
              <w:rPr>
                <w:color w:val="000000" w:themeColor="text1"/>
              </w:rPr>
              <w:t xml:space="preserve">teikėjas kiekvienos grupės mokymus skaido į </w:t>
            </w:r>
            <w:r w:rsidR="00616D72">
              <w:rPr>
                <w:color w:val="000000" w:themeColor="text1"/>
              </w:rPr>
              <w:t xml:space="preserve">atskirus </w:t>
            </w:r>
            <w:r w:rsidR="00520094">
              <w:rPr>
                <w:color w:val="000000" w:themeColor="text1"/>
              </w:rPr>
              <w:t>užsiėmimus savo nuožiūra.</w:t>
            </w:r>
          </w:p>
        </w:tc>
      </w:tr>
      <w:tr w:rsidR="007B17E9" w:rsidRPr="007B17E9" w14:paraId="48DDFDF5" w14:textId="77777777" w:rsidTr="009A16CD">
        <w:tc>
          <w:tcPr>
            <w:tcW w:w="1935" w:type="dxa"/>
          </w:tcPr>
          <w:p w14:paraId="62F36549" w14:textId="05FF3F15"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2E8187CC" w14:textId="747ED00A" w:rsidR="007B17E9" w:rsidRPr="001B2F3F" w:rsidRDefault="007B17E9" w:rsidP="009A16CD">
            <w:pPr>
              <w:pStyle w:val="Default"/>
              <w:tabs>
                <w:tab w:val="left" w:pos="4820"/>
              </w:tabs>
              <w:jc w:val="both"/>
              <w:rPr>
                <w:color w:val="00241A"/>
                <w:shd w:val="clear" w:color="auto" w:fill="FFFFFF"/>
              </w:rPr>
            </w:pPr>
            <w:r w:rsidRPr="001B2F3F">
              <w:rPr>
                <w:color w:val="00241A"/>
                <w:shd w:val="clear" w:color="auto" w:fill="FFFFFF"/>
              </w:rPr>
              <w:t>4. Mokymo programa „mišriuoju būdu“ - ar reikia suprasti, kad dalis mokymu vyksta gyvai - tiesiogiai, dalis - nuotoliu?</w:t>
            </w:r>
          </w:p>
        </w:tc>
        <w:tc>
          <w:tcPr>
            <w:tcW w:w="3402" w:type="dxa"/>
          </w:tcPr>
          <w:p w14:paraId="3A4374A0" w14:textId="39A23950" w:rsidR="007B17E9" w:rsidRPr="007B17E9" w:rsidRDefault="00520094" w:rsidP="009A16CD">
            <w:pPr>
              <w:pStyle w:val="Default"/>
              <w:tabs>
                <w:tab w:val="left" w:pos="4820"/>
              </w:tabs>
              <w:jc w:val="both"/>
              <w:rPr>
                <w:color w:val="000000" w:themeColor="text1"/>
              </w:rPr>
            </w:pPr>
            <w:r>
              <w:rPr>
                <w:color w:val="000000" w:themeColor="text1"/>
              </w:rPr>
              <w:t>Mokymai gali būti vykdomi mišriuoju būdu</w:t>
            </w:r>
            <w:r w:rsidR="00616D72">
              <w:rPr>
                <w:color w:val="000000" w:themeColor="text1"/>
              </w:rPr>
              <w:t xml:space="preserve">, </w:t>
            </w:r>
            <w:r>
              <w:rPr>
                <w:color w:val="000000" w:themeColor="text1"/>
              </w:rPr>
              <w:t>t. y. dalis tiesiogiai, o dalis nuotoliu</w:t>
            </w:r>
            <w:r w:rsidR="00616D72">
              <w:rPr>
                <w:color w:val="000000" w:themeColor="text1"/>
              </w:rPr>
              <w:t xml:space="preserve">, </w:t>
            </w:r>
            <w:r>
              <w:rPr>
                <w:color w:val="000000" w:themeColor="text1"/>
              </w:rPr>
              <w:t>pagal mokymo programos 2-ąjį variantą.</w:t>
            </w:r>
          </w:p>
        </w:tc>
      </w:tr>
      <w:tr w:rsidR="007B17E9" w:rsidRPr="007B17E9" w14:paraId="7A72F86E" w14:textId="77777777" w:rsidTr="009A16CD">
        <w:tc>
          <w:tcPr>
            <w:tcW w:w="1935" w:type="dxa"/>
          </w:tcPr>
          <w:p w14:paraId="45C2EE97" w14:textId="2C23C46C"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6247F650" w14:textId="1A3EDF1B" w:rsidR="007B17E9" w:rsidRPr="00D6755D" w:rsidRDefault="007B17E9" w:rsidP="009A16CD">
            <w:pPr>
              <w:pStyle w:val="Default"/>
              <w:tabs>
                <w:tab w:val="left" w:pos="4820"/>
              </w:tabs>
              <w:jc w:val="both"/>
              <w:rPr>
                <w:color w:val="00241A"/>
                <w:shd w:val="clear" w:color="auto" w:fill="FFFFFF"/>
              </w:rPr>
            </w:pPr>
            <w:r w:rsidRPr="00D6755D">
              <w:rPr>
                <w:color w:val="00241A"/>
                <w:shd w:val="clear" w:color="auto" w:fill="FFFFFF"/>
              </w:rPr>
              <w:t>5. Ar tiekėjas įsipareigoja tam tikram skaičiui asmenų pravesti mokymus pagal 1-ąjį mokymo programos variantą (tiesioginiu būdu) ir pagal 2-ąjį mokymo programos variantą? Pvz. jei registruosis asmenys tik į 2-ąjį mokymo programos variantą, o nebus asmenų, neturinčių ar turinčių ribotus skaitmeninius įgūdžius, registracijų į 1-ojo varianto mokymo programą?</w:t>
            </w:r>
          </w:p>
        </w:tc>
        <w:tc>
          <w:tcPr>
            <w:tcW w:w="3402" w:type="dxa"/>
          </w:tcPr>
          <w:p w14:paraId="7DC144A2" w14:textId="35DF338F" w:rsidR="007B17E9" w:rsidRPr="007B17E9" w:rsidRDefault="00520094" w:rsidP="009A16CD">
            <w:pPr>
              <w:pStyle w:val="Default"/>
              <w:tabs>
                <w:tab w:val="left" w:pos="4820"/>
              </w:tabs>
              <w:jc w:val="both"/>
              <w:rPr>
                <w:color w:val="000000" w:themeColor="text1"/>
              </w:rPr>
            </w:pPr>
            <w:r>
              <w:rPr>
                <w:color w:val="000000" w:themeColor="text1"/>
              </w:rPr>
              <w:t>Mokymus baigusių dalyvių skaičius skaičiuojamas bendrai pagal abu programos variantus. Paslaugų teikėjas gali rengti mokymus pagal tik kurį nors vieną ar abu variantus</w:t>
            </w:r>
            <w:r w:rsidR="00616D72">
              <w:rPr>
                <w:color w:val="000000" w:themeColor="text1"/>
              </w:rPr>
              <w:t>,</w:t>
            </w:r>
            <w:r w:rsidR="00D6755D">
              <w:rPr>
                <w:color w:val="000000" w:themeColor="text1"/>
              </w:rPr>
              <w:t xml:space="preserve"> kurie labiau tinka t</w:t>
            </w:r>
            <w:r w:rsidR="00616D72">
              <w:rPr>
                <w:color w:val="000000" w:themeColor="text1"/>
              </w:rPr>
              <w:t>ikslin</w:t>
            </w:r>
            <w:r w:rsidR="00D6755D">
              <w:rPr>
                <w:color w:val="000000" w:themeColor="text1"/>
              </w:rPr>
              <w:t>ei</w:t>
            </w:r>
            <w:r w:rsidR="00616D72">
              <w:rPr>
                <w:color w:val="000000" w:themeColor="text1"/>
              </w:rPr>
              <w:t xml:space="preserve"> grup</w:t>
            </w:r>
            <w:r w:rsidR="00D6755D">
              <w:rPr>
                <w:color w:val="000000" w:themeColor="text1"/>
              </w:rPr>
              <w:t>ei</w:t>
            </w:r>
            <w:r w:rsidR="00616D72">
              <w:rPr>
                <w:color w:val="000000" w:themeColor="text1"/>
              </w:rPr>
              <w:t xml:space="preserve">. </w:t>
            </w:r>
          </w:p>
        </w:tc>
      </w:tr>
      <w:tr w:rsidR="007B17E9" w:rsidRPr="007B17E9" w14:paraId="26F80C1E" w14:textId="77777777" w:rsidTr="009A16CD">
        <w:tc>
          <w:tcPr>
            <w:tcW w:w="1935" w:type="dxa"/>
          </w:tcPr>
          <w:p w14:paraId="1470AD55" w14:textId="73333B1F"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41B65CB0" w14:textId="75B78595" w:rsidR="007B17E9" w:rsidRPr="00D6755D" w:rsidRDefault="007B17E9" w:rsidP="009A16CD">
            <w:pPr>
              <w:pStyle w:val="Default"/>
              <w:tabs>
                <w:tab w:val="left" w:pos="4820"/>
              </w:tabs>
              <w:jc w:val="both"/>
              <w:rPr>
                <w:color w:val="00241A"/>
                <w:shd w:val="clear" w:color="auto" w:fill="FFFFFF"/>
              </w:rPr>
            </w:pPr>
            <w:r w:rsidRPr="00D6755D">
              <w:rPr>
                <w:color w:val="00241A"/>
                <w:shd w:val="clear" w:color="auto" w:fill="FFFFFF"/>
              </w:rPr>
              <w:t xml:space="preserve">6. „Jei dalyvis dalyvavo mažiau nei 60 proc. mokymų renginio trukmės“, jis nebus apskaitytas kaip mokymų dalyvis, </w:t>
            </w:r>
            <w:proofErr w:type="spellStart"/>
            <w:r w:rsidRPr="00D6755D">
              <w:rPr>
                <w:color w:val="00241A"/>
                <w:shd w:val="clear" w:color="auto" w:fill="FFFFFF"/>
              </w:rPr>
              <w:t>t.y</w:t>
            </w:r>
            <w:proofErr w:type="spellEnd"/>
            <w:r w:rsidRPr="00D6755D">
              <w:rPr>
                <w:color w:val="00241A"/>
                <w:shd w:val="clear" w:color="auto" w:fill="FFFFFF"/>
              </w:rPr>
              <w:t>. už jo nepilną dalyvavimą mokymuose tiekėjui nebus sumokėta. Ar tiekėjas apsidrausdamas, gali su dalyviais prieš mokymus pasirašyti sutartis, pagal kurią dalyvis, kuris nebaigia mokymų, moka baudą - dalyvio mokestį tiekėjui?</w:t>
            </w:r>
          </w:p>
        </w:tc>
        <w:tc>
          <w:tcPr>
            <w:tcW w:w="3402" w:type="dxa"/>
          </w:tcPr>
          <w:p w14:paraId="0C0E985E" w14:textId="072F6536" w:rsidR="00520094" w:rsidRPr="007B17E9" w:rsidRDefault="002D2395" w:rsidP="00136BA8">
            <w:pPr>
              <w:pStyle w:val="Default"/>
              <w:tabs>
                <w:tab w:val="left" w:pos="4820"/>
              </w:tabs>
              <w:jc w:val="both"/>
              <w:rPr>
                <w:color w:val="000000" w:themeColor="text1"/>
              </w:rPr>
            </w:pPr>
            <w:r>
              <w:t>Paslaugų teikėjas organizuoja mokymus pagal Techninės specifikacijos reikalavimus ir užtikrina pirkimo dalyje numatytų apimčių įvykdymą nustatytu grafiku. Dalyvių dalyvavimas mokymuose yra savanoriškas</w:t>
            </w:r>
            <w:r w:rsidR="000D2303">
              <w:t xml:space="preserve"> ir nemokamas.</w:t>
            </w:r>
          </w:p>
        </w:tc>
      </w:tr>
      <w:tr w:rsidR="007B17E9" w:rsidRPr="007B17E9" w14:paraId="30D923C8" w14:textId="77777777" w:rsidTr="009A16CD">
        <w:tc>
          <w:tcPr>
            <w:tcW w:w="1935" w:type="dxa"/>
          </w:tcPr>
          <w:p w14:paraId="2DE86BFC" w14:textId="0F7016F1"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488367B5" w14:textId="27CA25F5" w:rsidR="007B17E9" w:rsidRPr="007B17E9" w:rsidRDefault="007B17E9" w:rsidP="009A16CD">
            <w:pPr>
              <w:pStyle w:val="Default"/>
              <w:tabs>
                <w:tab w:val="left" w:pos="4820"/>
              </w:tabs>
              <w:jc w:val="both"/>
              <w:rPr>
                <w:color w:val="00241A"/>
                <w:shd w:val="clear" w:color="auto" w:fill="F3F6F2"/>
              </w:rPr>
            </w:pPr>
            <w:r w:rsidRPr="007B17E9">
              <w:rPr>
                <w:color w:val="00241A"/>
                <w:shd w:val="clear" w:color="auto" w:fill="FFFFFF"/>
              </w:rPr>
              <w:t>TS skelbia: 1.3.5. Mokymams rengti Paslaugų teikėjas savarankiškai pasirūpina patalpomis su mokymams pritaikyta įranga. Pageidaujama, kad esant galimybei Paslaugos teikėjas mokymams rengti rinktųsi visuomenei atviras įstaigas. Ar TS gali būti nurodytas visų tokių vietų sąrašas 60 savivaldybių, kuriose yra salė ar kabinetas, pritaikytas darbui kompiuteriu 10-15 dalyvių?</w:t>
            </w:r>
          </w:p>
        </w:tc>
        <w:tc>
          <w:tcPr>
            <w:tcW w:w="3402" w:type="dxa"/>
          </w:tcPr>
          <w:p w14:paraId="742E5754" w14:textId="3AB7FCF6" w:rsidR="007B17E9" w:rsidRPr="007B17E9" w:rsidRDefault="002D2395" w:rsidP="009A16CD">
            <w:pPr>
              <w:pStyle w:val="Default"/>
              <w:tabs>
                <w:tab w:val="left" w:pos="4820"/>
              </w:tabs>
              <w:jc w:val="both"/>
              <w:rPr>
                <w:color w:val="000000" w:themeColor="text1"/>
              </w:rPr>
            </w:pPr>
            <w:r>
              <w:t>Paslaugų teikėjas savarankiškai pasirūpina patalpomis, tinkamomis mokymams rengti. Pageidautina, kad, esant galimybei, būtų pasirenkamos visuomenei atviros erdvės, tokios kaip viešieji interneto prieigos taškai ar suaugusiųjų švietimo įstaigos, nes jos dažnai yra patogiai pasiekiamos dalyviams, užtikrina tinkamas mokymosi sąlygas ir prisideda prie vietos bendruomenių aktyvumo skatinimo. Tačiau konkrečių vietų pasirinkimas paliekamas paslaugų teikėjo nuožiūrai, laikantis Techninės specifikacijos reikalavimų.</w:t>
            </w:r>
          </w:p>
        </w:tc>
      </w:tr>
      <w:tr w:rsidR="007B17E9" w:rsidRPr="007B17E9" w14:paraId="65AB2521" w14:textId="77777777" w:rsidTr="00CD4F06">
        <w:trPr>
          <w:trHeight w:val="1034"/>
        </w:trPr>
        <w:tc>
          <w:tcPr>
            <w:tcW w:w="1935" w:type="dxa"/>
          </w:tcPr>
          <w:p w14:paraId="61A5B5AF" w14:textId="5A2CC6A2" w:rsidR="007B17E9" w:rsidRPr="007B17E9" w:rsidRDefault="007B17E9" w:rsidP="009A16CD">
            <w:pPr>
              <w:pStyle w:val="Default"/>
              <w:tabs>
                <w:tab w:val="left" w:pos="4820"/>
              </w:tabs>
              <w:jc w:val="both"/>
              <w:rPr>
                <w:color w:val="000000" w:themeColor="text1"/>
              </w:rPr>
            </w:pPr>
            <w:r>
              <w:rPr>
                <w:color w:val="000000" w:themeColor="text1"/>
              </w:rPr>
              <w:t>SPS 1 Priedas „Techninė specifikacija“</w:t>
            </w:r>
          </w:p>
        </w:tc>
        <w:tc>
          <w:tcPr>
            <w:tcW w:w="4439" w:type="dxa"/>
          </w:tcPr>
          <w:p w14:paraId="40A33F38" w14:textId="5EB74677" w:rsidR="007B17E9" w:rsidRDefault="007B17E9" w:rsidP="009A16CD">
            <w:pPr>
              <w:pStyle w:val="Default"/>
              <w:tabs>
                <w:tab w:val="left" w:pos="4820"/>
              </w:tabs>
              <w:jc w:val="both"/>
              <w:rPr>
                <w:color w:val="00241A"/>
                <w:shd w:val="clear" w:color="auto" w:fill="FFFFFF"/>
              </w:rPr>
            </w:pPr>
            <w:r w:rsidRPr="00CD4F06">
              <w:rPr>
                <w:color w:val="00241A"/>
                <w:shd w:val="clear" w:color="auto" w:fill="FFFFFF"/>
              </w:rPr>
              <w:t xml:space="preserve">Paslaugų teikėjas turi vesti mokymo renginių ir jų dalyvių apskaitą. Kartu su ataskaitomis, Paslaugų teikėjas turi pateikti įvykusių mokymų renginių ir jų dalyvių </w:t>
            </w:r>
            <w:r w:rsidRPr="00CD4F06">
              <w:rPr>
                <w:color w:val="00241A"/>
                <w:shd w:val="clear" w:color="auto" w:fill="FFFFFF"/>
              </w:rPr>
              <w:lastRenderedPageBreak/>
              <w:t>pagrindinius statistinius duomenis, apibendrintus dalyvių atsiliepimus, testų rezultatus ir kitus su Perkančiąja organizacija suderintus stebėsenai reikalingus kokybinius bei kiekybinius duomenis.</w:t>
            </w:r>
          </w:p>
          <w:p w14:paraId="2D37F1DD" w14:textId="09A54E1C" w:rsidR="00CB66BB" w:rsidRPr="007B17E9" w:rsidRDefault="00CB66BB" w:rsidP="00CB66BB">
            <w:pPr>
              <w:pStyle w:val="Default"/>
              <w:tabs>
                <w:tab w:val="left" w:pos="4820"/>
              </w:tabs>
              <w:jc w:val="both"/>
              <w:rPr>
                <w:color w:val="00241A"/>
                <w:shd w:val="clear" w:color="auto" w:fill="FFFFFF"/>
              </w:rPr>
            </w:pPr>
            <w:r>
              <w:rPr>
                <w:color w:val="00241A"/>
                <w:shd w:val="clear" w:color="auto" w:fill="FFFFFF"/>
              </w:rPr>
              <w:t>P</w:t>
            </w:r>
            <w:r w:rsidRPr="00CB66BB">
              <w:rPr>
                <w:color w:val="00241A"/>
                <w:shd w:val="clear" w:color="auto" w:fill="FFFFFF"/>
              </w:rPr>
              <w:t>atikslinkite, kokius pagrindinius statistinius duomenis norite žinoti</w:t>
            </w:r>
            <w:r>
              <w:rPr>
                <w:color w:val="00241A"/>
                <w:shd w:val="clear" w:color="auto" w:fill="FFFFFF"/>
              </w:rPr>
              <w:t>.</w:t>
            </w:r>
          </w:p>
        </w:tc>
        <w:tc>
          <w:tcPr>
            <w:tcW w:w="3402" w:type="dxa"/>
          </w:tcPr>
          <w:p w14:paraId="5646655B" w14:textId="0ECB2C9A" w:rsidR="007B17E9" w:rsidRPr="00CD4F06" w:rsidRDefault="002D2395" w:rsidP="00561EDB">
            <w:pPr>
              <w:spacing w:before="100" w:beforeAutospacing="1" w:after="100" w:afterAutospacing="1"/>
              <w:jc w:val="both"/>
              <w:rPr>
                <w:color w:val="000000" w:themeColor="text1"/>
                <w:highlight w:val="yellow"/>
              </w:rPr>
            </w:pPr>
            <w:r w:rsidRPr="00CD4F06">
              <w:rPr>
                <w:rFonts w:ascii="Times New Roman" w:eastAsia="Times New Roman" w:hAnsi="Times New Roman" w:cs="Times New Roman"/>
                <w:sz w:val="24"/>
                <w:szCs w:val="24"/>
                <w:lang w:eastAsia="lt-LT"/>
              </w:rPr>
              <w:lastRenderedPageBreak/>
              <w:t xml:space="preserve">Paslaugų teikėjas </w:t>
            </w:r>
            <w:r w:rsidR="00A426C8">
              <w:rPr>
                <w:rFonts w:ascii="Times New Roman" w:eastAsia="Times New Roman" w:hAnsi="Times New Roman" w:cs="Times New Roman"/>
                <w:sz w:val="24"/>
                <w:szCs w:val="24"/>
                <w:lang w:eastAsia="lt-LT"/>
              </w:rPr>
              <w:t xml:space="preserve">kartu su ataskaitomis </w:t>
            </w:r>
            <w:r w:rsidR="00A426C8" w:rsidRPr="0044365A">
              <w:rPr>
                <w:rFonts w:ascii="Times New Roman" w:eastAsia="Times New Roman" w:hAnsi="Times New Roman" w:cs="Times New Roman"/>
                <w:sz w:val="24"/>
                <w:szCs w:val="24"/>
                <w:lang w:eastAsia="lt-LT"/>
              </w:rPr>
              <w:t xml:space="preserve">Perkančiajai organizacijai </w:t>
            </w:r>
            <w:r w:rsidR="00A426C8">
              <w:rPr>
                <w:rFonts w:ascii="Times New Roman" w:eastAsia="Times New Roman" w:hAnsi="Times New Roman" w:cs="Times New Roman"/>
                <w:sz w:val="24"/>
                <w:szCs w:val="24"/>
                <w:lang w:eastAsia="lt-LT"/>
              </w:rPr>
              <w:t>turi pa</w:t>
            </w:r>
            <w:r w:rsidRPr="00CD4F06">
              <w:rPr>
                <w:rFonts w:ascii="Times New Roman" w:eastAsia="Times New Roman" w:hAnsi="Times New Roman" w:cs="Times New Roman"/>
                <w:sz w:val="24"/>
                <w:szCs w:val="24"/>
                <w:lang w:eastAsia="lt-LT"/>
              </w:rPr>
              <w:t xml:space="preserve">teikti </w:t>
            </w:r>
            <w:r w:rsidR="00EA19AB" w:rsidRPr="00A426C8">
              <w:rPr>
                <w:rFonts w:ascii="Times New Roman" w:eastAsia="Times New Roman" w:hAnsi="Times New Roman" w:cs="Times New Roman"/>
                <w:sz w:val="24"/>
                <w:szCs w:val="24"/>
                <w:lang w:eastAsia="lt-LT"/>
              </w:rPr>
              <w:t xml:space="preserve">įvykusių renginių </w:t>
            </w:r>
            <w:r w:rsidR="00A426C8" w:rsidRPr="00A426C8">
              <w:rPr>
                <w:rFonts w:ascii="Times New Roman" w:eastAsia="Times New Roman" w:hAnsi="Times New Roman" w:cs="Times New Roman"/>
                <w:sz w:val="24"/>
                <w:szCs w:val="24"/>
                <w:lang w:eastAsia="lt-LT"/>
              </w:rPr>
              <w:t>bei</w:t>
            </w:r>
            <w:r w:rsidR="00EA19AB" w:rsidRPr="00A426C8">
              <w:rPr>
                <w:rFonts w:ascii="Times New Roman" w:eastAsia="Times New Roman" w:hAnsi="Times New Roman" w:cs="Times New Roman"/>
                <w:sz w:val="24"/>
                <w:szCs w:val="24"/>
                <w:lang w:eastAsia="lt-LT"/>
              </w:rPr>
              <w:t xml:space="preserve"> jų dalyvių </w:t>
            </w:r>
            <w:r w:rsidR="00EA19AB" w:rsidRPr="00A426C8">
              <w:rPr>
                <w:rFonts w:ascii="Times New Roman" w:eastAsia="Times New Roman" w:hAnsi="Times New Roman" w:cs="Times New Roman"/>
                <w:sz w:val="24"/>
                <w:szCs w:val="24"/>
                <w:lang w:eastAsia="lt-LT"/>
              </w:rPr>
              <w:lastRenderedPageBreak/>
              <w:t>pagrindinius statistinius duomenis</w:t>
            </w:r>
            <w:r w:rsidR="00EA19AB" w:rsidRPr="00CD4F06">
              <w:rPr>
                <w:rFonts w:ascii="Times New Roman" w:eastAsia="Times New Roman" w:hAnsi="Times New Roman" w:cs="Times New Roman"/>
                <w:sz w:val="24"/>
                <w:szCs w:val="24"/>
                <w:lang w:eastAsia="lt-LT"/>
              </w:rPr>
              <w:t xml:space="preserve">. Pateikiami </w:t>
            </w:r>
            <w:r w:rsidR="00A426C8">
              <w:rPr>
                <w:rFonts w:ascii="Times New Roman" w:eastAsia="Times New Roman" w:hAnsi="Times New Roman" w:cs="Times New Roman"/>
                <w:sz w:val="24"/>
                <w:szCs w:val="24"/>
                <w:lang w:eastAsia="lt-LT"/>
              </w:rPr>
              <w:t>apibendrinti statistiniai mokymo renginių duomenys (pavyzdžiui, statistika pagal savivaldybę, lektorių, vidutinis dalyvių skaičius</w:t>
            </w:r>
            <w:r w:rsidR="00933963">
              <w:rPr>
                <w:rFonts w:ascii="Times New Roman" w:eastAsia="Times New Roman" w:hAnsi="Times New Roman" w:cs="Times New Roman"/>
                <w:sz w:val="24"/>
                <w:szCs w:val="24"/>
                <w:lang w:eastAsia="lt-LT"/>
              </w:rPr>
              <w:t xml:space="preserve">) bei </w:t>
            </w:r>
            <w:r w:rsidR="00EA19AB" w:rsidRPr="00CD4F06">
              <w:rPr>
                <w:rFonts w:ascii="Times New Roman" w:eastAsia="Times New Roman" w:hAnsi="Times New Roman" w:cs="Times New Roman"/>
                <w:sz w:val="24"/>
                <w:szCs w:val="24"/>
                <w:lang w:eastAsia="lt-LT"/>
              </w:rPr>
              <w:t xml:space="preserve">apibendrinti dalyvių demografiniai </w:t>
            </w:r>
            <w:r w:rsidR="00933963">
              <w:rPr>
                <w:rFonts w:ascii="Times New Roman" w:eastAsia="Times New Roman" w:hAnsi="Times New Roman" w:cs="Times New Roman"/>
                <w:sz w:val="24"/>
                <w:szCs w:val="24"/>
                <w:lang w:eastAsia="lt-LT"/>
              </w:rPr>
              <w:t>duomenys (pavyzdžiui,</w:t>
            </w:r>
            <w:r w:rsidR="00EA19AB" w:rsidRPr="00CD4F06">
              <w:rPr>
                <w:rFonts w:ascii="Times New Roman" w:eastAsia="Times New Roman" w:hAnsi="Times New Roman" w:cs="Times New Roman"/>
                <w:sz w:val="24"/>
                <w:szCs w:val="24"/>
                <w:lang w:eastAsia="lt-LT"/>
              </w:rPr>
              <w:t xml:space="preserve"> </w:t>
            </w:r>
            <w:r w:rsidR="00725853" w:rsidRPr="00CD4F06">
              <w:rPr>
                <w:rFonts w:ascii="Times New Roman" w:eastAsia="Times New Roman" w:hAnsi="Times New Roman" w:cs="Times New Roman"/>
                <w:sz w:val="24"/>
                <w:szCs w:val="24"/>
                <w:lang w:eastAsia="lt-LT"/>
              </w:rPr>
              <w:t xml:space="preserve">amžiaus grupė, lytis, </w:t>
            </w:r>
            <w:r w:rsidR="00EA19AB" w:rsidRPr="00CD4F06">
              <w:rPr>
                <w:rFonts w:ascii="Times New Roman" w:eastAsia="Times New Roman" w:hAnsi="Times New Roman" w:cs="Times New Roman"/>
                <w:sz w:val="24"/>
                <w:szCs w:val="24"/>
                <w:lang w:eastAsia="lt-LT"/>
              </w:rPr>
              <w:t>savivaldybė, priklausomumas tikslinei grupei).</w:t>
            </w:r>
            <w:r w:rsidR="00933963">
              <w:rPr>
                <w:rFonts w:ascii="Times New Roman" w:eastAsia="Times New Roman" w:hAnsi="Times New Roman" w:cs="Times New Roman"/>
                <w:sz w:val="24"/>
                <w:szCs w:val="24"/>
                <w:lang w:eastAsia="lt-LT"/>
              </w:rPr>
              <w:t xml:space="preserve"> </w:t>
            </w:r>
          </w:p>
        </w:tc>
      </w:tr>
    </w:tbl>
    <w:p w14:paraId="74CC077C" w14:textId="1570D388" w:rsidR="00BC6124" w:rsidRPr="007B17E9" w:rsidRDefault="00BC6124" w:rsidP="007B17E9">
      <w:pPr>
        <w:pStyle w:val="Default"/>
        <w:tabs>
          <w:tab w:val="left" w:pos="4820"/>
        </w:tabs>
        <w:jc w:val="center"/>
        <w:rPr>
          <w:color w:val="000000" w:themeColor="text1"/>
        </w:rPr>
      </w:pPr>
    </w:p>
    <w:sectPr w:rsidR="00BC6124" w:rsidRPr="007B17E9" w:rsidSect="00FA2790">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DEA3" w14:textId="77777777" w:rsidR="00AB48B1" w:rsidRDefault="00AB48B1" w:rsidP="00BC6124">
      <w:pPr>
        <w:spacing w:after="0" w:line="240" w:lineRule="auto"/>
      </w:pPr>
      <w:r>
        <w:separator/>
      </w:r>
    </w:p>
  </w:endnote>
  <w:endnote w:type="continuationSeparator" w:id="0">
    <w:p w14:paraId="109BCEF1" w14:textId="77777777" w:rsidR="00AB48B1" w:rsidRDefault="00AB48B1" w:rsidP="00BC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D8EF" w14:textId="77777777" w:rsidR="00AB48B1" w:rsidRDefault="00AB48B1" w:rsidP="00BC6124">
      <w:pPr>
        <w:spacing w:after="0" w:line="240" w:lineRule="auto"/>
      </w:pPr>
      <w:r>
        <w:separator/>
      </w:r>
    </w:p>
  </w:footnote>
  <w:footnote w:type="continuationSeparator" w:id="0">
    <w:p w14:paraId="3908071E" w14:textId="77777777" w:rsidR="00AB48B1" w:rsidRDefault="00AB48B1" w:rsidP="00BC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253D3"/>
    <w:multiLevelType w:val="hybridMultilevel"/>
    <w:tmpl w:val="DA00B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98D81668"/>
    <w:multiLevelType w:val="multilevel"/>
    <w:tmpl w:val="78466470"/>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DD61C8"/>
    <w:multiLevelType w:val="hybridMultilevel"/>
    <w:tmpl w:val="F209ED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0B60CE4"/>
    <w:multiLevelType w:val="hybridMultilevel"/>
    <w:tmpl w:val="713C3D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432960"/>
    <w:multiLevelType w:val="hybridMultilevel"/>
    <w:tmpl w:val="F56F60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36C418"/>
    <w:multiLevelType w:val="hybridMultilevel"/>
    <w:tmpl w:val="EBDA6E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822E443"/>
    <w:multiLevelType w:val="multilevel"/>
    <w:tmpl w:val="B5EFB164"/>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C6349A"/>
    <w:multiLevelType w:val="hybridMultilevel"/>
    <w:tmpl w:val="55C8B7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0D8E345"/>
    <w:multiLevelType w:val="hybridMultilevel"/>
    <w:tmpl w:val="C88C64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1370522"/>
    <w:multiLevelType w:val="multilevel"/>
    <w:tmpl w:val="5EA2F84E"/>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8C6E9E5"/>
    <w:multiLevelType w:val="hybridMultilevel"/>
    <w:tmpl w:val="E1C389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EB2247E"/>
    <w:multiLevelType w:val="hybridMultilevel"/>
    <w:tmpl w:val="33A9BC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4288654"/>
    <w:multiLevelType w:val="hybridMultilevel"/>
    <w:tmpl w:val="6370BD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DC3829D"/>
    <w:multiLevelType w:val="hybridMultilevel"/>
    <w:tmpl w:val="E04AEC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46DCB44"/>
    <w:multiLevelType w:val="hybridMultilevel"/>
    <w:tmpl w:val="C060C8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632B82F"/>
    <w:multiLevelType w:val="hybridMultilevel"/>
    <w:tmpl w:val="E60472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168A040"/>
    <w:multiLevelType w:val="hybridMultilevel"/>
    <w:tmpl w:val="EC1372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9392115"/>
    <w:multiLevelType w:val="hybridMultilevel"/>
    <w:tmpl w:val="DFDF72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81F3A2"/>
    <w:multiLevelType w:val="hybridMultilevel"/>
    <w:tmpl w:val="C24A4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3DB46D2"/>
    <w:multiLevelType w:val="hybridMultilevel"/>
    <w:tmpl w:val="3D4559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DAEB504"/>
    <w:multiLevelType w:val="hybridMultilevel"/>
    <w:tmpl w:val="046C13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470D21"/>
    <w:multiLevelType w:val="hybridMultilevel"/>
    <w:tmpl w:val="ECBA2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7648D78"/>
    <w:multiLevelType w:val="hybridMultilevel"/>
    <w:tmpl w:val="3F62A1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A4107D"/>
    <w:multiLevelType w:val="hybridMultilevel"/>
    <w:tmpl w:val="60040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45BA0A"/>
    <w:multiLevelType w:val="multilevel"/>
    <w:tmpl w:val="808150C8"/>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905353"/>
    <w:multiLevelType w:val="hybridMultilevel"/>
    <w:tmpl w:val="75A3EC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7FF89C"/>
    <w:multiLevelType w:val="hybridMultilevel"/>
    <w:tmpl w:val="FED86A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E468B38"/>
    <w:multiLevelType w:val="hybridMultilevel"/>
    <w:tmpl w:val="18B960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F760F2B"/>
    <w:multiLevelType w:val="hybridMultilevel"/>
    <w:tmpl w:val="259AFBCA"/>
    <w:lvl w:ilvl="0" w:tplc="21EC9E5E">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30" w15:restartNumberingAfterBreak="0">
    <w:nsid w:val="31A87B2D"/>
    <w:multiLevelType w:val="hybridMultilevel"/>
    <w:tmpl w:val="CFBD1F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4678D9B"/>
    <w:multiLevelType w:val="hybridMultilevel"/>
    <w:tmpl w:val="15404F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604A1FA"/>
    <w:multiLevelType w:val="hybridMultilevel"/>
    <w:tmpl w:val="C09A34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9E1BACF"/>
    <w:multiLevelType w:val="hybridMultilevel"/>
    <w:tmpl w:val="D7C575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4C4C9D6"/>
    <w:multiLevelType w:val="hybridMultilevel"/>
    <w:tmpl w:val="7EBF31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024ABF"/>
    <w:multiLevelType w:val="hybridMultilevel"/>
    <w:tmpl w:val="DBCE40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C4B6BCD"/>
    <w:multiLevelType w:val="multilevel"/>
    <w:tmpl w:val="D70EF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133B4F"/>
    <w:multiLevelType w:val="hybridMultilevel"/>
    <w:tmpl w:val="A1999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64B0A9"/>
    <w:multiLevelType w:val="multilevel"/>
    <w:tmpl w:val="E0C2126B"/>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FF2F8F"/>
    <w:multiLevelType w:val="hybridMultilevel"/>
    <w:tmpl w:val="EC69CF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D4D31CB"/>
    <w:multiLevelType w:val="hybridMultilevel"/>
    <w:tmpl w:val="EA78D7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38E97BA"/>
    <w:multiLevelType w:val="hybridMultilevel"/>
    <w:tmpl w:val="53037A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39D1FC2"/>
    <w:multiLevelType w:val="hybridMultilevel"/>
    <w:tmpl w:val="9D6EF6BE"/>
    <w:lvl w:ilvl="0" w:tplc="1B2CCF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68247F"/>
    <w:multiLevelType w:val="hybridMultilevel"/>
    <w:tmpl w:val="CE7211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
  </w:num>
  <w:num w:numId="2">
    <w:abstractNumId w:val="6"/>
  </w:num>
  <w:num w:numId="3">
    <w:abstractNumId w:val="27"/>
  </w:num>
  <w:num w:numId="4">
    <w:abstractNumId w:val="12"/>
  </w:num>
  <w:num w:numId="5">
    <w:abstractNumId w:val="32"/>
  </w:num>
  <w:num w:numId="6">
    <w:abstractNumId w:val="18"/>
  </w:num>
  <w:num w:numId="7">
    <w:abstractNumId w:val="31"/>
  </w:num>
  <w:num w:numId="8">
    <w:abstractNumId w:val="20"/>
  </w:num>
  <w:num w:numId="9">
    <w:abstractNumId w:val="33"/>
  </w:num>
  <w:num w:numId="10">
    <w:abstractNumId w:val="4"/>
  </w:num>
  <w:num w:numId="11">
    <w:abstractNumId w:val="15"/>
  </w:num>
  <w:num w:numId="12">
    <w:abstractNumId w:val="28"/>
  </w:num>
  <w:num w:numId="13">
    <w:abstractNumId w:val="30"/>
  </w:num>
  <w:num w:numId="14">
    <w:abstractNumId w:val="23"/>
  </w:num>
  <w:num w:numId="15">
    <w:abstractNumId w:val="45"/>
  </w:num>
  <w:num w:numId="16">
    <w:abstractNumId w:val="44"/>
  </w:num>
  <w:num w:numId="17">
    <w:abstractNumId w:val="7"/>
  </w:num>
  <w:num w:numId="18">
    <w:abstractNumId w:val="10"/>
  </w:num>
  <w:num w:numId="19">
    <w:abstractNumId w:val="41"/>
  </w:num>
  <w:num w:numId="20">
    <w:abstractNumId w:val="14"/>
  </w:num>
  <w:num w:numId="21">
    <w:abstractNumId w:val="11"/>
  </w:num>
  <w:num w:numId="22">
    <w:abstractNumId w:val="40"/>
  </w:num>
  <w:num w:numId="23">
    <w:abstractNumId w:val="13"/>
  </w:num>
  <w:num w:numId="24">
    <w:abstractNumId w:val="2"/>
  </w:num>
  <w:num w:numId="25">
    <w:abstractNumId w:val="5"/>
  </w:num>
  <w:num w:numId="26">
    <w:abstractNumId w:val="16"/>
  </w:num>
  <w:num w:numId="27">
    <w:abstractNumId w:val="25"/>
  </w:num>
  <w:num w:numId="28">
    <w:abstractNumId w:val="3"/>
  </w:num>
  <w:num w:numId="29">
    <w:abstractNumId w:val="34"/>
  </w:num>
  <w:num w:numId="30">
    <w:abstractNumId w:val="38"/>
  </w:num>
  <w:num w:numId="31">
    <w:abstractNumId w:val="8"/>
  </w:num>
  <w:num w:numId="32">
    <w:abstractNumId w:val="9"/>
  </w:num>
  <w:num w:numId="33">
    <w:abstractNumId w:val="43"/>
  </w:num>
  <w:num w:numId="34">
    <w:abstractNumId w:val="19"/>
  </w:num>
  <w:num w:numId="35">
    <w:abstractNumId w:val="21"/>
  </w:num>
  <w:num w:numId="36">
    <w:abstractNumId w:val="48"/>
  </w:num>
  <w:num w:numId="37">
    <w:abstractNumId w:val="17"/>
  </w:num>
  <w:num w:numId="38">
    <w:abstractNumId w:val="26"/>
  </w:num>
  <w:num w:numId="39">
    <w:abstractNumId w:val="47"/>
  </w:num>
  <w:num w:numId="40">
    <w:abstractNumId w:val="46"/>
  </w:num>
  <w:num w:numId="41">
    <w:abstractNumId w:val="36"/>
  </w:num>
  <w:num w:numId="42">
    <w:abstractNumId w:val="0"/>
  </w:num>
  <w:num w:numId="43">
    <w:abstractNumId w:val="24"/>
  </w:num>
  <w:num w:numId="44">
    <w:abstractNumId w:val="22"/>
  </w:num>
  <w:num w:numId="45">
    <w:abstractNumId w:val="29"/>
  </w:num>
  <w:num w:numId="46">
    <w:abstractNumId w:val="37"/>
  </w:num>
  <w:num w:numId="47">
    <w:abstractNumId w:val="35"/>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12A54"/>
    <w:rsid w:val="00057243"/>
    <w:rsid w:val="00076F4D"/>
    <w:rsid w:val="000855C5"/>
    <w:rsid w:val="000D061B"/>
    <w:rsid w:val="000D1077"/>
    <w:rsid w:val="000D2303"/>
    <w:rsid w:val="00112F08"/>
    <w:rsid w:val="00122359"/>
    <w:rsid w:val="00124FAF"/>
    <w:rsid w:val="00135113"/>
    <w:rsid w:val="00136BA8"/>
    <w:rsid w:val="00137BBB"/>
    <w:rsid w:val="0018014F"/>
    <w:rsid w:val="00185D86"/>
    <w:rsid w:val="00192DE0"/>
    <w:rsid w:val="001B2F3F"/>
    <w:rsid w:val="001D77B2"/>
    <w:rsid w:val="001F2675"/>
    <w:rsid w:val="00204FD1"/>
    <w:rsid w:val="00207F28"/>
    <w:rsid w:val="002467D2"/>
    <w:rsid w:val="00251478"/>
    <w:rsid w:val="00252744"/>
    <w:rsid w:val="002874C3"/>
    <w:rsid w:val="002B700A"/>
    <w:rsid w:val="002C068B"/>
    <w:rsid w:val="002C3FA5"/>
    <w:rsid w:val="002D2395"/>
    <w:rsid w:val="002D6C4C"/>
    <w:rsid w:val="003010DD"/>
    <w:rsid w:val="00302B37"/>
    <w:rsid w:val="003038DD"/>
    <w:rsid w:val="00317462"/>
    <w:rsid w:val="003350C5"/>
    <w:rsid w:val="00342BBE"/>
    <w:rsid w:val="00355825"/>
    <w:rsid w:val="00362D4A"/>
    <w:rsid w:val="003D25B6"/>
    <w:rsid w:val="003D594F"/>
    <w:rsid w:val="003E06C7"/>
    <w:rsid w:val="003E7A5E"/>
    <w:rsid w:val="003F0660"/>
    <w:rsid w:val="0040293E"/>
    <w:rsid w:val="00446001"/>
    <w:rsid w:val="0045705C"/>
    <w:rsid w:val="00461CB0"/>
    <w:rsid w:val="00470EAB"/>
    <w:rsid w:val="004C290B"/>
    <w:rsid w:val="00503A4A"/>
    <w:rsid w:val="00516872"/>
    <w:rsid w:val="00517327"/>
    <w:rsid w:val="00520094"/>
    <w:rsid w:val="00520E5D"/>
    <w:rsid w:val="00532E2F"/>
    <w:rsid w:val="00545948"/>
    <w:rsid w:val="00553EF7"/>
    <w:rsid w:val="00561EDB"/>
    <w:rsid w:val="0058376F"/>
    <w:rsid w:val="005A028E"/>
    <w:rsid w:val="005C2859"/>
    <w:rsid w:val="005D3539"/>
    <w:rsid w:val="005D3C38"/>
    <w:rsid w:val="005E5D1B"/>
    <w:rsid w:val="006029C0"/>
    <w:rsid w:val="00615457"/>
    <w:rsid w:val="00616D72"/>
    <w:rsid w:val="00663D13"/>
    <w:rsid w:val="00680CE3"/>
    <w:rsid w:val="006853AB"/>
    <w:rsid w:val="0068541D"/>
    <w:rsid w:val="00695AF2"/>
    <w:rsid w:val="006C1691"/>
    <w:rsid w:val="00706B43"/>
    <w:rsid w:val="00725853"/>
    <w:rsid w:val="00743439"/>
    <w:rsid w:val="00743549"/>
    <w:rsid w:val="00755348"/>
    <w:rsid w:val="00766AED"/>
    <w:rsid w:val="007706E4"/>
    <w:rsid w:val="00773D8B"/>
    <w:rsid w:val="00796F2E"/>
    <w:rsid w:val="007B17E9"/>
    <w:rsid w:val="007C38FA"/>
    <w:rsid w:val="007C7E58"/>
    <w:rsid w:val="007D09D7"/>
    <w:rsid w:val="007D1B41"/>
    <w:rsid w:val="007D3312"/>
    <w:rsid w:val="007E3F39"/>
    <w:rsid w:val="00813A5C"/>
    <w:rsid w:val="00852E89"/>
    <w:rsid w:val="008B4FB9"/>
    <w:rsid w:val="008B6DBA"/>
    <w:rsid w:val="008B757C"/>
    <w:rsid w:val="00906587"/>
    <w:rsid w:val="00924F3A"/>
    <w:rsid w:val="00932051"/>
    <w:rsid w:val="00933963"/>
    <w:rsid w:val="00980EBA"/>
    <w:rsid w:val="00990F87"/>
    <w:rsid w:val="00997701"/>
    <w:rsid w:val="009A16CD"/>
    <w:rsid w:val="009C0D34"/>
    <w:rsid w:val="009C46AA"/>
    <w:rsid w:val="00A13007"/>
    <w:rsid w:val="00A17D86"/>
    <w:rsid w:val="00A3556A"/>
    <w:rsid w:val="00A35DC4"/>
    <w:rsid w:val="00A426C8"/>
    <w:rsid w:val="00A51D8F"/>
    <w:rsid w:val="00AB48B1"/>
    <w:rsid w:val="00AE3175"/>
    <w:rsid w:val="00AE5EAE"/>
    <w:rsid w:val="00AF53E4"/>
    <w:rsid w:val="00B10301"/>
    <w:rsid w:val="00B17CFD"/>
    <w:rsid w:val="00B2001D"/>
    <w:rsid w:val="00B22A2C"/>
    <w:rsid w:val="00B24CC6"/>
    <w:rsid w:val="00B31938"/>
    <w:rsid w:val="00B87AC5"/>
    <w:rsid w:val="00BB3C51"/>
    <w:rsid w:val="00BC6124"/>
    <w:rsid w:val="00BD03B0"/>
    <w:rsid w:val="00BD5B99"/>
    <w:rsid w:val="00C1138E"/>
    <w:rsid w:val="00C11D38"/>
    <w:rsid w:val="00C26B84"/>
    <w:rsid w:val="00C34DE5"/>
    <w:rsid w:val="00C376B2"/>
    <w:rsid w:val="00C450D6"/>
    <w:rsid w:val="00C52460"/>
    <w:rsid w:val="00C55CF9"/>
    <w:rsid w:val="00C56908"/>
    <w:rsid w:val="00C8246D"/>
    <w:rsid w:val="00CB66BB"/>
    <w:rsid w:val="00CC5422"/>
    <w:rsid w:val="00CD4F06"/>
    <w:rsid w:val="00CF7ED7"/>
    <w:rsid w:val="00D31ED6"/>
    <w:rsid w:val="00D33BF0"/>
    <w:rsid w:val="00D6755D"/>
    <w:rsid w:val="00D747D8"/>
    <w:rsid w:val="00DA6AA6"/>
    <w:rsid w:val="00DB4DED"/>
    <w:rsid w:val="00DC6FF8"/>
    <w:rsid w:val="00DF6BA1"/>
    <w:rsid w:val="00E04BA9"/>
    <w:rsid w:val="00E14BA6"/>
    <w:rsid w:val="00E34DD8"/>
    <w:rsid w:val="00E54614"/>
    <w:rsid w:val="00E57549"/>
    <w:rsid w:val="00EA19AB"/>
    <w:rsid w:val="00EB1498"/>
    <w:rsid w:val="00EB4860"/>
    <w:rsid w:val="00EC3BCE"/>
    <w:rsid w:val="00EC5B72"/>
    <w:rsid w:val="00EC5E47"/>
    <w:rsid w:val="00ED3A48"/>
    <w:rsid w:val="00F06F8B"/>
    <w:rsid w:val="00F206E6"/>
    <w:rsid w:val="00F21879"/>
    <w:rsid w:val="00F53225"/>
    <w:rsid w:val="00FA2790"/>
    <w:rsid w:val="00FA2F00"/>
    <w:rsid w:val="00FD3333"/>
    <w:rsid w:val="00FE3B5E"/>
    <w:rsid w:val="00FF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8971"/>
  <w15:chartTrackingRefBased/>
  <w15:docId w15:val="{A574D608-1218-4814-B943-912671ED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E57549"/>
    <w:pPr>
      <w:keepNext/>
      <w:spacing w:after="0" w:line="240" w:lineRule="auto"/>
      <w:ind w:firstLine="1247"/>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Antrat1Diagrama">
    <w:name w:val="Antraštė 1 Diagrama"/>
    <w:basedOn w:val="Numatytasispastraiposriftas"/>
    <w:link w:val="Antrat1"/>
    <w:rsid w:val="00E57549"/>
    <w:rPr>
      <w:rFonts w:ascii="Times New Roman" w:eastAsia="Times New Roman" w:hAnsi="Times New Roman" w:cs="Times New Roman"/>
      <w:sz w:val="24"/>
      <w:szCs w:val="20"/>
      <w:lang w:val="lt-LT"/>
    </w:rPr>
  </w:style>
  <w:style w:type="paragraph" w:styleId="Pataisymai">
    <w:name w:val="Revision"/>
    <w:hidden/>
    <w:uiPriority w:val="99"/>
    <w:semiHidden/>
    <w:rsid w:val="00D747D8"/>
    <w:pPr>
      <w:spacing w:after="0" w:line="240" w:lineRule="auto"/>
    </w:pPr>
    <w:rPr>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855C5"/>
    <w:pPr>
      <w:ind w:left="720"/>
      <w:contextualSpacing/>
    </w:pPr>
  </w:style>
  <w:style w:type="character" w:customStyle="1" w:styleId="wysiwyg-font-size-medium">
    <w:name w:val="wysiwyg-font-size-medium"/>
    <w:basedOn w:val="Numatytasispastraiposriftas"/>
    <w:rsid w:val="005D3C38"/>
  </w:style>
  <w:style w:type="character" w:customStyle="1" w:styleId="wysiwyg-color-black">
    <w:name w:val="wysiwyg-color-black"/>
    <w:basedOn w:val="Numatytasispastraiposriftas"/>
    <w:rsid w:val="005D3C3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C5B72"/>
    <w:rPr>
      <w:lang w:val="lt-LT"/>
    </w:rPr>
  </w:style>
  <w:style w:type="character" w:styleId="Komentaronuoroda">
    <w:name w:val="annotation reference"/>
    <w:basedOn w:val="Numatytasispastraiposriftas"/>
    <w:uiPriority w:val="99"/>
    <w:semiHidden/>
    <w:unhideWhenUsed/>
    <w:rsid w:val="003038DD"/>
    <w:rPr>
      <w:sz w:val="16"/>
      <w:szCs w:val="16"/>
    </w:rPr>
  </w:style>
  <w:style w:type="paragraph" w:styleId="Komentarotekstas">
    <w:name w:val="annotation text"/>
    <w:basedOn w:val="prastasis"/>
    <w:link w:val="KomentarotekstasDiagrama"/>
    <w:uiPriority w:val="99"/>
    <w:unhideWhenUsed/>
    <w:rsid w:val="003038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38DD"/>
    <w:rPr>
      <w:sz w:val="20"/>
      <w:szCs w:val="20"/>
      <w:lang w:val="lt-LT"/>
    </w:rPr>
  </w:style>
  <w:style w:type="paragraph" w:styleId="Komentarotema">
    <w:name w:val="annotation subject"/>
    <w:basedOn w:val="Komentarotekstas"/>
    <w:next w:val="Komentarotekstas"/>
    <w:link w:val="KomentarotemaDiagrama"/>
    <w:uiPriority w:val="99"/>
    <w:semiHidden/>
    <w:unhideWhenUsed/>
    <w:rsid w:val="003038DD"/>
    <w:rPr>
      <w:b/>
      <w:bCs/>
    </w:rPr>
  </w:style>
  <w:style w:type="character" w:customStyle="1" w:styleId="KomentarotemaDiagrama">
    <w:name w:val="Komentaro tema Diagrama"/>
    <w:basedOn w:val="KomentarotekstasDiagrama"/>
    <w:link w:val="Komentarotema"/>
    <w:uiPriority w:val="99"/>
    <w:semiHidden/>
    <w:rsid w:val="003038DD"/>
    <w:rPr>
      <w:b/>
      <w:bCs/>
      <w:sz w:val="20"/>
      <w:szCs w:val="20"/>
      <w:lang w:val="lt-LT"/>
    </w:rPr>
  </w:style>
  <w:style w:type="paragraph" w:styleId="prastasiniatinklio">
    <w:name w:val="Normal (Web)"/>
    <w:basedOn w:val="prastasis"/>
    <w:uiPriority w:val="99"/>
    <w:semiHidden/>
    <w:unhideWhenUsed/>
    <w:rsid w:val="00112F08"/>
    <w:rPr>
      <w:rFonts w:ascii="Times New Roman" w:hAnsi="Times New Roman" w:cs="Times New Roman"/>
      <w:sz w:val="24"/>
      <w:szCs w:val="24"/>
    </w:rPr>
  </w:style>
  <w:style w:type="paragraph" w:customStyle="1" w:styleId="S1lygis">
    <w:name w:val="_S 1 lygis"/>
    <w:basedOn w:val="prastasis"/>
    <w:rsid w:val="00532E2F"/>
    <w:pPr>
      <w:numPr>
        <w:numId w:val="4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32E2F"/>
    <w:pPr>
      <w:numPr>
        <w:ilvl w:val="1"/>
        <w:numId w:val="4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32E2F"/>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941">
      <w:bodyDiv w:val="1"/>
      <w:marLeft w:val="0"/>
      <w:marRight w:val="0"/>
      <w:marTop w:val="0"/>
      <w:marBottom w:val="0"/>
      <w:divBdr>
        <w:top w:val="none" w:sz="0" w:space="0" w:color="auto"/>
        <w:left w:val="none" w:sz="0" w:space="0" w:color="auto"/>
        <w:bottom w:val="none" w:sz="0" w:space="0" w:color="auto"/>
        <w:right w:val="none" w:sz="0" w:space="0" w:color="auto"/>
      </w:divBdr>
    </w:div>
    <w:div w:id="893545128">
      <w:bodyDiv w:val="1"/>
      <w:marLeft w:val="0"/>
      <w:marRight w:val="0"/>
      <w:marTop w:val="0"/>
      <w:marBottom w:val="0"/>
      <w:divBdr>
        <w:top w:val="none" w:sz="0" w:space="0" w:color="auto"/>
        <w:left w:val="none" w:sz="0" w:space="0" w:color="auto"/>
        <w:bottom w:val="none" w:sz="0" w:space="0" w:color="auto"/>
        <w:right w:val="none" w:sz="0" w:space="0" w:color="auto"/>
      </w:divBdr>
    </w:div>
    <w:div w:id="13877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0F104147-9018-4B26-856C-6A2362ED6479}">
  <ds:schemaRefs>
    <ds:schemaRef ds:uri="http://schemas.microsoft.com/sharepoint/v3/contenttype/forms"/>
  </ds:schemaRefs>
</ds:datastoreItem>
</file>

<file path=customXml/itemProps2.xml><?xml version="1.0" encoding="utf-8"?>
<ds:datastoreItem xmlns:ds="http://schemas.openxmlformats.org/officeDocument/2006/customXml" ds:itemID="{D3B3B717-C13E-4167-8DEB-6C79F988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1FEC208C-227C-47B9-BC25-53AA1B5C6580}">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3528</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Deftones</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2</cp:revision>
  <dcterms:created xsi:type="dcterms:W3CDTF">2025-03-04T16:18:00Z</dcterms:created>
  <dcterms:modified xsi:type="dcterms:W3CDTF">2025-03-04T16:18:00Z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