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00BA2937" w:rsidR="005A5832" w:rsidRDefault="00B96F55" w:rsidP="00651F35">
            <w:pPr>
              <w:jc w:val="center"/>
              <w:rPr>
                <w:kern w:val="2"/>
                <w:szCs w:val="24"/>
              </w:rPr>
            </w:pPr>
            <w:r>
              <w:rPr>
                <w:rFonts w:eastAsia="LiberationSerif-Bold"/>
                <w:bCs/>
                <w:sz w:val="22"/>
                <w:szCs w:val="22"/>
              </w:rPr>
              <w:t>Turniketo sistemos</w:t>
            </w:r>
            <w:r w:rsidR="00651F35">
              <w:rPr>
                <w:rFonts w:ascii="LiberationSerif-Bold" w:eastAsia="LiberationSerif-Bold" w:cs="LiberationSerif-Bold"/>
                <w:b/>
                <w:bCs/>
                <w:sz w:val="22"/>
                <w:szCs w:val="22"/>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8B2F09"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6C9C2B0A" w:rsidR="006506A5" w:rsidRDefault="006506A5" w:rsidP="006506A5">
            <w:pPr>
              <w:rPr>
                <w:color w:val="000000"/>
                <w:kern w:val="2"/>
                <w:szCs w:val="24"/>
              </w:rPr>
            </w:pPr>
            <w:r>
              <w:rPr>
                <w:kern w:val="2"/>
                <w:szCs w:val="24"/>
              </w:rPr>
              <w:t xml:space="preserve">Tiekėjas įsipareigoja Sutartyje numatytomis sąlygomis perduoti Pirkėjui </w:t>
            </w:r>
            <w:r w:rsidR="008B2F09">
              <w:rPr>
                <w:kern w:val="2"/>
                <w:szCs w:val="24"/>
              </w:rPr>
              <w:t>turniketo sistemas</w:t>
            </w:r>
            <w:bookmarkStart w:id="0" w:name="_GoBack"/>
            <w:bookmarkEnd w:id="0"/>
            <w:r>
              <w:rPr>
                <w:kern w:val="2"/>
                <w:szCs w:val="24"/>
              </w:rPr>
              <w:t xml:space="preserve"> 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289D8731" w:rsidR="006506A5" w:rsidRPr="00545877" w:rsidRDefault="006506A5" w:rsidP="00B96F55">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B96F55">
              <w:rPr>
                <w:kern w:val="2"/>
                <w:szCs w:val="24"/>
              </w:rPr>
              <w:t>3</w:t>
            </w:r>
            <w:r w:rsidRPr="006F64CE">
              <w:rPr>
                <w:kern w:val="2"/>
                <w:szCs w:val="24"/>
              </w:rPr>
              <w:t xml:space="preserve"> (</w:t>
            </w:r>
            <w:r w:rsidR="00B96F55">
              <w:rPr>
                <w:kern w:val="2"/>
                <w:szCs w:val="24"/>
              </w:rPr>
              <w:t>tris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7B11605B" w:rsidR="006506A5" w:rsidRDefault="006506A5" w:rsidP="007D64E1">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EF7D0E">
              <w:rPr>
                <w:kern w:val="2"/>
                <w:szCs w:val="24"/>
              </w:rPr>
              <w:t>36</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5962277B" w:rsidR="006506A5" w:rsidRPr="000A36D7" w:rsidRDefault="006506A5" w:rsidP="009D50DD">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9D50DD">
              <w:rPr>
                <w:color w:val="000000"/>
                <w:kern w:val="2"/>
                <w:szCs w:val="24"/>
              </w:rPr>
              <w:t>4</w:t>
            </w:r>
            <w:r>
              <w:rPr>
                <w:color w:val="000000"/>
                <w:kern w:val="2"/>
                <w:szCs w:val="24"/>
              </w:rPr>
              <w:t xml:space="preserve"> (</w:t>
            </w:r>
            <w:r w:rsidR="009D50DD">
              <w:rPr>
                <w:color w:val="000000"/>
                <w:kern w:val="2"/>
                <w:szCs w:val="24"/>
              </w:rPr>
              <w:t>keturi</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1A06A664" w:rsidR="001914BE" w:rsidRDefault="00B96F55" w:rsidP="006325A9">
      <w:pPr>
        <w:pStyle w:val="prastasis1"/>
        <w:widowControl w:val="0"/>
        <w:spacing w:before="240" w:after="240" w:line="240" w:lineRule="auto"/>
        <w:jc w:val="center"/>
        <w:rPr>
          <w:rFonts w:ascii="Times New Roman" w:hAnsi="Times New Roman"/>
          <w:b/>
          <w:bCs/>
          <w:sz w:val="24"/>
          <w:szCs w:val="24"/>
        </w:rPr>
      </w:pPr>
      <w:r>
        <w:rPr>
          <w:rFonts w:ascii="Times New Roman" w:hAnsi="Times New Roman"/>
          <w:b/>
          <w:bCs/>
          <w:sz w:val="24"/>
          <w:szCs w:val="24"/>
        </w:rPr>
        <w:t>TURNIKETO SISTEMOS</w:t>
      </w:r>
      <w:r w:rsidR="001914BE">
        <w:rPr>
          <w:rFonts w:ascii="Times New Roman" w:hAnsi="Times New Roman"/>
          <w:b/>
          <w:bCs/>
          <w:sz w:val="24"/>
          <w:szCs w:val="24"/>
        </w:rPr>
        <w:t xml:space="preserve"> 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6DDC3FD"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8B2F09">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2019D"/>
    <w:rsid w:val="00225723"/>
    <w:rsid w:val="002326E5"/>
    <w:rsid w:val="002C3357"/>
    <w:rsid w:val="002C380C"/>
    <w:rsid w:val="002C7BEC"/>
    <w:rsid w:val="002F2C70"/>
    <w:rsid w:val="0035549A"/>
    <w:rsid w:val="003D7861"/>
    <w:rsid w:val="003F198B"/>
    <w:rsid w:val="004316BA"/>
    <w:rsid w:val="004368F9"/>
    <w:rsid w:val="004434D0"/>
    <w:rsid w:val="0049040D"/>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804D51"/>
    <w:rsid w:val="0080748B"/>
    <w:rsid w:val="008074EF"/>
    <w:rsid w:val="00813CDC"/>
    <w:rsid w:val="00845C82"/>
    <w:rsid w:val="00886E4F"/>
    <w:rsid w:val="00890C97"/>
    <w:rsid w:val="008B2F09"/>
    <w:rsid w:val="008D4362"/>
    <w:rsid w:val="00914CC9"/>
    <w:rsid w:val="009264B3"/>
    <w:rsid w:val="00957DFE"/>
    <w:rsid w:val="009856E3"/>
    <w:rsid w:val="00987050"/>
    <w:rsid w:val="009D50DD"/>
    <w:rsid w:val="009E4C3B"/>
    <w:rsid w:val="00A10867"/>
    <w:rsid w:val="00A35759"/>
    <w:rsid w:val="00A8294B"/>
    <w:rsid w:val="00AA417F"/>
    <w:rsid w:val="00AC104A"/>
    <w:rsid w:val="00AC157E"/>
    <w:rsid w:val="00AD6074"/>
    <w:rsid w:val="00AE37C7"/>
    <w:rsid w:val="00B37D4F"/>
    <w:rsid w:val="00B42E67"/>
    <w:rsid w:val="00B50314"/>
    <w:rsid w:val="00B63F0F"/>
    <w:rsid w:val="00B76E8E"/>
    <w:rsid w:val="00B849C2"/>
    <w:rsid w:val="00B95014"/>
    <w:rsid w:val="00B96F55"/>
    <w:rsid w:val="00BD1194"/>
    <w:rsid w:val="00BF5DD7"/>
    <w:rsid w:val="00C2317F"/>
    <w:rsid w:val="00C34162"/>
    <w:rsid w:val="00C92DAE"/>
    <w:rsid w:val="00CD1E88"/>
    <w:rsid w:val="00CF0F82"/>
    <w:rsid w:val="00D04A96"/>
    <w:rsid w:val="00D24051"/>
    <w:rsid w:val="00D25945"/>
    <w:rsid w:val="00D82ECC"/>
    <w:rsid w:val="00D9605F"/>
    <w:rsid w:val="00DA1419"/>
    <w:rsid w:val="00DB5345"/>
    <w:rsid w:val="00E55600"/>
    <w:rsid w:val="00E62E44"/>
    <w:rsid w:val="00E65FB2"/>
    <w:rsid w:val="00E73DCB"/>
    <w:rsid w:val="00EA1B31"/>
    <w:rsid w:val="00EB52D2"/>
    <w:rsid w:val="00EF7D0E"/>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6255fc34-32b5-4914-9001-6e016d400544"/>
    <ds:schemaRef ds:uri="1c713a7c-8a7c-4327-be4a-3e364f1677f1"/>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purl.org/dc/dcmitype/"/>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F3C0A7-6ED6-429F-B0B6-3A9758BB1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9070</Words>
  <Characters>5170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5</cp:revision>
  <dcterms:created xsi:type="dcterms:W3CDTF">2025-02-14T11:38:00Z</dcterms:created>
  <dcterms:modified xsi:type="dcterms:W3CDTF">2025-02-25T06:04:00Z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