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9776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776"/>
      </w:tblGrid>
      <w:tr w:rsidR="00C17AF1" w:rsidRPr="004332EA" w14:paraId="6A5B3072" w14:textId="77777777" w:rsidTr="000B0BFC">
        <w:tc>
          <w:tcPr>
            <w:tcW w:w="9776" w:type="dxa"/>
            <w:shd w:val="clear" w:color="auto" w:fill="FFF2CC" w:themeFill="accent4" w:themeFillTint="33"/>
          </w:tcPr>
          <w:p w14:paraId="3599DA5F" w14:textId="77777777" w:rsidR="00253801" w:rsidRPr="004332EA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2EA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475E7F9F" w14:textId="77777777" w:rsidR="00C17AF1" w:rsidRPr="004332EA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770" w:type="dxa"/>
        <w:tblLook w:val="04A0" w:firstRow="1" w:lastRow="0" w:firstColumn="1" w:lastColumn="0" w:noHBand="0" w:noVBand="1"/>
      </w:tblPr>
      <w:tblGrid>
        <w:gridCol w:w="2122"/>
        <w:gridCol w:w="7648"/>
      </w:tblGrid>
      <w:tr w:rsidR="0009172A" w:rsidRPr="004332EA" w14:paraId="14CA3778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0F52DA6B" w14:textId="0C972416" w:rsidR="0009172A" w:rsidRPr="004332EA" w:rsidRDefault="008B10B6" w:rsidP="0009172A">
            <w:pPr>
              <w:rPr>
                <w:rFonts w:ascii="Times New Roman" w:hAnsi="Times New Roman" w:cs="Times New Roman"/>
              </w:rPr>
            </w:pPr>
            <w:r w:rsidRPr="004332EA">
              <w:rPr>
                <w:rFonts w:ascii="Times New Roman" w:hAnsi="Times New Roman" w:cs="Times New Roman"/>
              </w:rPr>
              <w:t>P</w:t>
            </w:r>
            <w:r w:rsidR="0009172A" w:rsidRPr="004332EA">
              <w:rPr>
                <w:rFonts w:ascii="Times New Roman" w:hAnsi="Times New Roman" w:cs="Times New Roman"/>
              </w:rPr>
              <w:t>avadinimas</w:t>
            </w:r>
          </w:p>
        </w:tc>
        <w:tc>
          <w:tcPr>
            <w:tcW w:w="7648" w:type="dxa"/>
          </w:tcPr>
          <w:p w14:paraId="789204AC" w14:textId="60C98471" w:rsidR="0009172A" w:rsidRPr="004332EA" w:rsidRDefault="00D92B7A" w:rsidP="0009172A">
            <w:pPr>
              <w:rPr>
                <w:rFonts w:ascii="Times New Roman" w:hAnsi="Times New Roman" w:cs="Times New Roman"/>
                <w:b/>
              </w:rPr>
            </w:pPr>
            <w:r w:rsidRPr="00D92B7A">
              <w:rPr>
                <w:rFonts w:ascii="Times New Roman" w:hAnsi="Times New Roman" w:cs="Times New Roman"/>
                <w:b/>
              </w:rPr>
              <w:t>Rinkos konsultacija dėl projekto techninės priežiūros paslaugų pirkimo (PPR-164)</w:t>
            </w:r>
          </w:p>
        </w:tc>
      </w:tr>
      <w:tr w:rsidR="0009172A" w:rsidRPr="004332EA" w14:paraId="4D386851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2CBEA92C" w14:textId="77777777" w:rsidR="0009172A" w:rsidRPr="004332EA" w:rsidRDefault="00F97F42" w:rsidP="0009172A">
            <w:pPr>
              <w:rPr>
                <w:rFonts w:ascii="Times New Roman" w:hAnsi="Times New Roman" w:cs="Times New Roman"/>
              </w:rPr>
            </w:pPr>
            <w:r w:rsidRPr="004332EA">
              <w:rPr>
                <w:rFonts w:ascii="Times New Roman" w:hAnsi="Times New Roman" w:cs="Times New Roman"/>
              </w:rPr>
              <w:t>CVP IS</w:t>
            </w:r>
            <w:r w:rsidR="00253801" w:rsidRPr="004332EA">
              <w:rPr>
                <w:rFonts w:ascii="Times New Roman" w:hAnsi="Times New Roman" w:cs="Times New Roman"/>
              </w:rPr>
              <w:t xml:space="preserve"> </w:t>
            </w:r>
            <w:r w:rsidR="0009172A" w:rsidRPr="004332EA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7648" w:type="dxa"/>
          </w:tcPr>
          <w:p w14:paraId="296CC7C4" w14:textId="3AF208E0" w:rsidR="0009172A" w:rsidRPr="004332EA" w:rsidRDefault="009B03D3" w:rsidP="0009172A">
            <w:pPr>
              <w:rPr>
                <w:rFonts w:ascii="Times New Roman" w:hAnsi="Times New Roman" w:cs="Times New Roman"/>
              </w:rPr>
            </w:pPr>
            <w:r w:rsidRPr="009B03D3">
              <w:rPr>
                <w:rFonts w:ascii="Times New Roman" w:hAnsi="Times New Roman" w:cs="Times New Roman"/>
              </w:rPr>
              <w:t>1400840</w:t>
            </w:r>
          </w:p>
        </w:tc>
      </w:tr>
      <w:tr w:rsidR="0009172A" w:rsidRPr="004332EA" w14:paraId="14357CCB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0806DB86" w14:textId="77777777" w:rsidR="0009172A" w:rsidRPr="004332EA" w:rsidRDefault="0009172A" w:rsidP="0009172A">
            <w:pPr>
              <w:rPr>
                <w:rFonts w:ascii="Times New Roman" w:hAnsi="Times New Roman" w:cs="Times New Roman"/>
              </w:rPr>
            </w:pPr>
            <w:r w:rsidRPr="004332EA">
              <w:rPr>
                <w:rFonts w:ascii="Times New Roman" w:hAnsi="Times New Roman" w:cs="Times New Roman"/>
              </w:rPr>
              <w:t>Adresatas</w:t>
            </w:r>
          </w:p>
        </w:tc>
        <w:tc>
          <w:tcPr>
            <w:tcW w:w="7648" w:type="dxa"/>
          </w:tcPr>
          <w:p w14:paraId="0A204CF8" w14:textId="77777777" w:rsidR="0009172A" w:rsidRPr="004332EA" w:rsidRDefault="0009172A" w:rsidP="0009172A">
            <w:pPr>
              <w:rPr>
                <w:rFonts w:ascii="Times New Roman" w:hAnsi="Times New Roman" w:cs="Times New Roman"/>
                <w:b/>
              </w:rPr>
            </w:pPr>
            <w:r w:rsidRPr="004332EA">
              <w:rPr>
                <w:rFonts w:ascii="Times New Roman" w:hAnsi="Times New Roman" w:cs="Times New Roman"/>
                <w:b/>
              </w:rPr>
              <w:t>Suinteresuoti tiekėjai</w:t>
            </w:r>
          </w:p>
        </w:tc>
      </w:tr>
      <w:tr w:rsidR="0009172A" w:rsidRPr="004332EA" w14:paraId="1B5A242C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63014226" w14:textId="77777777" w:rsidR="0009172A" w:rsidRPr="004332EA" w:rsidRDefault="0009172A" w:rsidP="0009172A">
            <w:pPr>
              <w:rPr>
                <w:rFonts w:ascii="Times New Roman" w:hAnsi="Times New Roman" w:cs="Times New Roman"/>
              </w:rPr>
            </w:pPr>
            <w:r w:rsidRPr="004332EA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7648" w:type="dxa"/>
          </w:tcPr>
          <w:p w14:paraId="425393CE" w14:textId="1EDCF339" w:rsidR="0009172A" w:rsidRPr="004332EA" w:rsidRDefault="004332EA" w:rsidP="0009172A">
            <w:pPr>
              <w:rPr>
                <w:rFonts w:ascii="Times New Roman" w:hAnsi="Times New Roman" w:cs="Times New Roman"/>
              </w:rPr>
            </w:pPr>
            <w:r w:rsidRPr="004332EA">
              <w:rPr>
                <w:rFonts w:ascii="Times New Roman" w:hAnsi="Times New Roman" w:cs="Times New Roman"/>
              </w:rPr>
              <w:t>202</w:t>
            </w:r>
            <w:r w:rsidR="00AD62B1">
              <w:rPr>
                <w:rFonts w:ascii="Times New Roman" w:hAnsi="Times New Roman" w:cs="Times New Roman"/>
              </w:rPr>
              <w:t>5</w:t>
            </w:r>
            <w:r w:rsidR="00905E60" w:rsidRPr="004332EA">
              <w:rPr>
                <w:rFonts w:ascii="Times New Roman" w:hAnsi="Times New Roman" w:cs="Times New Roman"/>
              </w:rPr>
              <w:t>-0</w:t>
            </w:r>
            <w:r w:rsidR="009B03D3">
              <w:rPr>
                <w:rFonts w:ascii="Times New Roman" w:hAnsi="Times New Roman" w:cs="Times New Roman"/>
              </w:rPr>
              <w:t>3</w:t>
            </w:r>
            <w:r w:rsidR="00F97F42" w:rsidRPr="004332EA">
              <w:rPr>
                <w:rFonts w:ascii="Times New Roman" w:hAnsi="Times New Roman" w:cs="Times New Roman"/>
              </w:rPr>
              <w:t>-</w:t>
            </w:r>
            <w:r w:rsidR="009B03D3">
              <w:rPr>
                <w:rFonts w:ascii="Times New Roman" w:hAnsi="Times New Roman" w:cs="Times New Roman"/>
              </w:rPr>
              <w:t>05</w:t>
            </w:r>
          </w:p>
        </w:tc>
      </w:tr>
    </w:tbl>
    <w:p w14:paraId="6C2A79C2" w14:textId="77777777" w:rsidR="0009172A" w:rsidRPr="004332EA" w:rsidRDefault="0009172A" w:rsidP="0009172A">
      <w:pPr>
        <w:jc w:val="center"/>
        <w:rPr>
          <w:rFonts w:ascii="Times New Roman" w:hAnsi="Times New Roman" w:cs="Times New Roman"/>
        </w:rPr>
      </w:pPr>
    </w:p>
    <w:p w14:paraId="348DF626" w14:textId="77777777" w:rsidR="00F97F42" w:rsidRPr="004332EA" w:rsidRDefault="00452009" w:rsidP="00F97F4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32EA">
        <w:rPr>
          <w:rFonts w:ascii="Times New Roman" w:eastAsia="Times New Roman" w:hAnsi="Times New Roman" w:cs="Times New Roman"/>
          <w:b/>
        </w:rPr>
        <w:t>DĖL ĮVYKUSIOS RINKOS KONSULTACIJOS</w:t>
      </w:r>
    </w:p>
    <w:p w14:paraId="4528CE38" w14:textId="77777777" w:rsidR="00F97F42" w:rsidRPr="004332EA" w:rsidRDefault="00F97F42" w:rsidP="00F97F42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</w:p>
    <w:p w14:paraId="497C1FF2" w14:textId="1F1C58EE" w:rsidR="00F97F42" w:rsidRPr="004332EA" w:rsidRDefault="00AA775B" w:rsidP="00147A1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A775B">
        <w:rPr>
          <w:rFonts w:ascii="Times New Roman" w:eastAsia="Times New Roman" w:hAnsi="Times New Roman" w:cs="Times New Roman"/>
        </w:rPr>
        <w:t>Teikiame rinkos konsultacijos metu pateiktus siūlymus bei atsakymus į juos</w:t>
      </w:r>
      <w:r w:rsidR="00F97F42" w:rsidRPr="004332EA">
        <w:rPr>
          <w:rFonts w:ascii="Times New Roman" w:eastAsia="Times New Roman" w:hAnsi="Times New Roman" w:cs="Times New Roman"/>
        </w:rPr>
        <w:t>:</w:t>
      </w:r>
    </w:p>
    <w:p w14:paraId="39E26C71" w14:textId="77777777" w:rsidR="00F97F42" w:rsidRPr="004332EA" w:rsidRDefault="00F97F42" w:rsidP="00F97F42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</w:p>
    <w:tbl>
      <w:tblPr>
        <w:tblStyle w:val="Lentelstinklelis1"/>
        <w:tblW w:w="9628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2120"/>
      </w:tblGrid>
      <w:tr w:rsidR="000B0BFC" w:rsidRPr="00F127F2" w14:paraId="40E28F4C" w14:textId="46DC3CD6" w:rsidTr="00FE1D6B">
        <w:trPr>
          <w:trHeight w:val="20"/>
        </w:trPr>
        <w:tc>
          <w:tcPr>
            <w:tcW w:w="704" w:type="dxa"/>
            <w:shd w:val="clear" w:color="auto" w:fill="F2F2F2" w:themeFill="background1" w:themeFillShade="F2"/>
          </w:tcPr>
          <w:p w14:paraId="6BE33A05" w14:textId="77777777" w:rsidR="00D62BC3" w:rsidRPr="00F127F2" w:rsidRDefault="00D62BC3" w:rsidP="00E1239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127F2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735D505" w14:textId="77777777" w:rsidR="00D62BC3" w:rsidRPr="00F127F2" w:rsidRDefault="00D62BC3" w:rsidP="00E1239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127F2">
              <w:rPr>
                <w:rFonts w:ascii="Times New Roman" w:hAnsi="Times New Roman"/>
                <w:b/>
              </w:rPr>
              <w:t>Klausimas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739D664" w14:textId="77777777" w:rsidR="00D62BC3" w:rsidRPr="00F127F2" w:rsidRDefault="00D62BC3" w:rsidP="00E1239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127F2">
              <w:rPr>
                <w:rFonts w:ascii="Times New Roman" w:hAnsi="Times New Roman"/>
                <w:b/>
              </w:rPr>
              <w:t>Tiekėjo atsakymas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0A16AA0B" w14:textId="30304C32" w:rsidR="00D62BC3" w:rsidRPr="00F127F2" w:rsidRDefault="000B0BFC" w:rsidP="00E12399">
            <w:pPr>
              <w:jc w:val="center"/>
              <w:rPr>
                <w:rFonts w:ascii="Times New Roman" w:hAnsi="Times New Roman"/>
                <w:b/>
              </w:rPr>
            </w:pPr>
            <w:r w:rsidRPr="000B0BFC">
              <w:rPr>
                <w:rFonts w:ascii="Times New Roman" w:hAnsi="Times New Roman"/>
                <w:b/>
              </w:rPr>
              <w:t>Atsakymai į tiekėjo pastabas</w:t>
            </w:r>
          </w:p>
        </w:tc>
      </w:tr>
      <w:tr w:rsidR="000B0BFC" w:rsidRPr="00F127F2" w14:paraId="36F5E3E5" w14:textId="63325806" w:rsidTr="00FE1D6B">
        <w:trPr>
          <w:trHeight w:val="20"/>
        </w:trPr>
        <w:tc>
          <w:tcPr>
            <w:tcW w:w="704" w:type="dxa"/>
            <w:vAlign w:val="center"/>
          </w:tcPr>
          <w:p w14:paraId="4EA02FB3" w14:textId="77777777" w:rsidR="00D62BC3" w:rsidRPr="00F127F2" w:rsidRDefault="00D62BC3" w:rsidP="00F127F2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i w:val="0"/>
              </w:rPr>
            </w:pPr>
          </w:p>
        </w:tc>
        <w:tc>
          <w:tcPr>
            <w:tcW w:w="1985" w:type="dxa"/>
          </w:tcPr>
          <w:p w14:paraId="7252BEBD" w14:textId="77777777" w:rsidR="00D62BC3" w:rsidRPr="00F127F2" w:rsidRDefault="00D62BC3" w:rsidP="00E12399">
            <w:pPr>
              <w:jc w:val="both"/>
              <w:rPr>
                <w:rFonts w:ascii="Times New Roman" w:hAnsi="Times New Roman"/>
                <w:i/>
              </w:rPr>
            </w:pPr>
            <w:r w:rsidRPr="00F127F2">
              <w:rPr>
                <w:rFonts w:ascii="Times New Roman" w:hAnsi="Times New Roman"/>
              </w:rPr>
              <w:t>Ar dalyvautumėte šiame pirkime? Jei ne, kodėl?</w:t>
            </w:r>
          </w:p>
        </w:tc>
        <w:tc>
          <w:tcPr>
            <w:tcW w:w="4819" w:type="dxa"/>
          </w:tcPr>
          <w:p w14:paraId="6B6C5B42" w14:textId="07FCEAC3" w:rsidR="00D62BC3" w:rsidRPr="008E207F" w:rsidRDefault="00D62BC3" w:rsidP="008E207F">
            <w:pPr>
              <w:jc w:val="center"/>
              <w:rPr>
                <w:rFonts w:ascii="Times New Roman" w:hAnsi="Times New Roman"/>
                <w:iCs/>
              </w:rPr>
            </w:pPr>
            <w:r w:rsidRPr="008E207F">
              <w:rPr>
                <w:rFonts w:ascii="Times New Roman" w:hAnsi="Times New Roman"/>
                <w:iCs/>
              </w:rPr>
              <w:t>Taip</w:t>
            </w:r>
          </w:p>
        </w:tc>
        <w:tc>
          <w:tcPr>
            <w:tcW w:w="2120" w:type="dxa"/>
          </w:tcPr>
          <w:p w14:paraId="1D67D578" w14:textId="7A4EB47F" w:rsidR="00D62BC3" w:rsidRPr="008E207F" w:rsidRDefault="00B33039" w:rsidP="008E207F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</w:tr>
      <w:tr w:rsidR="000B0BFC" w:rsidRPr="00F127F2" w14:paraId="2A0B650C" w14:textId="27AED7D2" w:rsidTr="00FE1D6B">
        <w:trPr>
          <w:trHeight w:val="20"/>
        </w:trPr>
        <w:tc>
          <w:tcPr>
            <w:tcW w:w="704" w:type="dxa"/>
            <w:vAlign w:val="center"/>
          </w:tcPr>
          <w:p w14:paraId="123497D8" w14:textId="77777777" w:rsidR="00D62BC3" w:rsidRPr="00F127F2" w:rsidRDefault="00D62BC3" w:rsidP="00F127F2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i w:val="0"/>
              </w:rPr>
            </w:pPr>
          </w:p>
        </w:tc>
        <w:tc>
          <w:tcPr>
            <w:tcW w:w="1985" w:type="dxa"/>
          </w:tcPr>
          <w:p w14:paraId="06B1F02C" w14:textId="77777777" w:rsidR="00D62BC3" w:rsidRPr="00F127F2" w:rsidRDefault="00D62BC3" w:rsidP="00E12399">
            <w:pPr>
              <w:jc w:val="both"/>
              <w:rPr>
                <w:rFonts w:ascii="Times New Roman" w:hAnsi="Times New Roman"/>
                <w:i/>
              </w:rPr>
            </w:pPr>
            <w:r w:rsidRPr="00F127F2">
              <w:rPr>
                <w:rFonts w:ascii="Times New Roman" w:hAnsi="Times New Roman"/>
              </w:rPr>
              <w:t xml:space="preserve">Ar turite pastabų, klausimų techninės specifikacijos projektui? </w:t>
            </w:r>
          </w:p>
          <w:p w14:paraId="73576C06" w14:textId="77777777" w:rsidR="00D62BC3" w:rsidRPr="00F127F2" w:rsidRDefault="00D62BC3" w:rsidP="00E12399">
            <w:pPr>
              <w:jc w:val="both"/>
              <w:rPr>
                <w:rFonts w:ascii="Times New Roman" w:hAnsi="Times New Roman"/>
                <w:i/>
              </w:rPr>
            </w:pPr>
            <w:r w:rsidRPr="00F127F2">
              <w:rPr>
                <w:rFonts w:ascii="Times New Roman" w:hAnsi="Times New Roman"/>
              </w:rPr>
              <w:t>Kokias sąlygas papildomai siūlytumėte įtraukti į techninę specifikaciją arba kurių reikėtų atsisakyti?</w:t>
            </w:r>
          </w:p>
        </w:tc>
        <w:tc>
          <w:tcPr>
            <w:tcW w:w="4819" w:type="dxa"/>
          </w:tcPr>
          <w:p w14:paraId="7BD80A2D" w14:textId="0CC6F91C" w:rsidR="00D62BC3" w:rsidRPr="008E207F" w:rsidRDefault="00D62BC3" w:rsidP="008E207F">
            <w:pPr>
              <w:jc w:val="center"/>
              <w:rPr>
                <w:rFonts w:ascii="Times New Roman" w:hAnsi="Times New Roman"/>
                <w:iCs/>
              </w:rPr>
            </w:pPr>
            <w:r w:rsidRPr="008E207F">
              <w:rPr>
                <w:rFonts w:ascii="Times New Roman" w:hAnsi="Times New Roman"/>
                <w:iCs/>
              </w:rPr>
              <w:t>Ne</w:t>
            </w:r>
          </w:p>
        </w:tc>
        <w:tc>
          <w:tcPr>
            <w:tcW w:w="2120" w:type="dxa"/>
          </w:tcPr>
          <w:p w14:paraId="799A5C0B" w14:textId="386F7867" w:rsidR="00D62BC3" w:rsidRPr="008E207F" w:rsidRDefault="00B33039" w:rsidP="008E207F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</w:tr>
      <w:tr w:rsidR="000B0BFC" w:rsidRPr="00F127F2" w14:paraId="2895A728" w14:textId="69B476C1" w:rsidTr="00FE1D6B">
        <w:trPr>
          <w:trHeight w:val="20"/>
        </w:trPr>
        <w:tc>
          <w:tcPr>
            <w:tcW w:w="704" w:type="dxa"/>
            <w:vAlign w:val="center"/>
          </w:tcPr>
          <w:p w14:paraId="12304B37" w14:textId="77777777" w:rsidR="00D62BC3" w:rsidRPr="00F127F2" w:rsidRDefault="00D62BC3" w:rsidP="00F127F2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i w:val="0"/>
              </w:rPr>
            </w:pPr>
          </w:p>
        </w:tc>
        <w:tc>
          <w:tcPr>
            <w:tcW w:w="1985" w:type="dxa"/>
          </w:tcPr>
          <w:p w14:paraId="61C225E4" w14:textId="77777777" w:rsidR="00D62BC3" w:rsidRPr="00F127F2" w:rsidRDefault="00D62BC3" w:rsidP="00E12399">
            <w:pPr>
              <w:jc w:val="both"/>
              <w:rPr>
                <w:rFonts w:ascii="Times New Roman" w:hAnsi="Times New Roman"/>
                <w:i/>
              </w:rPr>
            </w:pPr>
            <w:r w:rsidRPr="00F127F2">
              <w:rPr>
                <w:rFonts w:ascii="Times New Roman" w:hAnsi="Times New Roman"/>
              </w:rPr>
              <w:t>Ar Jūsų įmonė atitinka nustatytus kvalifikacijos reikalavimus? Kokių turite pasiūlymų dėl jų nustatymo ar keitimo?</w:t>
            </w:r>
          </w:p>
        </w:tc>
        <w:tc>
          <w:tcPr>
            <w:tcW w:w="4819" w:type="dxa"/>
          </w:tcPr>
          <w:p w14:paraId="7174EE04" w14:textId="1484599B" w:rsidR="00D62BC3" w:rsidRPr="000F4EA8" w:rsidRDefault="00D62BC3" w:rsidP="000F4EA8">
            <w:pPr>
              <w:jc w:val="both"/>
              <w:rPr>
                <w:rFonts w:ascii="Times New Roman" w:hAnsi="Times New Roman"/>
                <w:iCs/>
              </w:rPr>
            </w:pPr>
            <w:r w:rsidRPr="000F4EA8">
              <w:rPr>
                <w:rFonts w:ascii="Times New Roman" w:hAnsi="Times New Roman"/>
                <w:iCs/>
              </w:rPr>
              <w:t xml:space="preserve">Taip, </w:t>
            </w:r>
            <w:r>
              <w:rPr>
                <w:rFonts w:ascii="Times New Roman" w:hAnsi="Times New Roman"/>
                <w:iCs/>
              </w:rPr>
              <w:t>[...]</w:t>
            </w:r>
            <w:r w:rsidRPr="000F4EA8">
              <w:rPr>
                <w:rFonts w:ascii="Times New Roman" w:hAnsi="Times New Roman"/>
                <w:iCs/>
              </w:rPr>
              <w:t xml:space="preserve"> atitiktų nustatytus reikalavimus.</w:t>
            </w:r>
          </w:p>
          <w:p w14:paraId="2DDC0C5C" w14:textId="77777777" w:rsidR="00D62BC3" w:rsidRPr="000F4EA8" w:rsidRDefault="00D62BC3" w:rsidP="000F4EA8">
            <w:pPr>
              <w:jc w:val="both"/>
              <w:rPr>
                <w:rFonts w:ascii="Times New Roman" w:hAnsi="Times New Roman"/>
                <w:iCs/>
              </w:rPr>
            </w:pPr>
            <w:r w:rsidRPr="000F4EA8">
              <w:rPr>
                <w:rFonts w:ascii="Times New Roman" w:hAnsi="Times New Roman"/>
                <w:iCs/>
              </w:rPr>
              <w:t>Atsižvelgiant į pirkimo užduotį, darbų apimtį ir specifiką, reikalavimus rekomenduotume papildyti keliais svarbiais, veiklų įgyvendinimui, reikalingais specialistais:</w:t>
            </w:r>
          </w:p>
          <w:p w14:paraId="516C8C76" w14:textId="6DA76902" w:rsidR="00D62BC3" w:rsidRPr="000F4EA8" w:rsidRDefault="00D62BC3" w:rsidP="000F4EA8">
            <w:pPr>
              <w:jc w:val="both"/>
              <w:rPr>
                <w:rFonts w:ascii="Times New Roman" w:hAnsi="Times New Roman"/>
                <w:iCs/>
              </w:rPr>
            </w:pPr>
            <w:r w:rsidRPr="000F4EA8">
              <w:rPr>
                <w:rFonts w:ascii="Times New Roman" w:hAnsi="Times New Roman"/>
                <w:iCs/>
              </w:rPr>
              <w:t>1.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0F4EA8">
              <w:rPr>
                <w:rFonts w:ascii="Times New Roman" w:hAnsi="Times New Roman"/>
                <w:iCs/>
              </w:rPr>
              <w:t>Informacinių sistemų veiklos vertinimo specialistas – vykdant techninės priežiūros veiklas būtinas IS vertinimas – to reikalaujama ir pateiktoje užduotyje. Vertinimą atlieka ne tik užduotyje nurodyti specialistai, tačiau ir specialistai, turintys konkrečią specializaciją ir žinias. Žemiau pateikiame rekomenduojamus reikalavimus specialisto kvalifikacijai.</w:t>
            </w:r>
          </w:p>
          <w:p w14:paraId="14C20F24" w14:textId="77777777" w:rsidR="00D62BC3" w:rsidRDefault="00D62BC3" w:rsidP="000F4EA8">
            <w:pPr>
              <w:jc w:val="both"/>
              <w:rPr>
                <w:rFonts w:ascii="Times New Roman" w:hAnsi="Times New Roman"/>
                <w:iCs/>
              </w:rPr>
            </w:pPr>
            <w:r w:rsidRPr="000F4EA8">
              <w:rPr>
                <w:rFonts w:ascii="Times New Roman" w:hAnsi="Times New Roman"/>
                <w:iCs/>
              </w:rPr>
              <w:t>2.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0F4EA8">
              <w:rPr>
                <w:rFonts w:ascii="Times New Roman" w:hAnsi="Times New Roman"/>
                <w:iCs/>
              </w:rPr>
              <w:t>Duomenų architektas (duomenų analitikas). Atsižvelgiant į tai, kad bus modernizuojamos 3 sistemos, kurios bus integruojamos su VMI sistema, būtina modernizuojamas sistemas būtina vertinti duomenų architektūros aspektu. Atitinkamai rekomenduojame papildomą specialistą – duomenų architektą.</w:t>
            </w:r>
          </w:p>
          <w:p w14:paraId="66C62971" w14:textId="77777777" w:rsidR="00D62BC3" w:rsidRDefault="00D62BC3" w:rsidP="000F4EA8">
            <w:pPr>
              <w:jc w:val="both"/>
              <w:rPr>
                <w:rFonts w:ascii="Times New Roman" w:hAnsi="Times New Roman"/>
                <w:iCs/>
              </w:rPr>
            </w:pPr>
          </w:p>
          <w:p w14:paraId="341A6047" w14:textId="77777777" w:rsidR="00D62BC3" w:rsidRPr="00972ACF" w:rsidRDefault="00D62BC3" w:rsidP="00972ACF">
            <w:pPr>
              <w:pStyle w:val="Default"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Ekspertas Nr. XX (ne mažiau 1 (vienas) ekspertas) – Informacinių sistemų veiklos vertinimo specialistas privalo turėti: </w:t>
            </w:r>
          </w:p>
          <w:p w14:paraId="72EC5A68" w14:textId="131EEBE2" w:rsidR="00D62BC3" w:rsidRPr="00972ACF" w:rsidRDefault="001E75BF" w:rsidP="00972ACF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a) </w:t>
            </w:r>
            <w:r w:rsidR="00D62BC3"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per pastaruosius 5 (penkis) metus iki pasiūlymo pateikimo termino pabaigos vykdė informacinių sistemų veiklos vertinimo specialisto pareigas </w:t>
            </w:r>
            <w:r w:rsidR="00D62BC3"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lastRenderedPageBreak/>
              <w:t xml:space="preserve">vykdant bent 1 (vieną) informacinių sistemų/registrų kūrimo, diegimo ir/ar modernizavimo techninės priežiūros sutartį ir (arba) bent 1 (vieną) informacinių sistemų/registrų kūrimo, diegimo ir/ar modernizavimo sutartį; </w:t>
            </w:r>
          </w:p>
          <w:p w14:paraId="1294E1D9" w14:textId="55BECCCD" w:rsidR="00D62BC3" w:rsidRPr="00A96ECC" w:rsidRDefault="001E75BF" w:rsidP="00972ACF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b) </w:t>
            </w:r>
            <w:r w:rsidR="00D62BC3"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tarptautiniu mastu pripažįstamą informacinių sistemų veiklos vertinimo specialisto kvalifikaciją. </w:t>
            </w:r>
          </w:p>
          <w:p w14:paraId="74A906FD" w14:textId="77777777" w:rsidR="00D62BC3" w:rsidRPr="00972ACF" w:rsidRDefault="00D62BC3" w:rsidP="00972ACF">
            <w:pPr>
              <w:pStyle w:val="Default"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Pateikti kvalifikaciją patvirtinantį galiojantį sertifikatą arba lygiaverčius tarptautiniu mastu pripažįstamus, reikalaujamą kvalifikaciją patvirtinančius dokumentus (CGEIT (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Certification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|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Certified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in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Governance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of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Enterprise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IT), CASQ (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Certified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Associate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in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Software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Quality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) arba lygiavertis sertifikatas ar kitas lygiavertis dokumentas) arba kitą lygiavertį įrodymą. Mokymų kursų išklausymo pažymėjimai nevertinami. Pateikiamo „lygiaverčio“ dokumento lygiavertiškumą įrodyti turi tiekėjas. </w:t>
            </w:r>
          </w:p>
          <w:p w14:paraId="15D17A1A" w14:textId="77777777" w:rsidR="00A96ECC" w:rsidRDefault="00A96ECC" w:rsidP="00972ACF">
            <w:pPr>
              <w:pStyle w:val="Default"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137E0ADA" w14:textId="6338D1B2" w:rsidR="00D62BC3" w:rsidRPr="00972ACF" w:rsidRDefault="00D62BC3" w:rsidP="00972ACF">
            <w:pPr>
              <w:pStyle w:val="Default"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Ekspertas Nr. XX (ne mažiau 1 (vienas) ekspertas) – Duomenų architektas (duomenų analitikas) privalo turėti: </w:t>
            </w:r>
          </w:p>
          <w:p w14:paraId="6573193F" w14:textId="4C088273" w:rsidR="00D62BC3" w:rsidRPr="00972ACF" w:rsidRDefault="00305B67" w:rsidP="00972ACF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a) </w:t>
            </w:r>
            <w:r w:rsidR="00D62BC3"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per pastaruosius 5 (penkis) metus iki pasiūlymo pateikimo termino pabaigos vykdė duomenų architekto (duomenų analitiko) pareigas vykdant bent 1 (vieną) informacinių sistemų/registrų kūrimo, diegimo ir/ar modernizavimo techninės priežiūros sutartį ir (arba) bent 1 (vieną) informacinių sistemų/registrų kūrimo, diegimo ir/ar modernizavimo sutartį; </w:t>
            </w:r>
          </w:p>
          <w:p w14:paraId="0B2ABC10" w14:textId="6C271666" w:rsidR="00D62BC3" w:rsidRPr="00305B67" w:rsidRDefault="00305B67" w:rsidP="00972ACF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b) </w:t>
            </w:r>
            <w:r w:rsidR="00D62BC3" w:rsidRPr="00972A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tarptautiniu mastu pripažįstamą informacinių sistemų duomenų architekto (duomenų analitiko) kvalifikaciją. </w:t>
            </w:r>
          </w:p>
          <w:p w14:paraId="70347C68" w14:textId="208C172C" w:rsidR="00D62BC3" w:rsidRPr="000F4EA8" w:rsidRDefault="00D62BC3" w:rsidP="00972ACF">
            <w:pPr>
              <w:jc w:val="both"/>
              <w:rPr>
                <w:rFonts w:ascii="Times New Roman" w:hAnsi="Times New Roman"/>
                <w:iCs/>
              </w:rPr>
            </w:pPr>
            <w:r w:rsidRPr="00972ACF">
              <w:rPr>
                <w:rFonts w:asciiTheme="majorHAnsi" w:hAnsiTheme="majorHAnsi" w:cstheme="majorHAnsi"/>
                <w:i/>
                <w:iCs/>
              </w:rPr>
              <w:t>Pateikti kvalifikaciją patvirtinantį galiojantį sertifikatą arba lygiaverčius tarptautiniu mastu pripažįstamus, reikalaujamą kvalifikaciją patvirtinančius dokumentus (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</w:rPr>
              <w:t>Comp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</w:rPr>
              <w:t xml:space="preserve"> TIA Data+, CAP (angl. -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</w:rPr>
              <w:t>Certified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</w:rPr>
              <w:t xml:space="preserve"> Analytics Professional), DAMA (angl. - Data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</w:rPr>
              <w:t>Management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</w:rPr>
              <w:t>Association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</w:rPr>
              <w:t xml:space="preserve"> International), CDMP (angl. -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</w:rPr>
              <w:t>Certified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</w:rPr>
              <w:t xml:space="preserve"> Data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</w:rPr>
              <w:t>Management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</w:rPr>
              <w:t xml:space="preserve"> Professional), CIMP (angl. -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</w:rPr>
              <w:t>Certified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</w:rPr>
              <w:t>Information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972ACF">
              <w:rPr>
                <w:rFonts w:asciiTheme="majorHAnsi" w:hAnsiTheme="majorHAnsi" w:cstheme="majorHAnsi"/>
                <w:i/>
                <w:iCs/>
              </w:rPr>
              <w:t>Management</w:t>
            </w:r>
            <w:proofErr w:type="spellEnd"/>
            <w:r w:rsidRPr="00972ACF">
              <w:rPr>
                <w:rFonts w:asciiTheme="majorHAnsi" w:hAnsiTheme="majorHAnsi" w:cstheme="majorHAnsi"/>
                <w:i/>
                <w:iCs/>
              </w:rPr>
              <w:t xml:space="preserve"> Professional)) arba lygiavertis sertifikatas ar kitas lygiavertis dokumentas) arba kitą lygiavertį įrodymą. Mokymų kursų išklausymo pažymėjimai nevertinami. Pateikiamo „lygiaverčio“ dokumento lygiavertiškumą įrodyti turi tiekėjas.</w:t>
            </w:r>
            <w:r>
              <w:t xml:space="preserve"> </w:t>
            </w:r>
          </w:p>
        </w:tc>
        <w:tc>
          <w:tcPr>
            <w:tcW w:w="2120" w:type="dxa"/>
          </w:tcPr>
          <w:p w14:paraId="10DE8F54" w14:textId="3EBAC24F" w:rsidR="00396B5B" w:rsidRDefault="00396B5B" w:rsidP="00FE1D6B">
            <w:pPr>
              <w:jc w:val="both"/>
              <w:rPr>
                <w:rFonts w:ascii="Times New Roman" w:hAnsi="Times New Roman"/>
                <w:iCs/>
              </w:rPr>
            </w:pPr>
            <w:r w:rsidRPr="00396B5B">
              <w:rPr>
                <w:rFonts w:ascii="Times New Roman" w:hAnsi="Times New Roman"/>
                <w:iCs/>
              </w:rPr>
              <w:lastRenderedPageBreak/>
              <w:t>Perkančioji organizacija vadovaudamasi Lietuvos Respublikos viešųjų pirkimų įstatymo 47 straipsnio 1 dalimi ir Tiekėjo kvalifikacijos reikalavimų nustatymo metodika, patvirtinta Viešųjų pirkimų tarnybos direktoriaus 2017 m. birželio 29 d. įsakymu Nr. 1S-105, nustatė būtinus tiekėjų kvalifikacijos reikalavimus.</w:t>
            </w:r>
          </w:p>
          <w:p w14:paraId="66050889" w14:textId="43803631" w:rsidR="00B33039" w:rsidRPr="00B33039" w:rsidRDefault="0071283D" w:rsidP="00FE1D6B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Taigi p</w:t>
            </w:r>
            <w:r w:rsidR="00B33039" w:rsidRPr="00B33039">
              <w:rPr>
                <w:rFonts w:ascii="Times New Roman" w:hAnsi="Times New Roman"/>
                <w:iCs/>
              </w:rPr>
              <w:t xml:space="preserve">erkančioji organizacija įvertinusi perkamo objekto veiklų turinį ir pobūdį, įvertino poreikį įtraukti pagrindinius ir reikalingiausius </w:t>
            </w:r>
            <w:r w:rsidR="00B33039" w:rsidRPr="00B33039">
              <w:rPr>
                <w:rFonts w:ascii="Times New Roman" w:hAnsi="Times New Roman"/>
                <w:iCs/>
              </w:rPr>
              <w:lastRenderedPageBreak/>
              <w:t xml:space="preserve">specialistus/ekspertus, kurie perkančiosios organizacijos nuomone, įgyvendintų perkamo objekto veiklas ir nustatė jiems atitinkamus reikalavimus. </w:t>
            </w:r>
          </w:p>
          <w:p w14:paraId="4B3CB14A" w14:textId="74E53BE6" w:rsidR="00D62BC3" w:rsidRPr="000F4EA8" w:rsidRDefault="00D62BC3" w:rsidP="00FE1D6B">
            <w:pPr>
              <w:jc w:val="both"/>
              <w:rPr>
                <w:rFonts w:ascii="Times New Roman" w:hAnsi="Times New Roman"/>
                <w:iCs/>
              </w:rPr>
            </w:pPr>
          </w:p>
        </w:tc>
      </w:tr>
      <w:tr w:rsidR="000B0BFC" w:rsidRPr="00F127F2" w14:paraId="1D83FDE5" w14:textId="0B9ED389" w:rsidTr="00FE1D6B">
        <w:trPr>
          <w:trHeight w:val="20"/>
        </w:trPr>
        <w:tc>
          <w:tcPr>
            <w:tcW w:w="704" w:type="dxa"/>
            <w:vAlign w:val="center"/>
          </w:tcPr>
          <w:p w14:paraId="103A694C" w14:textId="77777777" w:rsidR="00D62BC3" w:rsidRPr="00F127F2" w:rsidRDefault="00D62BC3" w:rsidP="00F127F2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i w:val="0"/>
              </w:rPr>
            </w:pPr>
          </w:p>
        </w:tc>
        <w:tc>
          <w:tcPr>
            <w:tcW w:w="1985" w:type="dxa"/>
            <w:vAlign w:val="center"/>
          </w:tcPr>
          <w:p w14:paraId="2BE65231" w14:textId="77777777" w:rsidR="00D62BC3" w:rsidRPr="00F127F2" w:rsidRDefault="00D62BC3" w:rsidP="00E12399">
            <w:pPr>
              <w:jc w:val="both"/>
              <w:rPr>
                <w:rFonts w:ascii="Times New Roman" w:hAnsi="Times New Roman"/>
                <w:i/>
              </w:rPr>
            </w:pPr>
            <w:r w:rsidRPr="00F127F2">
              <w:rPr>
                <w:rFonts w:ascii="Times New Roman" w:hAnsi="Times New Roman"/>
              </w:rPr>
              <w:t>Ar turite kitų pastebėjimų ar pasiūlymų?</w:t>
            </w:r>
          </w:p>
        </w:tc>
        <w:tc>
          <w:tcPr>
            <w:tcW w:w="4819" w:type="dxa"/>
          </w:tcPr>
          <w:p w14:paraId="4783078B" w14:textId="77777777" w:rsidR="00D62BC3" w:rsidRPr="000907B3" w:rsidRDefault="00D62BC3" w:rsidP="000907B3">
            <w:pPr>
              <w:jc w:val="both"/>
              <w:rPr>
                <w:rFonts w:ascii="Times New Roman" w:hAnsi="Times New Roman"/>
                <w:iCs/>
              </w:rPr>
            </w:pPr>
            <w:r w:rsidRPr="000907B3">
              <w:rPr>
                <w:rFonts w:ascii="Times New Roman" w:hAnsi="Times New Roman"/>
                <w:iCs/>
              </w:rPr>
              <w:t>Atsižvelgiant į tai, kad yra perkamos intelektinės paslaugos, siūlytume pirkimą vykdyti tiekėjus vertinant ne mažiausios kainos, bet ekonominio naudingumo būdu.</w:t>
            </w:r>
          </w:p>
          <w:p w14:paraId="08C549F9" w14:textId="77777777" w:rsidR="00D62BC3" w:rsidRPr="000907B3" w:rsidRDefault="00D62BC3" w:rsidP="000907B3">
            <w:pPr>
              <w:jc w:val="both"/>
              <w:rPr>
                <w:rFonts w:ascii="Times New Roman" w:hAnsi="Times New Roman"/>
                <w:iCs/>
              </w:rPr>
            </w:pPr>
            <w:r w:rsidRPr="000907B3">
              <w:rPr>
                <w:rFonts w:ascii="Times New Roman" w:hAnsi="Times New Roman"/>
                <w:iCs/>
              </w:rPr>
              <w:t>Panašių paslaugų pirkimų pavyzdžiai, kuriuose naudojama ekonominio naudingumo vertinimo metodika, kuria siūlytume vadovautis siekiant įsigyti ne minimalios kokybės paslaugas.</w:t>
            </w:r>
          </w:p>
          <w:p w14:paraId="13B38D35" w14:textId="77777777" w:rsidR="00D62BC3" w:rsidRPr="000907B3" w:rsidRDefault="00D62BC3" w:rsidP="000907B3">
            <w:pPr>
              <w:jc w:val="both"/>
              <w:rPr>
                <w:rFonts w:ascii="Times New Roman" w:hAnsi="Times New Roman"/>
                <w:iCs/>
              </w:rPr>
            </w:pPr>
            <w:r w:rsidRPr="000907B3">
              <w:rPr>
                <w:rFonts w:ascii="Times New Roman" w:hAnsi="Times New Roman"/>
                <w:iCs/>
              </w:rPr>
              <w:lastRenderedPageBreak/>
              <w:t>Pvz.</w:t>
            </w:r>
          </w:p>
          <w:p w14:paraId="6A3CE31F" w14:textId="7EF44649" w:rsidR="00D62BC3" w:rsidRPr="000907B3" w:rsidRDefault="00D62BC3" w:rsidP="000907B3">
            <w:pPr>
              <w:jc w:val="both"/>
              <w:rPr>
                <w:rFonts w:ascii="Times New Roman" w:hAnsi="Times New Roman"/>
                <w:iCs/>
              </w:rPr>
            </w:pPr>
            <w:hyperlink r:id="rId7" w:history="1">
              <w:r w:rsidRPr="00CA118E">
                <w:rPr>
                  <w:rStyle w:val="Hipersaitas"/>
                  <w:rFonts w:ascii="Times New Roman" w:hAnsi="Times New Roman"/>
                  <w:iCs/>
                </w:rPr>
                <w:t>https://viesiejipirkimai.lt/epps/cft/listContractDocuments.do?resourceId=965154</w:t>
              </w:r>
            </w:hyperlink>
            <w:r>
              <w:rPr>
                <w:rFonts w:ascii="Times New Roman" w:hAnsi="Times New Roman"/>
                <w:iCs/>
              </w:rPr>
              <w:t xml:space="preserve"> </w:t>
            </w:r>
          </w:p>
          <w:p w14:paraId="48A47BD3" w14:textId="1B8BAB27" w:rsidR="00D62BC3" w:rsidRPr="000907B3" w:rsidRDefault="00D62BC3" w:rsidP="000907B3">
            <w:pPr>
              <w:jc w:val="both"/>
              <w:rPr>
                <w:rFonts w:ascii="Times New Roman" w:hAnsi="Times New Roman"/>
                <w:iCs/>
              </w:rPr>
            </w:pPr>
            <w:hyperlink r:id="rId8" w:history="1">
              <w:r w:rsidRPr="00CA118E">
                <w:rPr>
                  <w:rStyle w:val="Hipersaitas"/>
                  <w:rFonts w:ascii="Times New Roman" w:hAnsi="Times New Roman"/>
                  <w:iCs/>
                </w:rPr>
                <w:t>https://viesiejipirkimai.lt/epps/cft/listContractDocuments.do?resourceId=792956</w:t>
              </w:r>
            </w:hyperlink>
            <w:r>
              <w:rPr>
                <w:rFonts w:ascii="Times New Roman" w:hAnsi="Times New Roman"/>
                <w:iCs/>
              </w:rPr>
              <w:t xml:space="preserve"> </w:t>
            </w:r>
          </w:p>
          <w:p w14:paraId="3DEBE383" w14:textId="041BAF99" w:rsidR="00D62BC3" w:rsidRPr="00E52F5B" w:rsidRDefault="00D62BC3" w:rsidP="000907B3">
            <w:pPr>
              <w:jc w:val="both"/>
              <w:rPr>
                <w:rFonts w:ascii="Times New Roman" w:hAnsi="Times New Roman"/>
                <w:iCs/>
              </w:rPr>
            </w:pPr>
            <w:hyperlink r:id="rId9" w:history="1">
              <w:r w:rsidRPr="00CA118E">
                <w:rPr>
                  <w:rStyle w:val="Hipersaitas"/>
                  <w:rFonts w:ascii="Times New Roman" w:hAnsi="Times New Roman"/>
                  <w:iCs/>
                </w:rPr>
                <w:t>https://viesiejipirkimai.lt/epps/cft/prepareViewCfTWS.do?resourceId=1219415</w:t>
              </w:r>
            </w:hyperlink>
            <w:r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2120" w:type="dxa"/>
          </w:tcPr>
          <w:p w14:paraId="124D21CD" w14:textId="77777777" w:rsidR="00FE1D6B" w:rsidRPr="00FE1D6B" w:rsidRDefault="00FE1D6B" w:rsidP="00FE1D6B">
            <w:pPr>
              <w:jc w:val="both"/>
              <w:rPr>
                <w:rFonts w:ascii="Times New Roman" w:hAnsi="Times New Roman"/>
                <w:iCs/>
              </w:rPr>
            </w:pPr>
            <w:r w:rsidRPr="00FE1D6B">
              <w:rPr>
                <w:rFonts w:ascii="Times New Roman" w:hAnsi="Times New Roman"/>
                <w:iCs/>
              </w:rPr>
              <w:lastRenderedPageBreak/>
              <w:t xml:space="preserve">Lietuvos Respublikos viešųjų pirkimų įstatymo 55 straipsnio 1 dalyje yra nustatyti kriterijai, pagal kuriuos perkančioji organizacija išrenka </w:t>
            </w:r>
            <w:r w:rsidRPr="00FE1D6B">
              <w:rPr>
                <w:rFonts w:ascii="Times New Roman" w:hAnsi="Times New Roman"/>
                <w:iCs/>
              </w:rPr>
              <w:lastRenderedPageBreak/>
              <w:t xml:space="preserve">ekonomiškai naudingiausią pasiūlymą. </w:t>
            </w:r>
          </w:p>
          <w:p w14:paraId="341665A7" w14:textId="77777777" w:rsidR="00FE1D6B" w:rsidRPr="00FE1D6B" w:rsidRDefault="00FE1D6B" w:rsidP="00FE1D6B">
            <w:pPr>
              <w:jc w:val="both"/>
              <w:rPr>
                <w:rFonts w:ascii="Times New Roman" w:hAnsi="Times New Roman"/>
                <w:iCs/>
              </w:rPr>
            </w:pPr>
            <w:r w:rsidRPr="00FE1D6B">
              <w:rPr>
                <w:rFonts w:ascii="Times New Roman" w:hAnsi="Times New Roman"/>
                <w:iCs/>
              </w:rPr>
              <w:t>Kokį tinkamiausią pasiūlymų vertinimo kriterijų (kainos ar sąnaudų ir kokybės santykio, kainos arba sąnaudų) pasirinkti – kiekvienu atveju, prieš rengiant pirkimo dokumentus, sprendžia pati perkančioji organizacija.</w:t>
            </w:r>
          </w:p>
          <w:p w14:paraId="5A4689A3" w14:textId="13D0D889" w:rsidR="00FE1D6B" w:rsidRPr="00FE1D6B" w:rsidRDefault="00FE1D6B" w:rsidP="00FE1D6B">
            <w:pPr>
              <w:jc w:val="both"/>
              <w:rPr>
                <w:rFonts w:ascii="Times New Roman" w:hAnsi="Times New Roman"/>
                <w:iCs/>
              </w:rPr>
            </w:pPr>
            <w:r w:rsidRPr="00FE1D6B">
              <w:rPr>
                <w:rFonts w:ascii="Times New Roman" w:hAnsi="Times New Roman"/>
                <w:iCs/>
              </w:rPr>
              <w:t xml:space="preserve">Pažymėtina, kad pasirinkti pasiūlymų vertinimo kriterijai neturi perkančiajai organizacijai suteikti neribotos pasirinkimo laisvės ir turi užtikrinti veiksmingą tiekėjų konkurenciją. </w:t>
            </w:r>
          </w:p>
          <w:p w14:paraId="6725F487" w14:textId="01986170" w:rsidR="00D62BC3" w:rsidRPr="000907B3" w:rsidRDefault="00FE1D6B" w:rsidP="00FE1D6B">
            <w:pPr>
              <w:jc w:val="both"/>
              <w:rPr>
                <w:rFonts w:ascii="Times New Roman" w:hAnsi="Times New Roman"/>
                <w:iCs/>
              </w:rPr>
            </w:pPr>
            <w:r w:rsidRPr="00FE1D6B">
              <w:rPr>
                <w:rFonts w:ascii="Times New Roman" w:hAnsi="Times New Roman"/>
                <w:iCs/>
              </w:rPr>
              <w:t>Perkančioji organizacija įvertino perkamo objekto veiklas, turinį ir pobūdį ir šiam pirkimui pasirinko</w:t>
            </w:r>
            <w:r w:rsidR="00AB794E">
              <w:rPr>
                <w:rFonts w:ascii="Times New Roman" w:hAnsi="Times New Roman"/>
                <w:iCs/>
              </w:rPr>
              <w:t>, kad ekonomiškai naudingiausias pasiūlymas išrenkamas pagal kainą</w:t>
            </w:r>
            <w:r w:rsidRPr="00FE1D6B">
              <w:rPr>
                <w:rFonts w:ascii="Times New Roman" w:hAnsi="Times New Roman"/>
                <w:iCs/>
              </w:rPr>
              <w:t>.</w:t>
            </w:r>
          </w:p>
        </w:tc>
      </w:tr>
    </w:tbl>
    <w:p w14:paraId="0F657A63" w14:textId="77777777" w:rsidR="004332EA" w:rsidRPr="00B1690B" w:rsidRDefault="004332EA" w:rsidP="00F97F42">
      <w:pPr>
        <w:jc w:val="center"/>
        <w:rPr>
          <w:rFonts w:ascii="Times New Roman" w:hAnsi="Times New Roman" w:cs="Times New Roman"/>
          <w:b/>
          <w:iCs/>
        </w:rPr>
      </w:pPr>
    </w:p>
    <w:p w14:paraId="25F11836" w14:textId="77777777" w:rsidR="00F97F42" w:rsidRPr="004332EA" w:rsidRDefault="00F97F42" w:rsidP="00F97F42">
      <w:pPr>
        <w:jc w:val="center"/>
        <w:rPr>
          <w:rFonts w:ascii="Times New Roman" w:hAnsi="Times New Roman" w:cs="Times New Roman"/>
          <w:b/>
          <w:i/>
        </w:rPr>
      </w:pPr>
      <w:r w:rsidRPr="004332EA">
        <w:rPr>
          <w:rFonts w:ascii="Times New Roman" w:hAnsi="Times New Roman" w:cs="Times New Roman"/>
          <w:b/>
          <w:i/>
        </w:rPr>
        <w:t>_____________________________</w:t>
      </w:r>
    </w:p>
    <w:sectPr w:rsidR="00F97F42" w:rsidRPr="004332EA" w:rsidSect="000917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FB6F" w14:textId="77777777" w:rsidR="000858B9" w:rsidRDefault="000858B9" w:rsidP="00A64E9B">
      <w:pPr>
        <w:spacing w:after="0" w:line="240" w:lineRule="auto"/>
      </w:pPr>
      <w:r>
        <w:separator/>
      </w:r>
    </w:p>
  </w:endnote>
  <w:endnote w:type="continuationSeparator" w:id="0">
    <w:p w14:paraId="4FF60C8B" w14:textId="77777777" w:rsidR="000858B9" w:rsidRDefault="000858B9" w:rsidP="00A6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antramanav">
    <w:altName w:val="Yantramanav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99F5" w14:textId="77777777" w:rsidR="000858B9" w:rsidRDefault="000858B9" w:rsidP="00A64E9B">
      <w:pPr>
        <w:spacing w:after="0" w:line="240" w:lineRule="auto"/>
      </w:pPr>
      <w:r>
        <w:separator/>
      </w:r>
    </w:p>
  </w:footnote>
  <w:footnote w:type="continuationSeparator" w:id="0">
    <w:p w14:paraId="7430A249" w14:textId="77777777" w:rsidR="000858B9" w:rsidRDefault="000858B9" w:rsidP="00A6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9655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52F0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E7226B"/>
    <w:multiLevelType w:val="multilevel"/>
    <w:tmpl w:val="369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D146D"/>
    <w:multiLevelType w:val="hybridMultilevel"/>
    <w:tmpl w:val="EB967CE0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53199">
    <w:abstractNumId w:val="2"/>
  </w:num>
  <w:num w:numId="2" w16cid:durableId="1304122015">
    <w:abstractNumId w:val="3"/>
  </w:num>
  <w:num w:numId="3" w16cid:durableId="461969585">
    <w:abstractNumId w:val="4"/>
  </w:num>
  <w:num w:numId="4" w16cid:durableId="363558179">
    <w:abstractNumId w:val="0"/>
  </w:num>
  <w:num w:numId="5" w16cid:durableId="35331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44070"/>
    <w:rsid w:val="000858B9"/>
    <w:rsid w:val="000865A9"/>
    <w:rsid w:val="000907B3"/>
    <w:rsid w:val="0009172A"/>
    <w:rsid w:val="000B0BFC"/>
    <w:rsid w:val="000B475A"/>
    <w:rsid w:val="000F4EA8"/>
    <w:rsid w:val="00147A11"/>
    <w:rsid w:val="0017547B"/>
    <w:rsid w:val="001E75BF"/>
    <w:rsid w:val="001F7A90"/>
    <w:rsid w:val="00225679"/>
    <w:rsid w:val="00253801"/>
    <w:rsid w:val="00305B67"/>
    <w:rsid w:val="00325B63"/>
    <w:rsid w:val="0038121A"/>
    <w:rsid w:val="00396B5B"/>
    <w:rsid w:val="003A2AEB"/>
    <w:rsid w:val="003C3676"/>
    <w:rsid w:val="0042685E"/>
    <w:rsid w:val="004332EA"/>
    <w:rsid w:val="00452009"/>
    <w:rsid w:val="00467955"/>
    <w:rsid w:val="005465AC"/>
    <w:rsid w:val="0055236D"/>
    <w:rsid w:val="005F660A"/>
    <w:rsid w:val="005F7797"/>
    <w:rsid w:val="00646124"/>
    <w:rsid w:val="00662CF9"/>
    <w:rsid w:val="006862B7"/>
    <w:rsid w:val="006B742D"/>
    <w:rsid w:val="0071283D"/>
    <w:rsid w:val="00730AD2"/>
    <w:rsid w:val="00730C04"/>
    <w:rsid w:val="00735CE3"/>
    <w:rsid w:val="0077019A"/>
    <w:rsid w:val="007B1433"/>
    <w:rsid w:val="007B5C57"/>
    <w:rsid w:val="007B7533"/>
    <w:rsid w:val="007F0FAA"/>
    <w:rsid w:val="00816C2C"/>
    <w:rsid w:val="00851D94"/>
    <w:rsid w:val="0086104F"/>
    <w:rsid w:val="00863682"/>
    <w:rsid w:val="0089080E"/>
    <w:rsid w:val="008B10B6"/>
    <w:rsid w:val="008E207F"/>
    <w:rsid w:val="008F782D"/>
    <w:rsid w:val="00905E60"/>
    <w:rsid w:val="00922CC2"/>
    <w:rsid w:val="00971739"/>
    <w:rsid w:val="00972ACF"/>
    <w:rsid w:val="009869EA"/>
    <w:rsid w:val="009A6501"/>
    <w:rsid w:val="009B03D3"/>
    <w:rsid w:val="009D1DDF"/>
    <w:rsid w:val="00A0246F"/>
    <w:rsid w:val="00A64E9B"/>
    <w:rsid w:val="00A75986"/>
    <w:rsid w:val="00A96ECC"/>
    <w:rsid w:val="00AA775B"/>
    <w:rsid w:val="00AB794E"/>
    <w:rsid w:val="00AC7C41"/>
    <w:rsid w:val="00AD62B1"/>
    <w:rsid w:val="00B0260E"/>
    <w:rsid w:val="00B1428B"/>
    <w:rsid w:val="00B1690B"/>
    <w:rsid w:val="00B254E3"/>
    <w:rsid w:val="00B33039"/>
    <w:rsid w:val="00B91588"/>
    <w:rsid w:val="00BE520D"/>
    <w:rsid w:val="00C1267F"/>
    <w:rsid w:val="00C17AF1"/>
    <w:rsid w:val="00C47BD9"/>
    <w:rsid w:val="00CA1D78"/>
    <w:rsid w:val="00CB65E8"/>
    <w:rsid w:val="00CC160F"/>
    <w:rsid w:val="00D0009B"/>
    <w:rsid w:val="00D135FC"/>
    <w:rsid w:val="00D62BC3"/>
    <w:rsid w:val="00D92B7A"/>
    <w:rsid w:val="00DF5196"/>
    <w:rsid w:val="00E122C1"/>
    <w:rsid w:val="00E52F5B"/>
    <w:rsid w:val="00F127F2"/>
    <w:rsid w:val="00F202F2"/>
    <w:rsid w:val="00F30DE0"/>
    <w:rsid w:val="00F37A32"/>
    <w:rsid w:val="00F97F42"/>
    <w:rsid w:val="00FA0D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2238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99"/>
    <w:rsid w:val="00F97F42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A0D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0D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0D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D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DF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0DF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4E9B"/>
  </w:style>
  <w:style w:type="paragraph" w:styleId="Porat">
    <w:name w:val="footer"/>
    <w:basedOn w:val="prastasis"/>
    <w:link w:val="Porat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4E9B"/>
  </w:style>
  <w:style w:type="paragraph" w:styleId="Sraopastraipa">
    <w:name w:val="List Paragraph"/>
    <w:basedOn w:val="prastasis"/>
    <w:link w:val="SraopastraipaDiagrama"/>
    <w:uiPriority w:val="34"/>
    <w:qFormat/>
    <w:rsid w:val="004332EA"/>
    <w:pPr>
      <w:ind w:left="720"/>
      <w:contextualSpacing/>
    </w:pPr>
    <w:rPr>
      <w:i/>
    </w:rPr>
  </w:style>
  <w:style w:type="table" w:customStyle="1" w:styleId="Lentelstinklelis1">
    <w:name w:val="Lentelės tinklelis1"/>
    <w:basedOn w:val="prastojilentel"/>
    <w:next w:val="Lentelstinklelis"/>
    <w:uiPriority w:val="39"/>
    <w:rsid w:val="004332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4332EA"/>
    <w:rPr>
      <w:i/>
    </w:rPr>
  </w:style>
  <w:style w:type="paragraph" w:customStyle="1" w:styleId="Default">
    <w:name w:val="Default"/>
    <w:rsid w:val="00972ACF"/>
    <w:pPr>
      <w:autoSpaceDE w:val="0"/>
      <w:autoSpaceDN w:val="0"/>
      <w:adjustRightInd w:val="0"/>
      <w:spacing w:after="0" w:line="240" w:lineRule="auto"/>
    </w:pPr>
    <w:rPr>
      <w:rFonts w:ascii="Yantramanav" w:hAnsi="Yantramanav" w:cs="Yantramanav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0907B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07B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96B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cft/listContractDocuments.do?resourceId=7929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siejipirkimai.lt/epps/cft/listContractDocuments.do?resourceId=9651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esiejipirkimai.lt/epps/cft/prepareViewCfTWS.do?resourceId=121941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3911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Rasa Malijauskienė</cp:lastModifiedBy>
  <cp:revision>81</cp:revision>
  <dcterms:created xsi:type="dcterms:W3CDTF">2019-12-16T07:06:00Z</dcterms:created>
  <dcterms:modified xsi:type="dcterms:W3CDTF">2025-03-05T08:37:00Z</dcterms:modified>
</cp:coreProperties>
</file>