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00E00842"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w:t>
      </w:r>
      <w:r w:rsidR="008670B6">
        <w:rPr>
          <w:rFonts w:ascii="Verdana" w:hAnsi="Verdana"/>
          <w:color w:val="auto"/>
        </w:rPr>
        <w:t>5</w:t>
      </w:r>
      <w:r w:rsidR="00FF7A18">
        <w:rPr>
          <w:rFonts w:ascii="Verdana" w:hAnsi="Verdana"/>
          <w:color w:val="auto"/>
        </w:rPr>
        <w:t xml:space="preserve"> </w:t>
      </w:r>
      <w:r w:rsidRPr="008F1B9B">
        <w:rPr>
          <w:rFonts w:ascii="Verdana" w:hAnsi="Verdana"/>
          <w:color w:val="auto"/>
        </w:rPr>
        <w:t>d. posėdžio protokolu Nr. K-</w:t>
      </w:r>
      <w:r w:rsidR="008670B6">
        <w:rPr>
          <w:rFonts w:ascii="Verdana" w:hAnsi="Verdana"/>
          <w:color w:val="auto"/>
        </w:rPr>
        <w:t>117</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353FA452"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696CB6">
        <w:rPr>
          <w:rFonts w:ascii="Verdana" w:hAnsi="Verdana"/>
          <w:b/>
          <w:bCs/>
          <w:color w:val="000000"/>
        </w:rPr>
        <w:t>MOKOLŲ G. 47</w:t>
      </w:r>
      <w:r w:rsidR="0023489E">
        <w:rPr>
          <w:rFonts w:ascii="Verdana" w:hAnsi="Verdana"/>
          <w:b/>
          <w:bCs/>
          <w:color w:val="000000"/>
        </w:rPr>
        <w:t>,</w:t>
      </w:r>
      <w:r w:rsidRPr="008F1B9B">
        <w:rPr>
          <w:rFonts w:ascii="Verdana" w:hAnsi="Verdana"/>
          <w:b/>
          <w:bCs/>
          <w:color w:val="000000"/>
        </w:rPr>
        <w:t xml:space="preserve">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08DC1E01"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C85ABE">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5950864D"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1703E104"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7DCE6430"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78A74B38"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0F07C5D4"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11B42E83"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3936A2A4"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0C315997"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2849DECC"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5B9C73C2"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71B0CD40"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53E5E5BC"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6766F112"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573F5390"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38EFA8C1"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C85ABE">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38DB0D7B"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696CB6">
        <w:rPr>
          <w:rFonts w:ascii="Verdana" w:hAnsi="Verdana"/>
          <w:color w:val="000000"/>
        </w:rPr>
        <w:t>Mokolų g. 47</w:t>
      </w:r>
      <w:r w:rsidR="00D73965">
        <w:rPr>
          <w:rFonts w:ascii="Verdana" w:hAnsi="Verdana"/>
          <w:color w:val="000000"/>
        </w:rPr>
        <w:t xml:space="preserve">, </w:t>
      </w:r>
      <w:r w:rsidR="00371F1D" w:rsidRPr="008F1B9B">
        <w:rPr>
          <w:rFonts w:ascii="Verdana" w:hAnsi="Verdana"/>
          <w:color w:val="000000"/>
        </w:rPr>
        <w:t xml:space="preserve">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16FEF72E"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696CB6">
        <w:rPr>
          <w:rFonts w:ascii="Verdana" w:hAnsi="Verdana"/>
          <w:b/>
          <w:bCs/>
          <w:color w:val="000000"/>
        </w:rPr>
        <w:t>Mokolų g. 47</w:t>
      </w:r>
      <w:r w:rsidR="0023489E">
        <w:rPr>
          <w:rFonts w:ascii="Verdana" w:hAnsi="Verdana"/>
          <w:b/>
          <w:bCs/>
          <w:color w:val="000000"/>
        </w:rPr>
        <w:t>,</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123C9886"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696CB6">
        <w:rPr>
          <w:rFonts w:ascii="Verdana" w:hAnsi="Verdana" w:cs="Arial-BoldMT"/>
          <w:b/>
          <w:bCs/>
        </w:rPr>
        <w:t>MOKOLŲ G. 47</w:t>
      </w:r>
      <w:r w:rsidR="00790C1F">
        <w:rPr>
          <w:rFonts w:ascii="Verdana" w:hAnsi="Verdana" w:cs="Arial-BoldMT"/>
          <w:b/>
          <w:bCs/>
        </w:rPr>
        <w:t>, MARIJAMPOLĖJE STATYBOS PROJEKTAS</w:t>
      </w:r>
      <w:r w:rsidR="00277F56" w:rsidRPr="0042194A">
        <w:rPr>
          <w:rFonts w:ascii="Verdana" w:eastAsia="Times New Roman" w:hAnsi="Verdana"/>
        </w:rPr>
        <w:t xml:space="preserve">“ Nr. </w:t>
      </w:r>
      <w:r w:rsidR="00790C1F">
        <w:rPr>
          <w:rFonts w:ascii="Verdana" w:eastAsia="Times New Roman" w:hAnsi="Verdana"/>
        </w:rPr>
        <w:t>2022-</w:t>
      </w:r>
      <w:r w:rsidR="00696CB6">
        <w:rPr>
          <w:rFonts w:ascii="Verdana" w:eastAsia="Times New Roman" w:hAnsi="Verdana"/>
        </w:rPr>
        <w:t>2</w:t>
      </w:r>
      <w:r w:rsidR="00790C1F">
        <w:rPr>
          <w:rFonts w:ascii="Verdana" w:eastAsia="Times New Roman" w:hAnsi="Verdana"/>
        </w:rPr>
        <w:t>-SSPP</w:t>
      </w:r>
      <w:r w:rsidR="00277F56" w:rsidRPr="0042194A">
        <w:rPr>
          <w:rFonts w:ascii="Verdana" w:eastAsia="Times New Roman" w:hAnsi="Verdana"/>
        </w:rPr>
        <w:t xml:space="preserve"> (toliau – </w:t>
      </w:r>
      <w:r w:rsidR="00277F56" w:rsidRPr="0042194A">
        <w:rPr>
          <w:rFonts w:ascii="Verdana" w:eastAsia="Times New Roman" w:hAnsi="Verdana"/>
        </w:rPr>
        <w:lastRenderedPageBreak/>
        <w:t xml:space="preserve">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fizinis/-iai asmuo/-enys (kvazisubtiekėjai), pateikiamas/-i sutikimas/-ai ar kitas/-i dokumentas/-ai,</w:t>
            </w:r>
            <w:r w:rsidRPr="000D2653">
              <w:rPr>
                <w:rFonts w:ascii="Verdana" w:hAnsi="Verdana"/>
                <w:sz w:val="20"/>
                <w:szCs w:val="20"/>
              </w:rPr>
              <w:t xml:space="preserve"> </w:t>
            </w:r>
            <w:r w:rsidRPr="000D2653">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06AAB377"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261433" w:rsidRPr="003C7326">
              <w:rPr>
                <w:rFonts w:ascii="Verdana" w:eastAsia="Times New Roman" w:hAnsi="Verdana"/>
                <w:b/>
              </w:rPr>
              <w:t>6</w:t>
            </w:r>
            <w:r w:rsidR="00696CB6">
              <w:rPr>
                <w:rFonts w:ascii="Verdana" w:eastAsia="Times New Roman" w:hAnsi="Verdana"/>
                <w:b/>
              </w:rPr>
              <w:t>5</w:t>
            </w:r>
            <w:r w:rsidRPr="003C7326">
              <w:rPr>
                <w:rFonts w:ascii="Verdana" w:eastAsia="Times New Roman" w:hAnsi="Verdana"/>
                <w:b/>
              </w:rPr>
              <w:t> </w:t>
            </w:r>
            <w:r w:rsidR="00696CB6">
              <w:rPr>
                <w:rFonts w:ascii="Verdana" w:eastAsia="Times New Roman" w:hAnsi="Verdana"/>
                <w:b/>
              </w:rPr>
              <w:t>5</w:t>
            </w:r>
            <w:r w:rsidRPr="003C7326">
              <w:rPr>
                <w:rFonts w:ascii="Verdana" w:eastAsia="Times New Roman" w:hAnsi="Verdana"/>
                <w:b/>
              </w:rPr>
              <w:t>00,00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 xml:space="preserve">1)Jei tiekėjas teikia informaciją apie vykdomą (-as) sutartį (-is), laikoma, kad jo patirtis atitinka </w:t>
            </w:r>
            <w:r w:rsidRPr="009A2398">
              <w:rPr>
                <w:rFonts w:ascii="Verdana" w:eastAsia="Calibri" w:hAnsi="Verdana"/>
                <w:bCs/>
                <w:i/>
                <w:iCs/>
                <w:sz w:val="22"/>
                <w:szCs w:val="22"/>
              </w:rPr>
              <w:lastRenderedPageBreak/>
              <w:t>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pažymoje/-ose pateikta informacija turi sutapti su tiekėjo pateikta informacija apie įvykdytą/-as sutartį/-is.</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xml:space="preserve">. spalio 30 d. nutarimu Nr. 1079 „Dėl Dokumentų legalizavimo ir tvirtinimo pažyma (Apostille)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4485532A"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0D65EB">
        <w:rPr>
          <w:rFonts w:ascii="Verdana" w:hAnsi="Verdana"/>
          <w:b/>
          <w:sz w:val="24"/>
          <w:szCs w:val="24"/>
          <w:lang w:val="lt-LT"/>
        </w:rPr>
        <w:t>131 165,79</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0718E5BF" w14:textId="0C625A6B" w:rsidR="00D04BBB" w:rsidRPr="008670B6" w:rsidRDefault="00D314C7" w:rsidP="008670B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499880C6"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0D65EB">
        <w:rPr>
          <w:rFonts w:ascii="Verdana" w:hAnsi="Verdana"/>
          <w:b/>
        </w:rPr>
        <w:t>MOKOLŲ G. 47</w:t>
      </w:r>
      <w:r w:rsidR="0023489E">
        <w:rPr>
          <w:rFonts w:ascii="Verdana" w:hAnsi="Verdana"/>
          <w:b/>
        </w:rPr>
        <w:t>,</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49E18A08"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0D65EB">
              <w:rPr>
                <w:rFonts w:ascii="Verdana" w:hAnsi="Verdana"/>
                <w:bCs/>
                <w:color w:val="000000"/>
              </w:rPr>
              <w:t>Mokolų g. 47</w:t>
            </w:r>
            <w:r w:rsidR="0023489E">
              <w:rPr>
                <w:rFonts w:ascii="Verdana" w:hAnsi="Verdana"/>
                <w:bCs/>
                <w:color w:val="000000"/>
              </w:rPr>
              <w:t xml:space="preserve">, </w:t>
            </w:r>
            <w:r w:rsidRPr="00050904">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9A515B">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(-ių)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(-us)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r w:rsidRPr="008F1B9B">
              <w:rPr>
                <w:rFonts w:ascii="Verdana" w:hAnsi="Verdana"/>
                <w:b/>
                <w:bCs/>
              </w:rPr>
              <w:lastRenderedPageBreak/>
              <w:t>Kvazisubtiekėjas (-ai)</w:t>
            </w:r>
            <w:r w:rsidRPr="008F1B9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77777777"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As-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57E50DF3"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0D65EB">
        <w:rPr>
          <w:rFonts w:ascii="Verdana" w:hAnsi="Verdana"/>
          <w:b/>
          <w:bCs/>
          <w:color w:val="000000"/>
        </w:rPr>
        <w:t>Mokolų g. 47</w:t>
      </w:r>
      <w:r w:rsidR="0023489E">
        <w:rPr>
          <w:rFonts w:ascii="Verdana" w:hAnsi="Verdana"/>
          <w:b/>
          <w:bCs/>
          <w:color w:val="000000"/>
        </w:rPr>
        <w:t>,</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2B51949D"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0D65EB">
        <w:rPr>
          <w:rFonts w:ascii="Verdana" w:eastAsiaTheme="minorHAnsi" w:hAnsi="Verdana"/>
          <w:b/>
          <w:bCs/>
          <w:color w:val="auto"/>
        </w:rPr>
        <w:t>Mokolų g. 47</w:t>
      </w:r>
      <w:r w:rsidR="0023489E">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0D65EB">
        <w:rPr>
          <w:rFonts w:ascii="Verdana" w:hAnsi="Verdana" w:cs="Arial-BoldMT"/>
          <w:b/>
          <w:bCs/>
        </w:rPr>
        <w:t>MOKOLŲ G. 47</w:t>
      </w:r>
      <w:r w:rsidR="00790C1F">
        <w:rPr>
          <w:rFonts w:ascii="Verdana" w:hAnsi="Verdana" w:cs="Arial-BoldMT"/>
          <w:b/>
          <w:bCs/>
        </w:rPr>
        <w:t>, MARIJAMPOLĖJE STATYBOS PROJEKTAS</w:t>
      </w:r>
      <w:r w:rsidR="009517A9" w:rsidRPr="00B948C7">
        <w:rPr>
          <w:rFonts w:ascii="Verdana" w:eastAsia="Times New Roman" w:hAnsi="Verdana"/>
        </w:rPr>
        <w:t>“ Nr.</w:t>
      </w:r>
      <w:r w:rsidR="00790C1F">
        <w:rPr>
          <w:rFonts w:ascii="Verdana" w:eastAsia="Times New Roman" w:hAnsi="Verdana"/>
        </w:rPr>
        <w:t xml:space="preserve"> 2022-</w:t>
      </w:r>
      <w:r w:rsidR="000D65EB">
        <w:rPr>
          <w:rFonts w:ascii="Verdana" w:eastAsia="Times New Roman" w:hAnsi="Verdana"/>
        </w:rPr>
        <w:t>2</w:t>
      </w:r>
      <w:r w:rsidR="00790C1F">
        <w:rPr>
          <w:rFonts w:ascii="Verdana" w:eastAsia="Times New Roman" w:hAnsi="Verdana"/>
        </w:rPr>
        <w:t>-SSPP</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71889C33"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w:t>
      </w:r>
      <w:r w:rsidR="006E09A6">
        <w:rPr>
          <w:rFonts w:ascii="Verdana" w:eastAsia="Times New Roman" w:hAnsi="Verdana"/>
          <w:spacing w:val="2"/>
        </w:rPr>
        <w:t>1</w:t>
      </w:r>
      <w:r w:rsidR="005223E5" w:rsidRPr="0042194A">
        <w:rPr>
          <w:rFonts w:ascii="Verdana" w:eastAsia="Times New Roman" w:hAnsi="Verdana"/>
          <w:spacing w:val="2"/>
        </w:rPr>
        <w:t xml:space="preserve">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(techninis darbo projektas);</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6E09A6">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685336"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685337"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685338"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685339"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685340"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r w:rsidRPr="00E20018">
              <w:rPr>
                <w:rFonts w:ascii="Verdana" w:hAnsi="Verdana"/>
                <w:color w:val="auto"/>
                <w:sz w:val="24"/>
                <w:szCs w:val="24"/>
              </w:rPr>
              <w:t>Nėra PVM mokėtoja</w:t>
            </w:r>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Nerijus Mašalaitis</w:t>
            </w:r>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t.y.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6337E733"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A94FF4">
        <w:rPr>
          <w:rFonts w:ascii="Verdana" w:hAnsi="Verdana"/>
          <w:b/>
          <w:bCs/>
          <w:color w:val="000000"/>
        </w:rPr>
        <w:t>MOKOLŲ G. 47</w:t>
      </w:r>
      <w:r w:rsidR="00D73965">
        <w:rPr>
          <w:rFonts w:ascii="Verdana" w:hAnsi="Verdana"/>
          <w:b/>
          <w:bCs/>
          <w:color w:val="000000"/>
        </w:rPr>
        <w:t>,</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2E983C82"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A94FF4">
              <w:rPr>
                <w:rFonts w:ascii="Verdana" w:hAnsi="Verdana"/>
                <w:b/>
                <w:bCs/>
                <w:color w:val="000000"/>
                <w:sz w:val="20"/>
                <w:szCs w:val="20"/>
              </w:rPr>
              <w:t>Mokolų g. 47</w:t>
            </w:r>
            <w:r w:rsidR="00D73965">
              <w:rPr>
                <w:rFonts w:ascii="Verdana" w:hAnsi="Verdana"/>
                <w:b/>
                <w:bCs/>
                <w:color w:val="000000"/>
                <w:sz w:val="20"/>
                <w:szCs w:val="20"/>
              </w:rPr>
              <w:t>,</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9A515B">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9A515B">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9A515B">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9A515B">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9A515B">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9A515B">
            <w:pPr>
              <w:ind w:left="113" w:right="113"/>
              <w:rPr>
                <w:rFonts w:ascii="Verdana" w:eastAsia="Times New Roman" w:hAnsi="Verdana"/>
                <w:i/>
                <w:sz w:val="20"/>
                <w:szCs w:val="20"/>
              </w:rPr>
            </w:pPr>
          </w:p>
        </w:tc>
      </w:tr>
      <w:tr w:rsidR="00A94FF4" w:rsidRPr="008F1B9B" w14:paraId="0A20A415" w14:textId="77777777" w:rsidTr="009C4D17">
        <w:trPr>
          <w:cantSplit/>
          <w:trHeight w:val="193"/>
        </w:trPr>
        <w:tc>
          <w:tcPr>
            <w:tcW w:w="699" w:type="dxa"/>
            <w:vAlign w:val="center"/>
          </w:tcPr>
          <w:p w14:paraId="05585849" w14:textId="1101E831" w:rsidR="00A94FF4" w:rsidRPr="008F1B9B" w:rsidRDefault="00A94FF4" w:rsidP="009A515B">
            <w:pPr>
              <w:jc w:val="center"/>
              <w:rPr>
                <w:rFonts w:ascii="Verdana" w:hAnsi="Verdana"/>
                <w:bCs/>
                <w:color w:val="000000"/>
                <w:sz w:val="20"/>
                <w:szCs w:val="20"/>
              </w:rPr>
            </w:pPr>
            <w:r>
              <w:rPr>
                <w:rFonts w:ascii="Verdana" w:hAnsi="Verdana"/>
                <w:bCs/>
                <w:color w:val="000000"/>
                <w:sz w:val="20"/>
                <w:szCs w:val="20"/>
              </w:rPr>
              <w:t>1.3.</w:t>
            </w:r>
          </w:p>
        </w:tc>
        <w:tc>
          <w:tcPr>
            <w:tcW w:w="7510" w:type="dxa"/>
            <w:vAlign w:val="center"/>
          </w:tcPr>
          <w:p w14:paraId="293F9BFF" w14:textId="334D17B8" w:rsidR="00A94FF4" w:rsidRDefault="00A94FF4" w:rsidP="009A515B">
            <w:pPr>
              <w:rPr>
                <w:rFonts w:ascii="Verdana" w:hAnsi="Verdana"/>
                <w:sz w:val="20"/>
                <w:szCs w:val="20"/>
              </w:rPr>
            </w:pPr>
            <w:r>
              <w:rPr>
                <w:rFonts w:ascii="Verdana" w:hAnsi="Verdana"/>
                <w:sz w:val="20"/>
                <w:szCs w:val="20"/>
              </w:rPr>
              <w:t>Elektrotechninė dalis</w:t>
            </w:r>
          </w:p>
        </w:tc>
        <w:tc>
          <w:tcPr>
            <w:tcW w:w="1561" w:type="dxa"/>
            <w:vAlign w:val="center"/>
          </w:tcPr>
          <w:p w14:paraId="08505750" w14:textId="77777777" w:rsidR="00A94FF4" w:rsidRPr="008F1B9B" w:rsidRDefault="00A94FF4" w:rsidP="009A515B">
            <w:pPr>
              <w:jc w:val="center"/>
              <w:rPr>
                <w:rFonts w:ascii="Verdana" w:eastAsia="Times New Roman" w:hAnsi="Verdana"/>
                <w:sz w:val="20"/>
                <w:szCs w:val="20"/>
              </w:rPr>
            </w:pPr>
          </w:p>
        </w:tc>
        <w:tc>
          <w:tcPr>
            <w:tcW w:w="1560" w:type="dxa"/>
            <w:vAlign w:val="center"/>
          </w:tcPr>
          <w:p w14:paraId="0D324B18" w14:textId="77777777" w:rsidR="00A94FF4" w:rsidRPr="008F1B9B" w:rsidRDefault="00A94FF4" w:rsidP="009A515B">
            <w:pPr>
              <w:jc w:val="center"/>
              <w:rPr>
                <w:rFonts w:ascii="Verdana" w:eastAsia="Times New Roman" w:hAnsi="Verdana"/>
                <w:sz w:val="20"/>
                <w:szCs w:val="20"/>
              </w:rPr>
            </w:pPr>
          </w:p>
        </w:tc>
        <w:tc>
          <w:tcPr>
            <w:tcW w:w="1560" w:type="dxa"/>
            <w:vAlign w:val="center"/>
          </w:tcPr>
          <w:p w14:paraId="5D777F94" w14:textId="77777777" w:rsidR="00A94FF4" w:rsidRPr="008F1B9B" w:rsidRDefault="00A94FF4" w:rsidP="009A515B">
            <w:pPr>
              <w:jc w:val="center"/>
              <w:rPr>
                <w:rFonts w:ascii="Verdana" w:eastAsia="Times New Roman" w:hAnsi="Verdana"/>
                <w:sz w:val="20"/>
                <w:szCs w:val="20"/>
              </w:rPr>
            </w:pPr>
          </w:p>
        </w:tc>
        <w:tc>
          <w:tcPr>
            <w:tcW w:w="2126" w:type="dxa"/>
            <w:textDirection w:val="btLr"/>
            <w:vAlign w:val="center"/>
          </w:tcPr>
          <w:p w14:paraId="4C6642E2" w14:textId="77777777" w:rsidR="00A94FF4" w:rsidRPr="008F1B9B" w:rsidRDefault="00A94FF4" w:rsidP="009A515B">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9A515B">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9A515B">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9A515B">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9A515B">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9A515B">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9A515B">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9A515B">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4770CE17"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725F91">
        <w:rPr>
          <w:rFonts w:ascii="Verdana" w:hAnsi="Verdana"/>
          <w:b/>
          <w:bCs/>
          <w:color w:val="000000"/>
        </w:rPr>
        <w:t>MOKOLŲ G. 47</w:t>
      </w:r>
      <w:r w:rsidR="0023489E">
        <w:rPr>
          <w:rFonts w:ascii="Verdana" w:hAnsi="Verdana"/>
          <w:b/>
          <w:bCs/>
          <w:color w:val="000000"/>
        </w:rPr>
        <w:t>,</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17721CCD"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725F91">
        <w:rPr>
          <w:rFonts w:ascii="Verdana" w:hAnsi="Verdana"/>
          <w:b/>
          <w:bCs/>
          <w:color w:val="000000"/>
          <w:sz w:val="24"/>
          <w:szCs w:val="24"/>
        </w:rPr>
        <w:t>Mokolų g. 47</w:t>
      </w:r>
      <w:r w:rsidR="0023489E">
        <w:rPr>
          <w:rFonts w:ascii="Verdana" w:hAnsi="Verdana"/>
          <w:b/>
          <w:bCs/>
          <w:color w:val="000000"/>
          <w:sz w:val="24"/>
          <w:szCs w:val="24"/>
        </w:rPr>
        <w:t>,</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724FF88C" w:rsidR="004D3CF0" w:rsidRPr="00A926B5" w:rsidRDefault="005E1103" w:rsidP="009A515B">
      <w:pPr>
        <w:suppressAutoHyphens/>
        <w:autoSpaceDN w:val="0"/>
        <w:jc w:val="both"/>
        <w:rPr>
          <w:rFonts w:ascii="Verdana" w:hAnsi="Verdana"/>
        </w:rPr>
      </w:pPr>
      <w:r>
        <w:rPr>
          <w:rFonts w:ascii="Verdana" w:hAnsi="Verdana"/>
        </w:rPr>
        <w:t xml:space="preserve">Ramūno Tolvaišos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sidR="00725F91">
        <w:rPr>
          <w:rFonts w:ascii="Verdana" w:hAnsi="Verdana"/>
          <w:b/>
          <w:bCs/>
          <w:i/>
          <w:iCs/>
        </w:rPr>
        <w:t>MOKOLŲ G. 47</w:t>
      </w:r>
      <w:r w:rsidR="00790C1F">
        <w:rPr>
          <w:rFonts w:ascii="Verdana" w:hAnsi="Verdana"/>
          <w:b/>
          <w:bCs/>
          <w:i/>
          <w:iCs/>
        </w:rPr>
        <w:t>,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5254F9">
        <w:rPr>
          <w:rFonts w:ascii="Verdana" w:hAnsi="Verdana"/>
          <w:shd w:val="clear" w:color="auto" w:fill="FFFFFF"/>
        </w:rPr>
        <w:t>2022-</w:t>
      </w:r>
      <w:r w:rsidR="00725F91">
        <w:rPr>
          <w:rFonts w:ascii="Verdana" w:hAnsi="Verdana"/>
          <w:shd w:val="clear" w:color="auto" w:fill="FFFFFF"/>
        </w:rPr>
        <w:t>2</w:t>
      </w:r>
      <w:r w:rsidR="005254F9">
        <w:rPr>
          <w:rFonts w:ascii="Verdana" w:hAnsi="Verdana"/>
          <w:shd w:val="clear" w:color="auto" w:fill="FFFFFF"/>
        </w:rPr>
        <w:t>-SSPP</w:t>
      </w:r>
      <w:r w:rsidR="00A926B5" w:rsidRPr="00A926B5">
        <w:rPr>
          <w:rFonts w:ascii="Verdana" w:hAnsi="Verdana"/>
          <w:shd w:val="clear" w:color="auto" w:fill="FFFFFF"/>
        </w:rPr>
        <w:t xml:space="preserve"> – </w:t>
      </w:r>
      <w:r w:rsidR="00A926B5" w:rsidRPr="00A926B5">
        <w:rPr>
          <w:rFonts w:ascii="Verdana" w:hAnsi="Verdana"/>
        </w:rPr>
        <w:t>Bendroji dalis</w:t>
      </w:r>
      <w:r w:rsidR="005254F9">
        <w:rPr>
          <w:rFonts w:ascii="Verdana" w:hAnsi="Verdana"/>
        </w:rPr>
        <w:t xml:space="preserve">, sklypo plano dalis </w:t>
      </w:r>
      <w:r w:rsidR="00A926B5" w:rsidRPr="00A926B5">
        <w:rPr>
          <w:rFonts w:ascii="Verdana" w:hAnsi="Verdana"/>
        </w:rPr>
        <w:t>(BD</w:t>
      </w:r>
      <w:r w:rsidR="005254F9">
        <w:rPr>
          <w:rFonts w:ascii="Verdana" w:hAnsi="Verdana"/>
        </w:rPr>
        <w:t>, SP-01</w:t>
      </w:r>
      <w:r w:rsidR="00A926B5" w:rsidRPr="00A926B5">
        <w:rPr>
          <w:rFonts w:ascii="Verdana" w:hAnsi="Verdana"/>
        </w:rPr>
        <w:t>) (1 pdf. faila</w:t>
      </w:r>
      <w:r w:rsidR="00725F91">
        <w:rPr>
          <w:rFonts w:ascii="Verdana" w:hAnsi="Verdana"/>
        </w:rPr>
        <w:t>s</w:t>
      </w:r>
      <w:r w:rsidR="00A926B5" w:rsidRPr="00A926B5">
        <w:rPr>
          <w:rFonts w:ascii="Verdana" w:hAnsi="Verdana"/>
        </w:rPr>
        <w:t xml:space="preserve">); </w:t>
      </w:r>
      <w:r w:rsidR="005254F9">
        <w:rPr>
          <w:rFonts w:ascii="Verdana" w:hAnsi="Verdana"/>
        </w:rPr>
        <w:t xml:space="preserve">Lietaus nuotekų dalis (LN-02) </w:t>
      </w:r>
      <w:r w:rsidR="00A926B5" w:rsidRPr="00A926B5">
        <w:rPr>
          <w:rFonts w:ascii="Verdana" w:hAnsi="Verdana"/>
        </w:rPr>
        <w:t>(1 pdf. faila</w:t>
      </w:r>
      <w:r w:rsidR="00725F91">
        <w:rPr>
          <w:rFonts w:ascii="Verdana" w:hAnsi="Verdana"/>
        </w:rPr>
        <w:t>s</w:t>
      </w:r>
      <w:r w:rsidR="00A926B5" w:rsidRPr="00A926B5">
        <w:rPr>
          <w:rFonts w:ascii="Verdana" w:hAnsi="Verdana"/>
        </w:rPr>
        <w:t>)</w:t>
      </w:r>
      <w:r w:rsidR="00725F91">
        <w:rPr>
          <w:rFonts w:ascii="Verdana" w:hAnsi="Verdana"/>
        </w:rPr>
        <w:t>; Elektrotechninė dalis (TP-2022-22-LE) (1 pdf failas).</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1ABF" w14:textId="77777777" w:rsidR="00150558" w:rsidRDefault="00150558">
      <w:r>
        <w:separator/>
      </w:r>
    </w:p>
  </w:endnote>
  <w:endnote w:type="continuationSeparator" w:id="0">
    <w:p w14:paraId="17988467" w14:textId="77777777" w:rsidR="00150558" w:rsidRDefault="0015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0D35" w14:textId="77777777" w:rsidR="00150558" w:rsidRDefault="00150558">
      <w:r>
        <w:separator/>
      </w:r>
    </w:p>
  </w:footnote>
  <w:footnote w:type="continuationSeparator" w:id="0">
    <w:p w14:paraId="7714C1E1" w14:textId="77777777" w:rsidR="00150558" w:rsidRDefault="0015055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5EB"/>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0558"/>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4D71"/>
    <w:rsid w:val="00184F6F"/>
    <w:rsid w:val="001854A1"/>
    <w:rsid w:val="00187291"/>
    <w:rsid w:val="00191A81"/>
    <w:rsid w:val="00192D7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50FC"/>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B75D3"/>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0BF"/>
    <w:rsid w:val="0063373E"/>
    <w:rsid w:val="00633DE8"/>
    <w:rsid w:val="00634382"/>
    <w:rsid w:val="00634870"/>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6CB6"/>
    <w:rsid w:val="0069799A"/>
    <w:rsid w:val="006A0589"/>
    <w:rsid w:val="006A5939"/>
    <w:rsid w:val="006A6741"/>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25F91"/>
    <w:rsid w:val="00730E6B"/>
    <w:rsid w:val="00731412"/>
    <w:rsid w:val="00731780"/>
    <w:rsid w:val="00734598"/>
    <w:rsid w:val="00747EB1"/>
    <w:rsid w:val="00750507"/>
    <w:rsid w:val="00750751"/>
    <w:rsid w:val="00752729"/>
    <w:rsid w:val="0075423F"/>
    <w:rsid w:val="00756B60"/>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070F6"/>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66961"/>
    <w:rsid w:val="008670B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17CE3"/>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86FE3"/>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94FF4"/>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ABE"/>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01"/>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76</Pages>
  <Words>123844</Words>
  <Characters>70592</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153</cp:revision>
  <cp:lastPrinted>2023-02-10T11:24:00Z</cp:lastPrinted>
  <dcterms:created xsi:type="dcterms:W3CDTF">2024-07-04T08:30:00Z</dcterms:created>
  <dcterms:modified xsi:type="dcterms:W3CDTF">2025-03-05T11:09:00Z</dcterms:modified>
</cp:coreProperties>
</file>