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4" w:type="dxa"/>
        <w:tblLayout w:type="fixed"/>
        <w:tblLook w:val="04A0" w:firstRow="1" w:lastRow="0" w:firstColumn="1" w:lastColumn="0" w:noHBand="0" w:noVBand="1"/>
      </w:tblPr>
      <w:tblGrid>
        <w:gridCol w:w="9654"/>
      </w:tblGrid>
      <w:tr w:rsidR="00375776" w:rsidRPr="00375776" w14:paraId="593D71EB" w14:textId="77777777" w:rsidTr="00375776">
        <w:trPr>
          <w:trHeight w:val="824"/>
        </w:trPr>
        <w:tc>
          <w:tcPr>
            <w:tcW w:w="9654" w:type="dxa"/>
          </w:tcPr>
          <w:p w14:paraId="4D01CDB5" w14:textId="77777777" w:rsidR="00375776" w:rsidRPr="00375776" w:rsidRDefault="00375776" w:rsidP="00375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375776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lt-LT"/>
              </w:rPr>
              <w:drawing>
                <wp:inline distT="0" distB="0" distL="0" distR="0" wp14:anchorId="63359C06" wp14:editId="1AAF78E9">
                  <wp:extent cx="476250" cy="523875"/>
                  <wp:effectExtent l="0" t="0" r="0" b="9525"/>
                  <wp:docPr id="2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776" w:rsidRPr="00375776" w14:paraId="5B9C0533" w14:textId="77777777" w:rsidTr="00375776">
        <w:trPr>
          <w:trHeight w:val="289"/>
        </w:trPr>
        <w:tc>
          <w:tcPr>
            <w:tcW w:w="9654" w:type="dxa"/>
          </w:tcPr>
          <w:p w14:paraId="2548240E" w14:textId="77777777" w:rsidR="00375776" w:rsidRPr="00375776" w:rsidRDefault="00375776" w:rsidP="003757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375776" w:rsidRPr="00375776" w14:paraId="57F27278" w14:textId="77777777" w:rsidTr="00375776">
        <w:trPr>
          <w:trHeight w:val="278"/>
        </w:trPr>
        <w:tc>
          <w:tcPr>
            <w:tcW w:w="9654" w:type="dxa"/>
            <w:hideMark/>
          </w:tcPr>
          <w:p w14:paraId="0B8066BF" w14:textId="77777777" w:rsidR="00375776" w:rsidRPr="00375776" w:rsidRDefault="00375776" w:rsidP="0037577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37577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ALYTAUS MIESTO SAVIVALDYBĖS ADMINISTRACIJOS</w:t>
            </w:r>
          </w:p>
        </w:tc>
      </w:tr>
      <w:tr w:rsidR="00375776" w:rsidRPr="00375776" w14:paraId="252BF7B3" w14:textId="77777777" w:rsidTr="00375776">
        <w:trPr>
          <w:trHeight w:val="278"/>
        </w:trPr>
        <w:tc>
          <w:tcPr>
            <w:tcW w:w="9654" w:type="dxa"/>
            <w:hideMark/>
          </w:tcPr>
          <w:p w14:paraId="0B1E5192" w14:textId="77777777" w:rsidR="00375776" w:rsidRPr="00375776" w:rsidRDefault="00375776" w:rsidP="0037577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37577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VIEŠŲJŲ PIRKIMŲ SKYRIUS</w:t>
            </w:r>
          </w:p>
        </w:tc>
      </w:tr>
      <w:tr w:rsidR="00375776" w:rsidRPr="00375776" w14:paraId="49F401D6" w14:textId="77777777" w:rsidTr="00375776">
        <w:trPr>
          <w:trHeight w:val="289"/>
        </w:trPr>
        <w:tc>
          <w:tcPr>
            <w:tcW w:w="9654" w:type="dxa"/>
          </w:tcPr>
          <w:p w14:paraId="22CA6792" w14:textId="77777777" w:rsidR="00375776" w:rsidRPr="00375776" w:rsidRDefault="00375776" w:rsidP="00375776">
            <w:pPr>
              <w:keepNext/>
              <w:tabs>
                <w:tab w:val="left" w:pos="7122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375776" w:rsidRPr="00375776" w14:paraId="0C5019E8" w14:textId="77777777" w:rsidTr="00375776">
        <w:trPr>
          <w:trHeight w:val="703"/>
        </w:trPr>
        <w:tc>
          <w:tcPr>
            <w:tcW w:w="965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0F7589E" w14:textId="77777777" w:rsidR="00375776" w:rsidRPr="00375776" w:rsidRDefault="00375776" w:rsidP="003757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7577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1C0F7221" w14:textId="77777777" w:rsidR="00375776" w:rsidRPr="00375776" w:rsidRDefault="00375776" w:rsidP="003757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7577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el. p. </w:t>
            </w:r>
            <w:proofErr w:type="spellStart"/>
            <w:r w:rsidRPr="0037577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viesieji_pirkimai@alytus.lt</w:t>
            </w:r>
            <w:proofErr w:type="spellEnd"/>
            <w:r w:rsidRPr="0037577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</w:p>
          <w:p w14:paraId="179A0F78" w14:textId="77777777" w:rsidR="00375776" w:rsidRPr="00375776" w:rsidRDefault="00375776" w:rsidP="003757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7577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77FE8C4E" w14:textId="77777777" w:rsidR="00375776" w:rsidRPr="00375776" w:rsidRDefault="00375776" w:rsidP="0037577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tbl>
      <w:tblPr>
        <w:tblW w:w="96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60"/>
        <w:gridCol w:w="2585"/>
        <w:gridCol w:w="1986"/>
        <w:gridCol w:w="2519"/>
        <w:gridCol w:w="423"/>
      </w:tblGrid>
      <w:tr w:rsidR="00375776" w:rsidRPr="00375776" w14:paraId="03451ABE" w14:textId="77777777" w:rsidTr="002C7F2B">
        <w:trPr>
          <w:gridAfter w:val="1"/>
          <w:wAfter w:w="423" w:type="dxa"/>
          <w:cantSplit/>
        </w:trPr>
        <w:tc>
          <w:tcPr>
            <w:tcW w:w="2160" w:type="dxa"/>
            <w:hideMark/>
          </w:tcPr>
          <w:p w14:paraId="7B5980EC" w14:textId="77777777" w:rsidR="00375776" w:rsidRPr="00375776" w:rsidRDefault="00375776" w:rsidP="00375776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7577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4571" w:type="dxa"/>
            <w:gridSpan w:val="2"/>
          </w:tcPr>
          <w:p w14:paraId="33B3CFDA" w14:textId="77777777" w:rsidR="00375776" w:rsidRPr="00375776" w:rsidRDefault="00375776" w:rsidP="003757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19" w:type="dxa"/>
            <w:hideMark/>
          </w:tcPr>
          <w:p w14:paraId="1439AA40" w14:textId="581E70F6" w:rsidR="00375776" w:rsidRPr="00375776" w:rsidRDefault="00375776" w:rsidP="00375776">
            <w:pPr>
              <w:spacing w:after="0" w:line="240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7577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2025-03-0</w:t>
            </w:r>
            <w:r w:rsidR="008E7157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</w:tc>
      </w:tr>
      <w:tr w:rsidR="00375776" w:rsidRPr="00375776" w14:paraId="0D68BFED" w14:textId="77777777" w:rsidTr="002C7F2B">
        <w:trPr>
          <w:gridAfter w:val="1"/>
          <w:wAfter w:w="423" w:type="dxa"/>
          <w:cantSplit/>
        </w:trPr>
        <w:tc>
          <w:tcPr>
            <w:tcW w:w="2160" w:type="dxa"/>
          </w:tcPr>
          <w:p w14:paraId="0D1F9510" w14:textId="77777777" w:rsidR="00375776" w:rsidRPr="00375776" w:rsidRDefault="00375776" w:rsidP="00375776">
            <w:pPr>
              <w:spacing w:after="0" w:line="240" w:lineRule="auto"/>
              <w:ind w:left="-113" w:right="-6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0FA63679" w14:textId="77777777" w:rsidR="00375776" w:rsidRPr="00375776" w:rsidRDefault="00375776" w:rsidP="00375776">
            <w:pPr>
              <w:spacing w:after="0" w:line="240" w:lineRule="auto"/>
              <w:ind w:left="-113" w:right="-6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5" w:type="dxa"/>
          </w:tcPr>
          <w:p w14:paraId="76847824" w14:textId="77777777" w:rsidR="00375776" w:rsidRPr="00375776" w:rsidRDefault="00375776" w:rsidP="00375776">
            <w:pPr>
              <w:spacing w:after="0" w:line="240" w:lineRule="auto"/>
              <w:ind w:right="-6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5" w:type="dxa"/>
            <w:gridSpan w:val="2"/>
          </w:tcPr>
          <w:p w14:paraId="5301F6E0" w14:textId="77777777" w:rsidR="00375776" w:rsidRPr="00375776" w:rsidRDefault="00375776" w:rsidP="00375776">
            <w:pPr>
              <w:spacing w:after="0" w:line="240" w:lineRule="auto"/>
              <w:ind w:left="1" w:right="-613" w:hanging="1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375776" w:rsidRPr="00375776" w14:paraId="704D63D8" w14:textId="77777777" w:rsidTr="002C7F2B">
        <w:trPr>
          <w:cantSplit/>
        </w:trPr>
        <w:tc>
          <w:tcPr>
            <w:tcW w:w="9673" w:type="dxa"/>
            <w:gridSpan w:val="5"/>
            <w:hideMark/>
          </w:tcPr>
          <w:p w14:paraId="0295D99F" w14:textId="533B394F" w:rsidR="00375776" w:rsidRPr="00375776" w:rsidRDefault="00375776" w:rsidP="002C7F2B">
            <w:pPr>
              <w:tabs>
                <w:tab w:val="left" w:pos="567"/>
                <w:tab w:val="left" w:pos="993"/>
                <w:tab w:val="left" w:pos="1843"/>
                <w:tab w:val="right" w:pos="9072"/>
              </w:tabs>
              <w:spacing w:after="0" w:line="240" w:lineRule="auto"/>
              <w:ind w:right="-613"/>
              <w:rPr>
                <w:rFonts w:ascii="Arial" w:eastAsia="Calibri" w:hAnsi="Arial" w:cs="Arial"/>
                <w:b/>
                <w:caps/>
                <w:sz w:val="24"/>
                <w:szCs w:val="24"/>
              </w:rPr>
            </w:pPr>
            <w:r w:rsidRPr="00375776">
              <w:rPr>
                <w:rFonts w:ascii="Arial" w:eastAsia="Calibri" w:hAnsi="Arial" w:cs="Arial"/>
                <w:b/>
                <w:caps/>
                <w:sz w:val="24"/>
                <w:szCs w:val="24"/>
              </w:rPr>
              <w:t>Dėl pranešimo nagrinėjimo</w:t>
            </w:r>
            <w:r w:rsidR="002C7F2B">
              <w:rPr>
                <w:rFonts w:ascii="Arial" w:eastAsia="Calibri" w:hAnsi="Arial" w:cs="Arial"/>
                <w:b/>
                <w:caps/>
                <w:sz w:val="24"/>
                <w:szCs w:val="24"/>
              </w:rPr>
              <w:t xml:space="preserve"> ir pasiūlymų pateikimo termino nukėlimo</w:t>
            </w:r>
          </w:p>
          <w:p w14:paraId="49CA4888" w14:textId="77777777" w:rsidR="00375776" w:rsidRPr="00375776" w:rsidRDefault="00375776" w:rsidP="002C7F2B">
            <w:pPr>
              <w:tabs>
                <w:tab w:val="left" w:pos="567"/>
                <w:tab w:val="left" w:pos="993"/>
                <w:tab w:val="left" w:pos="1843"/>
                <w:tab w:val="right" w:pos="9072"/>
              </w:tabs>
              <w:spacing w:after="0" w:line="240" w:lineRule="auto"/>
              <w:ind w:right="-613"/>
              <w:rPr>
                <w:rFonts w:ascii="Arial" w:eastAsia="Calibri" w:hAnsi="Arial" w:cs="Arial"/>
                <w:b/>
                <w:caps/>
                <w:sz w:val="24"/>
                <w:szCs w:val="24"/>
              </w:rPr>
            </w:pPr>
          </w:p>
        </w:tc>
      </w:tr>
    </w:tbl>
    <w:p w14:paraId="676D47EE" w14:textId="3C602FBC" w:rsidR="00375776" w:rsidRPr="00375776" w:rsidRDefault="00375776" w:rsidP="00375776">
      <w:pPr>
        <w:tabs>
          <w:tab w:val="left" w:pos="1418"/>
          <w:tab w:val="left" w:pos="1843"/>
        </w:tabs>
        <w:spacing w:after="0" w:line="240" w:lineRule="auto"/>
        <w:ind w:right="-613"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  <w:r w:rsidRPr="0037577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Alytaus miesto savivaldybės administracijos viešųjų pirkimų komisija (toliau – komisija), vykdydama </w:t>
      </w:r>
      <w:bookmarkStart w:id="0" w:name="_Hlk177381301"/>
      <w:r w:rsidRPr="0037577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supaprastinto viešojo pirkimo „II-etapas. Putinų g. nuo A. Jonyno iki žiedinės sankryžos su Pramonės g. kapitalinio remonto šioje atkarpoje rangos darbai“ </w:t>
      </w:r>
      <w:bookmarkEnd w:id="0"/>
      <w:r w:rsidRPr="0037577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atvirą konkursą, 2025-03-04 posėdžio metu:</w:t>
      </w:r>
    </w:p>
    <w:p w14:paraId="63FC4F86" w14:textId="4CA91B20" w:rsidR="00375776" w:rsidRPr="00375776" w:rsidRDefault="00375776" w:rsidP="00375776">
      <w:pPr>
        <w:pStyle w:val="Sraopastraipa"/>
        <w:numPr>
          <w:ilvl w:val="0"/>
          <w:numId w:val="1"/>
        </w:numPr>
        <w:tabs>
          <w:tab w:val="left" w:pos="1418"/>
          <w:tab w:val="left" w:pos="1843"/>
        </w:tabs>
        <w:spacing w:after="0" w:line="240" w:lineRule="auto"/>
        <w:ind w:left="0" w:right="-613"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  <w:r w:rsidRPr="0037577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išnagrinėjo 2025-02-26 centrinės viešųjų pirkimų informacinės sistemos (toliau – CVP IS) priemonėmis gautą tiekėjo pranešimą ID 91105 ir vadovaudamasi Lietuvos Respublikos viešųjų pirkimų įstatymo (toliau – Viešųjų pirkimų įstatymas)</w:t>
      </w:r>
      <w:r w:rsidRPr="00375776">
        <w:rPr>
          <w:rFonts w:ascii="Arial" w:hAnsi="Arial" w:cs="Arial"/>
          <w:sz w:val="24"/>
          <w:szCs w:val="24"/>
        </w:rPr>
        <w:t xml:space="preserve"> </w:t>
      </w:r>
      <w:r w:rsidRPr="0037577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36 str. 5 d. bei </w:t>
      </w:r>
      <w:bookmarkStart w:id="1" w:name="_Hlk177381859"/>
      <w:bookmarkStart w:id="2" w:name="_Hlk177381585"/>
      <w:r w:rsidRPr="0037577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komisijos 2025-02-21 posėdžio protokolu Nr. VP-122 patvirtintų supaprastinto viešojo pirkimo „II-etapas. Putinų g. nuo A. Jonyno iki žiedinės sankryžos su Pramonės g. kapitalinio remonto šioje atkarpoje rangos darbai“ </w:t>
      </w:r>
      <w:r w:rsidRPr="00375776">
        <w:rPr>
          <w:rFonts w:ascii="Arial" w:eastAsia="Calibri" w:hAnsi="Arial" w:cs="Arial"/>
          <w:sz w:val="24"/>
          <w:szCs w:val="24"/>
        </w:rPr>
        <w:t>atviro konkurso bendrųjų sąlygų (toliau – bendrosios pirkimo sąlygos)</w:t>
      </w:r>
      <w:r w:rsidRPr="0037577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5.2 </w:t>
      </w:r>
      <w:bookmarkEnd w:id="1"/>
      <w:bookmarkEnd w:id="2"/>
      <w:r w:rsidRPr="0037577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p.</w:t>
      </w:r>
      <w:r w:rsidR="001D3D1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ir specialiosiomis sąlygomis (toliau -</w:t>
      </w:r>
      <w:r w:rsidR="008E7157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="001D3D1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specialiosios pirkimo sąlygos)</w:t>
      </w:r>
      <w:r w:rsidRPr="0037577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, </w:t>
      </w:r>
      <w:r w:rsidR="008E7157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bei</w:t>
      </w:r>
      <w:r w:rsidRPr="0037577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teikia atsakymą:</w:t>
      </w:r>
    </w:p>
    <w:p w14:paraId="16FCC1C3" w14:textId="77777777" w:rsidR="00375776" w:rsidRPr="00375776" w:rsidRDefault="00375776" w:rsidP="00375776">
      <w:pPr>
        <w:tabs>
          <w:tab w:val="left" w:pos="1418"/>
          <w:tab w:val="left" w:pos="1843"/>
        </w:tabs>
        <w:spacing w:after="0" w:line="240" w:lineRule="auto"/>
        <w:ind w:right="-613" w:firstLine="1134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37577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lt-LT"/>
          <w14:ligatures w14:val="none"/>
        </w:rPr>
        <w:t>Klausimas:</w:t>
      </w:r>
    </w:p>
    <w:p w14:paraId="4A1BAF89" w14:textId="61A87574" w:rsidR="00375776" w:rsidRPr="00375776" w:rsidRDefault="00375776" w:rsidP="00375776">
      <w:pPr>
        <w:tabs>
          <w:tab w:val="left" w:pos="1418"/>
          <w:tab w:val="left" w:pos="1843"/>
        </w:tabs>
        <w:spacing w:after="0" w:line="240" w:lineRule="auto"/>
        <w:ind w:right="-613" w:firstLine="1134"/>
        <w:jc w:val="both"/>
        <w:rPr>
          <w:rFonts w:ascii="Arial" w:hAnsi="Arial" w:cs="Arial"/>
          <w:color w:val="00241A"/>
          <w:sz w:val="24"/>
          <w:szCs w:val="24"/>
          <w:shd w:val="clear" w:color="auto" w:fill="FFFFFF"/>
        </w:rPr>
      </w:pPr>
      <w:r w:rsidRPr="00375776">
        <w:rPr>
          <w:rFonts w:ascii="Arial" w:hAnsi="Arial" w:cs="Arial"/>
          <w:color w:val="00241A"/>
          <w:sz w:val="24"/>
          <w:szCs w:val="24"/>
          <w:shd w:val="clear" w:color="auto" w:fill="FFFFFF"/>
        </w:rPr>
        <w:t>„</w:t>
      </w:r>
      <w:r w:rsidRPr="00375776">
        <w:rPr>
          <w:rFonts w:ascii="Arial" w:hAnsi="Arial" w:cs="Arial"/>
          <w:b/>
          <w:bCs/>
          <w:color w:val="00241A"/>
          <w:sz w:val="24"/>
          <w:szCs w:val="24"/>
          <w:shd w:val="clear" w:color="auto" w:fill="FFFFFF"/>
        </w:rPr>
        <w:t>Projektinė situacija:</w:t>
      </w:r>
      <w:r w:rsidRPr="00375776">
        <w:rPr>
          <w:rFonts w:ascii="Arial" w:hAnsi="Arial" w:cs="Arial"/>
          <w:color w:val="00241A"/>
          <w:sz w:val="24"/>
          <w:szCs w:val="24"/>
          <w:shd w:val="clear" w:color="auto" w:fill="FFFFFF"/>
        </w:rPr>
        <w:t xml:space="preserve"> Techninio projekto techninių specifikacijų skyriuje Nr. 04 </w:t>
      </w:r>
      <w:proofErr w:type="spellStart"/>
      <w:r w:rsidRPr="00375776">
        <w:rPr>
          <w:rFonts w:ascii="Arial" w:hAnsi="Arial" w:cs="Arial"/>
          <w:color w:val="00241A"/>
          <w:sz w:val="24"/>
          <w:szCs w:val="24"/>
          <w:shd w:val="clear" w:color="auto" w:fill="FFFFFF"/>
        </w:rPr>
        <w:t>Geosintetinės</w:t>
      </w:r>
      <w:proofErr w:type="spellEnd"/>
      <w:r w:rsidRPr="00375776">
        <w:rPr>
          <w:rFonts w:ascii="Arial" w:hAnsi="Arial" w:cs="Arial"/>
          <w:color w:val="00241A"/>
          <w:sz w:val="24"/>
          <w:szCs w:val="24"/>
          <w:shd w:val="clear" w:color="auto" w:fill="FFFFFF"/>
        </w:rPr>
        <w:t xml:space="preserve"> medžiagos, yra numatytas </w:t>
      </w:r>
      <w:proofErr w:type="spellStart"/>
      <w:r w:rsidRPr="00375776">
        <w:rPr>
          <w:rFonts w:ascii="Arial" w:hAnsi="Arial" w:cs="Arial"/>
          <w:color w:val="00241A"/>
          <w:sz w:val="24"/>
          <w:szCs w:val="24"/>
          <w:shd w:val="clear" w:color="auto" w:fill="FFFFFF"/>
        </w:rPr>
        <w:t>geokopozito</w:t>
      </w:r>
      <w:proofErr w:type="spellEnd"/>
      <w:r w:rsidRPr="00375776">
        <w:rPr>
          <w:rFonts w:ascii="Arial" w:hAnsi="Arial" w:cs="Arial"/>
          <w:color w:val="00241A"/>
          <w:sz w:val="24"/>
          <w:szCs w:val="24"/>
          <w:shd w:val="clear" w:color="auto" w:fill="FFFFFF"/>
        </w:rPr>
        <w:t xml:space="preserve"> medžiaga (tai yra nurodyta projekto skersiniuose brėžiniuose, kur </w:t>
      </w:r>
      <w:proofErr w:type="spellStart"/>
      <w:r w:rsidRPr="00375776">
        <w:rPr>
          <w:rFonts w:ascii="Arial" w:hAnsi="Arial" w:cs="Arial"/>
          <w:color w:val="00241A"/>
          <w:sz w:val="24"/>
          <w:szCs w:val="24"/>
          <w:shd w:val="clear" w:color="auto" w:fill="FFFFFF"/>
        </w:rPr>
        <w:t>geokompozitas</w:t>
      </w:r>
      <w:proofErr w:type="spellEnd"/>
      <w:r w:rsidRPr="00375776">
        <w:rPr>
          <w:rFonts w:ascii="Arial" w:hAnsi="Arial" w:cs="Arial"/>
          <w:color w:val="00241A"/>
          <w:sz w:val="24"/>
          <w:szCs w:val="24"/>
          <w:shd w:val="clear" w:color="auto" w:fill="FFFFFF"/>
        </w:rPr>
        <w:t xml:space="preserve"> yra montuojamas tarp asfalto sluoksnių), skirta asfalto sluoksnių armavimui, tačiau pati specifikacija nurodyta kaip gruntų armavimo </w:t>
      </w:r>
      <w:proofErr w:type="spellStart"/>
      <w:r w:rsidRPr="00375776">
        <w:rPr>
          <w:rFonts w:ascii="Arial" w:hAnsi="Arial" w:cs="Arial"/>
          <w:color w:val="00241A"/>
          <w:sz w:val="24"/>
          <w:szCs w:val="24"/>
          <w:shd w:val="clear" w:color="auto" w:fill="FFFFFF"/>
        </w:rPr>
        <w:t>geotinklo</w:t>
      </w:r>
      <w:proofErr w:type="spellEnd"/>
      <w:r w:rsidRPr="00375776">
        <w:rPr>
          <w:rFonts w:ascii="Arial" w:hAnsi="Arial" w:cs="Arial"/>
          <w:color w:val="00241A"/>
          <w:sz w:val="24"/>
          <w:szCs w:val="24"/>
          <w:shd w:val="clear" w:color="auto" w:fill="FFFFFF"/>
        </w:rPr>
        <w:t xml:space="preserve">, todėl gali būti panaudota netinkama ir paskirties </w:t>
      </w:r>
      <w:proofErr w:type="spellStart"/>
      <w:r w:rsidRPr="00375776">
        <w:rPr>
          <w:rFonts w:ascii="Arial" w:hAnsi="Arial" w:cs="Arial"/>
          <w:color w:val="00241A"/>
          <w:sz w:val="24"/>
          <w:szCs w:val="24"/>
          <w:shd w:val="clear" w:color="auto" w:fill="FFFFFF"/>
        </w:rPr>
        <w:t>neatitinanti</w:t>
      </w:r>
      <w:proofErr w:type="spellEnd"/>
      <w:r w:rsidRPr="00375776">
        <w:rPr>
          <w:rFonts w:ascii="Arial" w:hAnsi="Arial" w:cs="Arial"/>
          <w:color w:val="00241A"/>
          <w:sz w:val="24"/>
          <w:szCs w:val="24"/>
          <w:shd w:val="clear" w:color="auto" w:fill="FFFFFF"/>
        </w:rPr>
        <w:t xml:space="preserve"> medžiaga.</w:t>
      </w:r>
    </w:p>
    <w:p w14:paraId="79A20138" w14:textId="2BA7A3DB" w:rsidR="00375776" w:rsidRPr="00375776" w:rsidRDefault="00375776" w:rsidP="00375776">
      <w:pPr>
        <w:tabs>
          <w:tab w:val="left" w:pos="1418"/>
          <w:tab w:val="left" w:pos="1843"/>
        </w:tabs>
        <w:spacing w:after="0" w:line="240" w:lineRule="auto"/>
        <w:ind w:right="-613" w:firstLine="1134"/>
        <w:jc w:val="both"/>
        <w:rPr>
          <w:rFonts w:ascii="Arial" w:hAnsi="Arial" w:cs="Arial"/>
          <w:color w:val="00241A"/>
          <w:sz w:val="24"/>
          <w:szCs w:val="24"/>
          <w:shd w:val="clear" w:color="auto" w:fill="FFFFFF"/>
        </w:rPr>
      </w:pPr>
      <w:r w:rsidRPr="00375776">
        <w:rPr>
          <w:rFonts w:ascii="Arial" w:hAnsi="Arial" w:cs="Arial"/>
          <w:b/>
          <w:bCs/>
          <w:color w:val="00241A"/>
          <w:sz w:val="24"/>
          <w:szCs w:val="24"/>
          <w:shd w:val="clear" w:color="auto" w:fill="FFFFFF"/>
        </w:rPr>
        <w:t>Prašymas patikslinti:</w:t>
      </w:r>
      <w:r w:rsidRPr="00375776">
        <w:rPr>
          <w:rFonts w:ascii="Arial" w:hAnsi="Arial" w:cs="Arial"/>
          <w:color w:val="00241A"/>
          <w:sz w:val="24"/>
          <w:szCs w:val="24"/>
          <w:shd w:val="clear" w:color="auto" w:fill="FFFFFF"/>
        </w:rPr>
        <w:t xml:space="preserve"> Prašome patikslinti </w:t>
      </w:r>
      <w:proofErr w:type="spellStart"/>
      <w:r w:rsidRPr="00375776">
        <w:rPr>
          <w:rFonts w:ascii="Arial" w:hAnsi="Arial" w:cs="Arial"/>
          <w:color w:val="00241A"/>
          <w:sz w:val="24"/>
          <w:szCs w:val="24"/>
          <w:shd w:val="clear" w:color="auto" w:fill="FFFFFF"/>
        </w:rPr>
        <w:t>geokompozito</w:t>
      </w:r>
      <w:proofErr w:type="spellEnd"/>
      <w:r w:rsidRPr="00375776">
        <w:rPr>
          <w:rFonts w:ascii="Arial" w:hAnsi="Arial" w:cs="Arial"/>
          <w:color w:val="00241A"/>
          <w:sz w:val="24"/>
          <w:szCs w:val="24"/>
          <w:shd w:val="clear" w:color="auto" w:fill="FFFFFF"/>
        </w:rPr>
        <w:t xml:space="preserve"> skirto asfalto armavimui technines specifikacijas.“</w:t>
      </w:r>
    </w:p>
    <w:p w14:paraId="5715C810" w14:textId="56653D8D" w:rsidR="00375776" w:rsidRPr="00375776" w:rsidRDefault="00375776" w:rsidP="00375776">
      <w:pPr>
        <w:tabs>
          <w:tab w:val="left" w:pos="1418"/>
          <w:tab w:val="left" w:pos="1843"/>
        </w:tabs>
        <w:spacing w:after="0" w:line="240" w:lineRule="auto"/>
        <w:ind w:right="-613" w:firstLine="1134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375776">
        <w:rPr>
          <w:rFonts w:ascii="Arial" w:hAnsi="Arial" w:cs="Arial"/>
          <w:b/>
          <w:bCs/>
          <w:color w:val="00241A"/>
          <w:sz w:val="24"/>
          <w:szCs w:val="24"/>
          <w:shd w:val="clear" w:color="auto" w:fill="FFFFFF"/>
        </w:rPr>
        <w:t>Atsakymas</w:t>
      </w:r>
    </w:p>
    <w:p w14:paraId="59EF9DCF" w14:textId="77777777" w:rsidR="00375776" w:rsidRPr="00375776" w:rsidRDefault="00375776" w:rsidP="00180D98">
      <w:pPr>
        <w:spacing w:after="0" w:line="240" w:lineRule="auto"/>
        <w:ind w:firstLine="1134"/>
        <w:rPr>
          <w:rFonts w:ascii="Arial" w:eastAsia="Calibri" w:hAnsi="Arial" w:cs="Arial"/>
          <w:kern w:val="0"/>
          <w:sz w:val="24"/>
          <w:szCs w:val="24"/>
        </w:rPr>
      </w:pPr>
      <w:r w:rsidRPr="00375776">
        <w:rPr>
          <w:rFonts w:ascii="Arial" w:eastAsia="Calibri" w:hAnsi="Arial" w:cs="Arial"/>
          <w:kern w:val="0"/>
          <w:sz w:val="24"/>
          <w:szCs w:val="24"/>
        </w:rPr>
        <w:t xml:space="preserve">Asfalto armavimo </w:t>
      </w:r>
      <w:proofErr w:type="spellStart"/>
      <w:r w:rsidRPr="00375776">
        <w:rPr>
          <w:rFonts w:ascii="Arial" w:eastAsia="Calibri" w:hAnsi="Arial" w:cs="Arial"/>
          <w:kern w:val="0"/>
          <w:sz w:val="24"/>
          <w:szCs w:val="24"/>
        </w:rPr>
        <w:t>geokompozito</w:t>
      </w:r>
      <w:proofErr w:type="spellEnd"/>
      <w:r w:rsidRPr="00375776">
        <w:rPr>
          <w:rFonts w:ascii="Arial" w:eastAsia="Calibri" w:hAnsi="Arial" w:cs="Arial"/>
          <w:kern w:val="0"/>
          <w:sz w:val="24"/>
          <w:szCs w:val="24"/>
        </w:rPr>
        <w:t xml:space="preserve"> techninės specifikacijos:</w:t>
      </w:r>
    </w:p>
    <w:tbl>
      <w:tblPr>
        <w:tblW w:w="534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2"/>
        <w:gridCol w:w="2267"/>
        <w:gridCol w:w="4110"/>
      </w:tblGrid>
      <w:tr w:rsidR="00375776" w:rsidRPr="00375776" w14:paraId="6FD15452" w14:textId="77777777" w:rsidTr="008E7157">
        <w:tc>
          <w:tcPr>
            <w:tcW w:w="16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5F560" w14:textId="77777777" w:rsidR="00375776" w:rsidRPr="00375776" w:rsidRDefault="00375776" w:rsidP="00375776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</w:rPr>
            </w:pPr>
            <w:r w:rsidRPr="00375776">
              <w:rPr>
                <w:rFonts w:ascii="Arial" w:eastAsia="Calibri" w:hAnsi="Arial" w:cs="Arial"/>
                <w:b/>
                <w:bCs/>
                <w:i/>
                <w:iCs/>
                <w:kern w:val="0"/>
                <w:sz w:val="24"/>
                <w:szCs w:val="24"/>
              </w:rPr>
              <w:t>Savybė</w:t>
            </w:r>
          </w:p>
        </w:tc>
        <w:tc>
          <w:tcPr>
            <w:tcW w:w="1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3594A" w14:textId="77777777" w:rsidR="00375776" w:rsidRPr="00375776" w:rsidRDefault="00375776" w:rsidP="00375776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</w:rPr>
            </w:pPr>
            <w:r w:rsidRPr="00375776">
              <w:rPr>
                <w:rFonts w:ascii="Arial" w:eastAsia="Calibri" w:hAnsi="Arial" w:cs="Arial"/>
                <w:b/>
                <w:bCs/>
                <w:i/>
                <w:iCs/>
                <w:kern w:val="0"/>
                <w:sz w:val="24"/>
                <w:szCs w:val="24"/>
              </w:rPr>
              <w:t>Bandymo metodas</w:t>
            </w:r>
          </w:p>
        </w:tc>
        <w:tc>
          <w:tcPr>
            <w:tcW w:w="21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53790" w14:textId="77777777" w:rsidR="00375776" w:rsidRPr="00375776" w:rsidRDefault="00375776" w:rsidP="00375776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</w:rPr>
            </w:pPr>
            <w:r w:rsidRPr="00375776">
              <w:rPr>
                <w:rFonts w:ascii="Arial" w:eastAsia="Calibri" w:hAnsi="Arial" w:cs="Arial"/>
                <w:b/>
                <w:bCs/>
                <w:i/>
                <w:iCs/>
                <w:kern w:val="0"/>
                <w:sz w:val="24"/>
                <w:szCs w:val="24"/>
              </w:rPr>
              <w:t>Vertės (min/</w:t>
            </w:r>
            <w:proofErr w:type="spellStart"/>
            <w:r w:rsidRPr="00375776">
              <w:rPr>
                <w:rFonts w:ascii="Arial" w:eastAsia="Calibri" w:hAnsi="Arial" w:cs="Arial"/>
                <w:b/>
                <w:bCs/>
                <w:i/>
                <w:iCs/>
                <w:kern w:val="0"/>
                <w:sz w:val="24"/>
                <w:szCs w:val="24"/>
              </w:rPr>
              <w:t>maks</w:t>
            </w:r>
            <w:proofErr w:type="spellEnd"/>
            <w:r w:rsidRPr="00375776">
              <w:rPr>
                <w:rFonts w:ascii="Arial" w:eastAsia="Calibri" w:hAnsi="Arial" w:cs="Arial"/>
                <w:b/>
                <w:bCs/>
                <w:i/>
                <w:iCs/>
                <w:kern w:val="0"/>
                <w:sz w:val="24"/>
                <w:szCs w:val="24"/>
              </w:rPr>
              <w:t xml:space="preserve"> įvertinus paklaidas)</w:t>
            </w:r>
          </w:p>
        </w:tc>
      </w:tr>
      <w:tr w:rsidR="00375776" w:rsidRPr="00375776" w14:paraId="594FF7F5" w14:textId="77777777" w:rsidTr="008E7157">
        <w:tc>
          <w:tcPr>
            <w:tcW w:w="16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CB2CB" w14:textId="77777777" w:rsidR="00375776" w:rsidRPr="00375776" w:rsidRDefault="00375776" w:rsidP="00375776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</w:rPr>
            </w:pPr>
            <w:r w:rsidRPr="00375776">
              <w:rPr>
                <w:rFonts w:ascii="Arial" w:eastAsia="Calibri" w:hAnsi="Arial" w:cs="Arial"/>
                <w:i/>
                <w:iCs/>
                <w:kern w:val="0"/>
                <w:sz w:val="24"/>
                <w:szCs w:val="24"/>
              </w:rPr>
              <w:t>Plotinis tankis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3E9E4" w14:textId="77777777" w:rsidR="00375776" w:rsidRPr="00375776" w:rsidRDefault="00375776" w:rsidP="00375776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</w:rPr>
            </w:pPr>
            <w:r w:rsidRPr="00375776">
              <w:rPr>
                <w:rFonts w:ascii="Arial" w:eastAsia="Calibri" w:hAnsi="Arial" w:cs="Arial"/>
                <w:i/>
                <w:iCs/>
                <w:kern w:val="0"/>
                <w:sz w:val="24"/>
                <w:szCs w:val="24"/>
              </w:rPr>
              <w:t>LST EN ISO 9864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0A8FF" w14:textId="77777777" w:rsidR="00375776" w:rsidRPr="00375776" w:rsidRDefault="00375776" w:rsidP="00375776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</w:rPr>
            </w:pPr>
            <w:r w:rsidRPr="00375776">
              <w:rPr>
                <w:rFonts w:ascii="Arial" w:eastAsia="Calibri" w:hAnsi="Arial" w:cs="Arial"/>
                <w:i/>
                <w:iCs/>
                <w:kern w:val="0"/>
                <w:sz w:val="24"/>
                <w:szCs w:val="24"/>
              </w:rPr>
              <w:t>≥ 240 g/m</w:t>
            </w:r>
            <w:r w:rsidRPr="00375776">
              <w:rPr>
                <w:rFonts w:ascii="Arial" w:eastAsia="Calibri" w:hAnsi="Arial" w:cs="Arial"/>
                <w:i/>
                <w:iCs/>
                <w:kern w:val="0"/>
                <w:sz w:val="24"/>
                <w:szCs w:val="24"/>
                <w:vertAlign w:val="superscript"/>
              </w:rPr>
              <w:t>2</w:t>
            </w:r>
          </w:p>
        </w:tc>
      </w:tr>
      <w:tr w:rsidR="00375776" w:rsidRPr="00375776" w14:paraId="77FC6834" w14:textId="77777777" w:rsidTr="008E7157">
        <w:tc>
          <w:tcPr>
            <w:tcW w:w="16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84A1E" w14:textId="77777777" w:rsidR="00375776" w:rsidRPr="00375776" w:rsidRDefault="00375776" w:rsidP="00375776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</w:rPr>
            </w:pPr>
            <w:r w:rsidRPr="00375776">
              <w:rPr>
                <w:rFonts w:ascii="Arial" w:eastAsia="Calibri" w:hAnsi="Arial" w:cs="Arial"/>
                <w:i/>
                <w:iCs/>
                <w:kern w:val="0"/>
                <w:sz w:val="24"/>
                <w:szCs w:val="24"/>
              </w:rPr>
              <w:t>Didžiausias stipris tempiant</w:t>
            </w:r>
          </w:p>
          <w:p w14:paraId="4970521D" w14:textId="77777777" w:rsidR="00375776" w:rsidRPr="00375776" w:rsidRDefault="00375776" w:rsidP="00375776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</w:rPr>
            </w:pPr>
            <w:r w:rsidRPr="00375776">
              <w:rPr>
                <w:rFonts w:ascii="Arial" w:eastAsia="Calibri" w:hAnsi="Arial" w:cs="Arial"/>
                <w:i/>
                <w:iCs/>
                <w:kern w:val="0"/>
                <w:sz w:val="24"/>
                <w:szCs w:val="24"/>
              </w:rPr>
              <w:t>išilgai</w:t>
            </w:r>
          </w:p>
          <w:p w14:paraId="750B0E0E" w14:textId="77777777" w:rsidR="00375776" w:rsidRPr="00375776" w:rsidRDefault="00375776" w:rsidP="00375776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</w:rPr>
            </w:pPr>
            <w:r w:rsidRPr="00375776">
              <w:rPr>
                <w:rFonts w:ascii="Arial" w:eastAsia="Calibri" w:hAnsi="Arial" w:cs="Arial"/>
                <w:i/>
                <w:iCs/>
                <w:kern w:val="0"/>
                <w:sz w:val="24"/>
                <w:szCs w:val="24"/>
              </w:rPr>
              <w:t>skersai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72207" w14:textId="77777777" w:rsidR="00375776" w:rsidRPr="00375776" w:rsidRDefault="00375776" w:rsidP="00375776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</w:rPr>
            </w:pPr>
            <w:r w:rsidRPr="00375776">
              <w:rPr>
                <w:rFonts w:ascii="Arial" w:eastAsia="Calibri" w:hAnsi="Arial" w:cs="Arial"/>
                <w:i/>
                <w:iCs/>
                <w:kern w:val="0"/>
                <w:sz w:val="24"/>
                <w:szCs w:val="24"/>
              </w:rPr>
              <w:t>LST EN ISO 10319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13299" w14:textId="77777777" w:rsidR="00375776" w:rsidRPr="00375776" w:rsidRDefault="00375776" w:rsidP="00375776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</w:rPr>
            </w:pPr>
            <w:r w:rsidRPr="00375776">
              <w:rPr>
                <w:rFonts w:ascii="Arial" w:eastAsia="Calibri" w:hAnsi="Arial" w:cs="Arial"/>
                <w:i/>
                <w:iCs/>
                <w:kern w:val="0"/>
                <w:sz w:val="24"/>
                <w:szCs w:val="24"/>
              </w:rPr>
              <w:t> </w:t>
            </w:r>
          </w:p>
          <w:p w14:paraId="420ED912" w14:textId="77777777" w:rsidR="00375776" w:rsidRPr="00375776" w:rsidRDefault="00375776" w:rsidP="00375776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</w:rPr>
            </w:pPr>
            <w:r w:rsidRPr="00375776">
              <w:rPr>
                <w:rFonts w:ascii="Arial" w:eastAsia="Calibri" w:hAnsi="Arial" w:cs="Arial"/>
                <w:i/>
                <w:iCs/>
                <w:kern w:val="0"/>
                <w:sz w:val="24"/>
                <w:szCs w:val="24"/>
              </w:rPr>
              <w:t xml:space="preserve">≥ 50 </w:t>
            </w:r>
            <w:proofErr w:type="spellStart"/>
            <w:r w:rsidRPr="00375776">
              <w:rPr>
                <w:rFonts w:ascii="Arial" w:eastAsia="Calibri" w:hAnsi="Arial" w:cs="Arial"/>
                <w:i/>
                <w:iCs/>
                <w:kern w:val="0"/>
                <w:sz w:val="24"/>
                <w:szCs w:val="24"/>
              </w:rPr>
              <w:t>kN</w:t>
            </w:r>
            <w:proofErr w:type="spellEnd"/>
            <w:r w:rsidRPr="00375776">
              <w:rPr>
                <w:rFonts w:ascii="Arial" w:eastAsia="Calibri" w:hAnsi="Arial" w:cs="Arial"/>
                <w:i/>
                <w:iCs/>
                <w:kern w:val="0"/>
                <w:sz w:val="24"/>
                <w:szCs w:val="24"/>
              </w:rPr>
              <w:t>/m</w:t>
            </w:r>
          </w:p>
          <w:p w14:paraId="4EAA57F0" w14:textId="77777777" w:rsidR="00375776" w:rsidRPr="00375776" w:rsidRDefault="00375776" w:rsidP="00375776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</w:rPr>
            </w:pPr>
            <w:r w:rsidRPr="00375776">
              <w:rPr>
                <w:rFonts w:ascii="Arial" w:eastAsia="Calibri" w:hAnsi="Arial" w:cs="Arial"/>
                <w:i/>
                <w:iCs/>
                <w:kern w:val="0"/>
                <w:sz w:val="24"/>
                <w:szCs w:val="24"/>
              </w:rPr>
              <w:t xml:space="preserve">≥ 50 </w:t>
            </w:r>
            <w:proofErr w:type="spellStart"/>
            <w:r w:rsidRPr="00375776">
              <w:rPr>
                <w:rFonts w:ascii="Arial" w:eastAsia="Calibri" w:hAnsi="Arial" w:cs="Arial"/>
                <w:i/>
                <w:iCs/>
                <w:kern w:val="0"/>
                <w:sz w:val="24"/>
                <w:szCs w:val="24"/>
              </w:rPr>
              <w:t>kN</w:t>
            </w:r>
            <w:proofErr w:type="spellEnd"/>
            <w:r w:rsidRPr="00375776">
              <w:rPr>
                <w:rFonts w:ascii="Arial" w:eastAsia="Calibri" w:hAnsi="Arial" w:cs="Arial"/>
                <w:i/>
                <w:iCs/>
                <w:kern w:val="0"/>
                <w:sz w:val="24"/>
                <w:szCs w:val="24"/>
              </w:rPr>
              <w:t>/m</w:t>
            </w:r>
          </w:p>
        </w:tc>
      </w:tr>
      <w:tr w:rsidR="00375776" w:rsidRPr="00375776" w14:paraId="66F2954A" w14:textId="77777777" w:rsidTr="008E7157">
        <w:tc>
          <w:tcPr>
            <w:tcW w:w="16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680D0" w14:textId="77777777" w:rsidR="00375776" w:rsidRPr="00375776" w:rsidRDefault="00375776" w:rsidP="00375776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</w:rPr>
            </w:pPr>
            <w:r w:rsidRPr="00375776">
              <w:rPr>
                <w:rFonts w:ascii="Arial" w:eastAsia="Calibri" w:hAnsi="Arial" w:cs="Arial"/>
                <w:i/>
                <w:iCs/>
                <w:kern w:val="0"/>
                <w:sz w:val="24"/>
                <w:szCs w:val="24"/>
              </w:rPr>
              <w:t>Pailgėjimas esant didžiausiai apkrovai</w:t>
            </w:r>
          </w:p>
          <w:p w14:paraId="2AF87106" w14:textId="77777777" w:rsidR="00375776" w:rsidRPr="00375776" w:rsidRDefault="00375776" w:rsidP="00375776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</w:rPr>
            </w:pPr>
            <w:r w:rsidRPr="00375776">
              <w:rPr>
                <w:rFonts w:ascii="Arial" w:eastAsia="Calibri" w:hAnsi="Arial" w:cs="Arial"/>
                <w:i/>
                <w:iCs/>
                <w:kern w:val="0"/>
                <w:sz w:val="24"/>
                <w:szCs w:val="24"/>
              </w:rPr>
              <w:t>išilgai</w:t>
            </w:r>
          </w:p>
          <w:p w14:paraId="1814B545" w14:textId="77777777" w:rsidR="00375776" w:rsidRPr="00375776" w:rsidRDefault="00375776" w:rsidP="00375776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</w:rPr>
            </w:pPr>
            <w:r w:rsidRPr="00375776">
              <w:rPr>
                <w:rFonts w:ascii="Arial" w:eastAsia="Calibri" w:hAnsi="Arial" w:cs="Arial"/>
                <w:i/>
                <w:iCs/>
                <w:kern w:val="0"/>
                <w:sz w:val="24"/>
                <w:szCs w:val="24"/>
              </w:rPr>
              <w:t>skersai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AD37B" w14:textId="77777777" w:rsidR="00375776" w:rsidRPr="00375776" w:rsidRDefault="00375776" w:rsidP="00375776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</w:rPr>
            </w:pPr>
            <w:r w:rsidRPr="00375776">
              <w:rPr>
                <w:rFonts w:ascii="Arial" w:eastAsia="Calibri" w:hAnsi="Arial" w:cs="Arial"/>
                <w:i/>
                <w:iCs/>
                <w:kern w:val="0"/>
                <w:sz w:val="24"/>
                <w:szCs w:val="24"/>
              </w:rPr>
              <w:t>LST EN ISO 10319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01776" w14:textId="77777777" w:rsidR="00375776" w:rsidRPr="00375776" w:rsidRDefault="00375776" w:rsidP="00375776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</w:rPr>
            </w:pPr>
            <w:r w:rsidRPr="00375776">
              <w:rPr>
                <w:rFonts w:ascii="Arial" w:eastAsia="Calibri" w:hAnsi="Arial" w:cs="Arial"/>
                <w:i/>
                <w:iCs/>
                <w:kern w:val="0"/>
                <w:sz w:val="24"/>
                <w:szCs w:val="24"/>
              </w:rPr>
              <w:t> </w:t>
            </w:r>
          </w:p>
          <w:p w14:paraId="3060D46C" w14:textId="77777777" w:rsidR="00375776" w:rsidRPr="00375776" w:rsidRDefault="00375776" w:rsidP="00375776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</w:rPr>
            </w:pPr>
            <w:r w:rsidRPr="00375776">
              <w:rPr>
                <w:rFonts w:ascii="Arial" w:eastAsia="Calibri" w:hAnsi="Arial" w:cs="Arial"/>
                <w:i/>
                <w:iCs/>
                <w:kern w:val="0"/>
                <w:sz w:val="24"/>
                <w:szCs w:val="24"/>
              </w:rPr>
              <w:t>≤ 3,0 %</w:t>
            </w:r>
          </w:p>
          <w:p w14:paraId="0DC202D0" w14:textId="77777777" w:rsidR="00375776" w:rsidRPr="00375776" w:rsidRDefault="00375776" w:rsidP="00375776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</w:rPr>
            </w:pPr>
            <w:r w:rsidRPr="00375776">
              <w:rPr>
                <w:rFonts w:ascii="Arial" w:eastAsia="Calibri" w:hAnsi="Arial" w:cs="Arial"/>
                <w:i/>
                <w:iCs/>
                <w:kern w:val="0"/>
                <w:sz w:val="24"/>
                <w:szCs w:val="24"/>
              </w:rPr>
              <w:t>≤ 3,0 %</w:t>
            </w:r>
          </w:p>
        </w:tc>
      </w:tr>
      <w:tr w:rsidR="00375776" w:rsidRPr="00375776" w14:paraId="061291D3" w14:textId="77777777" w:rsidTr="008E7157">
        <w:tc>
          <w:tcPr>
            <w:tcW w:w="16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62CC6" w14:textId="77777777" w:rsidR="00375776" w:rsidRPr="00375776" w:rsidRDefault="00375776" w:rsidP="00375776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</w:rPr>
            </w:pPr>
            <w:r w:rsidRPr="00375776">
              <w:rPr>
                <w:rFonts w:ascii="Arial" w:eastAsia="Calibri" w:hAnsi="Arial" w:cs="Arial"/>
                <w:i/>
                <w:iCs/>
                <w:kern w:val="0"/>
                <w:sz w:val="24"/>
                <w:szCs w:val="24"/>
              </w:rPr>
              <w:lastRenderedPageBreak/>
              <w:t>Būdingasis kiaurymės matmuo</w:t>
            </w:r>
          </w:p>
          <w:p w14:paraId="1C006932" w14:textId="77777777" w:rsidR="00375776" w:rsidRPr="00375776" w:rsidRDefault="00375776" w:rsidP="00375776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</w:rPr>
            </w:pPr>
            <w:r w:rsidRPr="00375776">
              <w:rPr>
                <w:rFonts w:ascii="Arial" w:eastAsia="Calibri" w:hAnsi="Arial" w:cs="Arial"/>
                <w:i/>
                <w:iCs/>
                <w:kern w:val="0"/>
                <w:sz w:val="24"/>
                <w:szCs w:val="24"/>
              </w:rPr>
              <w:t>ilgis x</w:t>
            </w:r>
          </w:p>
          <w:p w14:paraId="56D05EA8" w14:textId="77777777" w:rsidR="00375776" w:rsidRPr="00375776" w:rsidRDefault="00375776" w:rsidP="00375776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</w:rPr>
            </w:pPr>
            <w:r w:rsidRPr="00375776">
              <w:rPr>
                <w:rFonts w:ascii="Arial" w:eastAsia="Calibri" w:hAnsi="Arial" w:cs="Arial"/>
                <w:i/>
                <w:iCs/>
                <w:kern w:val="0"/>
                <w:sz w:val="24"/>
                <w:szCs w:val="24"/>
              </w:rPr>
              <w:t>plotis y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C356A" w14:textId="77777777" w:rsidR="00375776" w:rsidRPr="00375776" w:rsidRDefault="00375776" w:rsidP="00375776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</w:rPr>
            </w:pPr>
            <w:r w:rsidRPr="00375776">
              <w:rPr>
                <w:rFonts w:ascii="Arial" w:eastAsia="Calibri" w:hAnsi="Arial" w:cs="Arial"/>
                <w:i/>
                <w:iCs/>
                <w:kern w:val="0"/>
                <w:sz w:val="24"/>
                <w:szCs w:val="24"/>
              </w:rPr>
              <w:t>-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9E9F1" w14:textId="77777777" w:rsidR="00375776" w:rsidRPr="00375776" w:rsidRDefault="00375776" w:rsidP="00375776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</w:rPr>
            </w:pPr>
            <w:r w:rsidRPr="00375776">
              <w:rPr>
                <w:rFonts w:ascii="Arial" w:eastAsia="Calibri" w:hAnsi="Arial" w:cs="Arial"/>
                <w:i/>
                <w:iCs/>
                <w:kern w:val="0"/>
                <w:sz w:val="24"/>
                <w:szCs w:val="24"/>
              </w:rPr>
              <w:t> </w:t>
            </w:r>
          </w:p>
          <w:p w14:paraId="46009280" w14:textId="77777777" w:rsidR="00375776" w:rsidRPr="00375776" w:rsidRDefault="00375776" w:rsidP="00375776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</w:rPr>
            </w:pPr>
            <w:r w:rsidRPr="00375776">
              <w:rPr>
                <w:rFonts w:ascii="Arial" w:eastAsia="Calibri" w:hAnsi="Arial" w:cs="Arial"/>
                <w:i/>
                <w:iCs/>
                <w:kern w:val="0"/>
                <w:sz w:val="24"/>
                <w:szCs w:val="24"/>
              </w:rPr>
              <w:t>30≤ x &lt;40 mm</w:t>
            </w:r>
          </w:p>
          <w:p w14:paraId="1F010B13" w14:textId="77777777" w:rsidR="00375776" w:rsidRPr="00375776" w:rsidRDefault="00375776" w:rsidP="00375776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</w:rPr>
            </w:pPr>
            <w:r w:rsidRPr="00375776">
              <w:rPr>
                <w:rFonts w:ascii="Arial" w:eastAsia="Calibri" w:hAnsi="Arial" w:cs="Arial"/>
                <w:i/>
                <w:iCs/>
                <w:kern w:val="0"/>
                <w:sz w:val="24"/>
                <w:szCs w:val="24"/>
              </w:rPr>
              <w:t>30≤ y &lt;40 mm</w:t>
            </w:r>
          </w:p>
        </w:tc>
      </w:tr>
      <w:tr w:rsidR="00375776" w:rsidRPr="00375776" w14:paraId="7A34799F" w14:textId="77777777" w:rsidTr="008E7157">
        <w:tc>
          <w:tcPr>
            <w:tcW w:w="16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10ECB" w14:textId="77777777" w:rsidR="00375776" w:rsidRPr="00375776" w:rsidRDefault="00375776" w:rsidP="00375776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</w:rPr>
            </w:pPr>
            <w:r w:rsidRPr="00375776">
              <w:rPr>
                <w:rFonts w:ascii="Arial" w:eastAsia="Calibri" w:hAnsi="Arial" w:cs="Arial"/>
                <w:i/>
                <w:iCs/>
                <w:kern w:val="0"/>
                <w:sz w:val="24"/>
                <w:szCs w:val="24"/>
              </w:rPr>
              <w:t>Stiklo pluošto lydymosi temperatūra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12BA2" w14:textId="77777777" w:rsidR="00375776" w:rsidRPr="00375776" w:rsidRDefault="00375776" w:rsidP="00375776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</w:rPr>
            </w:pPr>
            <w:r w:rsidRPr="00375776">
              <w:rPr>
                <w:rFonts w:ascii="Arial" w:eastAsia="Calibri" w:hAnsi="Arial" w:cs="Arial"/>
                <w:i/>
                <w:iCs/>
                <w:kern w:val="0"/>
                <w:sz w:val="24"/>
                <w:szCs w:val="24"/>
              </w:rPr>
              <w:t>-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3ADEE" w14:textId="77777777" w:rsidR="00375776" w:rsidRPr="00375776" w:rsidRDefault="00375776" w:rsidP="00375776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</w:rPr>
            </w:pPr>
            <w:r w:rsidRPr="00375776">
              <w:rPr>
                <w:rFonts w:ascii="Arial" w:eastAsia="Calibri" w:hAnsi="Arial" w:cs="Arial"/>
                <w:i/>
                <w:iCs/>
                <w:kern w:val="0"/>
                <w:sz w:val="24"/>
                <w:szCs w:val="24"/>
              </w:rPr>
              <w:t>≥ 850 ˚C</w:t>
            </w:r>
          </w:p>
        </w:tc>
      </w:tr>
      <w:tr w:rsidR="00375776" w:rsidRPr="00375776" w14:paraId="39CF3123" w14:textId="77777777" w:rsidTr="008E7157">
        <w:tc>
          <w:tcPr>
            <w:tcW w:w="16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AB3D5" w14:textId="77777777" w:rsidR="00375776" w:rsidRPr="00375776" w:rsidRDefault="00375776" w:rsidP="00375776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</w:rPr>
            </w:pPr>
            <w:r w:rsidRPr="00375776">
              <w:rPr>
                <w:rFonts w:ascii="Arial" w:eastAsia="Calibri" w:hAnsi="Arial" w:cs="Arial"/>
                <w:i/>
                <w:iCs/>
                <w:kern w:val="0"/>
                <w:sz w:val="24"/>
                <w:szCs w:val="24"/>
              </w:rPr>
              <w:t>Medžiagos žaliava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1E1F2" w14:textId="77777777" w:rsidR="00375776" w:rsidRPr="00375776" w:rsidRDefault="00375776" w:rsidP="00375776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</w:rPr>
            </w:pPr>
            <w:r w:rsidRPr="00375776">
              <w:rPr>
                <w:rFonts w:ascii="Arial" w:eastAsia="Calibri" w:hAnsi="Arial" w:cs="Arial"/>
                <w:i/>
                <w:iCs/>
                <w:kern w:val="0"/>
                <w:sz w:val="24"/>
                <w:szCs w:val="24"/>
              </w:rPr>
              <w:t>-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5EC82" w14:textId="77777777" w:rsidR="00375776" w:rsidRPr="00375776" w:rsidRDefault="00375776" w:rsidP="00375776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</w:rPr>
            </w:pPr>
            <w:r w:rsidRPr="00375776">
              <w:rPr>
                <w:rFonts w:ascii="Arial" w:eastAsia="Calibri" w:hAnsi="Arial" w:cs="Arial"/>
                <w:i/>
                <w:iCs/>
                <w:kern w:val="0"/>
                <w:sz w:val="24"/>
                <w:szCs w:val="24"/>
              </w:rPr>
              <w:t>Stiklo pluoštas</w:t>
            </w:r>
          </w:p>
        </w:tc>
      </w:tr>
      <w:tr w:rsidR="00375776" w:rsidRPr="00375776" w14:paraId="0B6D599C" w14:textId="77777777" w:rsidTr="008E7157">
        <w:tc>
          <w:tcPr>
            <w:tcW w:w="16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CD392" w14:textId="77777777" w:rsidR="00375776" w:rsidRPr="00375776" w:rsidRDefault="00375776" w:rsidP="00375776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</w:rPr>
            </w:pPr>
            <w:r w:rsidRPr="00375776">
              <w:rPr>
                <w:rFonts w:ascii="Arial" w:eastAsia="Calibri" w:hAnsi="Arial" w:cs="Arial"/>
                <w:i/>
                <w:iCs/>
                <w:kern w:val="0"/>
                <w:sz w:val="24"/>
                <w:szCs w:val="24"/>
              </w:rPr>
              <w:t>Papildomos savybės</w:t>
            </w:r>
          </w:p>
        </w:tc>
        <w:tc>
          <w:tcPr>
            <w:tcW w:w="331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D694D" w14:textId="77777777" w:rsidR="00375776" w:rsidRPr="00375776" w:rsidRDefault="00375776" w:rsidP="00375776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</w:rPr>
            </w:pPr>
            <w:proofErr w:type="spellStart"/>
            <w:r w:rsidRPr="00375776">
              <w:rPr>
                <w:rFonts w:ascii="Arial" w:eastAsia="Calibri" w:hAnsi="Arial" w:cs="Arial"/>
                <w:i/>
                <w:iCs/>
                <w:kern w:val="0"/>
                <w:sz w:val="24"/>
                <w:szCs w:val="24"/>
              </w:rPr>
              <w:t>Geokompozitas</w:t>
            </w:r>
            <w:proofErr w:type="spellEnd"/>
            <w:r w:rsidRPr="00375776">
              <w:rPr>
                <w:rFonts w:ascii="Arial" w:eastAsia="Calibri" w:hAnsi="Arial" w:cs="Arial"/>
                <w:i/>
                <w:iCs/>
                <w:kern w:val="0"/>
                <w:sz w:val="24"/>
                <w:szCs w:val="24"/>
              </w:rPr>
              <w:t xml:space="preserve"> turi būti sudarytas iš stiklo pluošto </w:t>
            </w:r>
            <w:proofErr w:type="spellStart"/>
            <w:r w:rsidRPr="00375776">
              <w:rPr>
                <w:rFonts w:ascii="Arial" w:eastAsia="Calibri" w:hAnsi="Arial" w:cs="Arial"/>
                <w:i/>
                <w:iCs/>
                <w:kern w:val="0"/>
                <w:sz w:val="24"/>
                <w:szCs w:val="24"/>
              </w:rPr>
              <w:t>geotinklo</w:t>
            </w:r>
            <w:proofErr w:type="spellEnd"/>
            <w:r w:rsidRPr="00375776">
              <w:rPr>
                <w:rFonts w:ascii="Arial" w:eastAsia="Calibri" w:hAnsi="Arial" w:cs="Arial"/>
                <w:i/>
                <w:iCs/>
                <w:kern w:val="0"/>
                <w:sz w:val="24"/>
                <w:szCs w:val="24"/>
              </w:rPr>
              <w:t>, kurio akutės yra užpildytos stiklo pluošto audiniu (32 g/m</w:t>
            </w:r>
            <w:r w:rsidRPr="00375776">
              <w:rPr>
                <w:rFonts w:ascii="Arial" w:eastAsia="Calibri" w:hAnsi="Arial" w:cs="Arial"/>
                <w:i/>
                <w:iCs/>
                <w:kern w:val="0"/>
                <w:sz w:val="24"/>
                <w:szCs w:val="24"/>
                <w:vertAlign w:val="superscript"/>
              </w:rPr>
              <w:t>2</w:t>
            </w:r>
            <w:r w:rsidRPr="00375776">
              <w:rPr>
                <w:rFonts w:ascii="Arial" w:eastAsia="Calibri" w:hAnsi="Arial" w:cs="Arial"/>
                <w:i/>
                <w:iCs/>
                <w:kern w:val="0"/>
                <w:sz w:val="24"/>
                <w:szCs w:val="24"/>
              </w:rPr>
              <w:t xml:space="preserve">). </w:t>
            </w:r>
            <w:proofErr w:type="spellStart"/>
            <w:r w:rsidRPr="00375776">
              <w:rPr>
                <w:rFonts w:ascii="Arial" w:eastAsia="Calibri" w:hAnsi="Arial" w:cs="Arial"/>
                <w:i/>
                <w:iCs/>
                <w:kern w:val="0"/>
                <w:sz w:val="24"/>
                <w:szCs w:val="24"/>
              </w:rPr>
              <w:t>Geokompozitas</w:t>
            </w:r>
            <w:proofErr w:type="spellEnd"/>
            <w:r w:rsidRPr="00375776">
              <w:rPr>
                <w:rFonts w:ascii="Arial" w:eastAsia="Calibri" w:hAnsi="Arial" w:cs="Arial"/>
                <w:i/>
                <w:iCs/>
                <w:kern w:val="0"/>
                <w:sz w:val="24"/>
                <w:szCs w:val="24"/>
              </w:rPr>
              <w:t xml:space="preserve"> turi būti impregnuotas bitumu.</w:t>
            </w:r>
          </w:p>
        </w:tc>
      </w:tr>
    </w:tbl>
    <w:p w14:paraId="612F7DB8" w14:textId="77777777" w:rsidR="00375776" w:rsidRPr="00375776" w:rsidRDefault="00375776" w:rsidP="00375776">
      <w:pPr>
        <w:tabs>
          <w:tab w:val="left" w:pos="1418"/>
          <w:tab w:val="left" w:pos="1843"/>
        </w:tabs>
        <w:spacing w:after="0" w:line="240" w:lineRule="auto"/>
        <w:ind w:right="-613"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28A9E01D" w14:textId="66403169" w:rsidR="00707987" w:rsidRPr="00707987" w:rsidRDefault="00180D98" w:rsidP="008E7157">
      <w:pPr>
        <w:pStyle w:val="Sraopastraipa"/>
        <w:numPr>
          <w:ilvl w:val="0"/>
          <w:numId w:val="1"/>
        </w:numPr>
        <w:tabs>
          <w:tab w:val="left" w:pos="1560"/>
        </w:tabs>
        <w:spacing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vadovaujantis </w:t>
      </w:r>
      <w:r w:rsidRPr="0037577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Viešųjų pirkimų įstatym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o 36 str. 6 d. ir bendrųjų pirkimo sąlygų 5.4 p. patikslina</w:t>
      </w:r>
      <w:r w:rsidR="001D3D1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="00707987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prie s</w:t>
      </w:r>
      <w:r w:rsidR="00707987" w:rsidRPr="00707987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pecialiųjų pirkimo sąlygų 4 pried</w:t>
      </w:r>
      <w:r w:rsidR="00707987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o </w:t>
      </w:r>
      <w:r w:rsidR="00707987" w:rsidRPr="00707987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„Techninė specifikacija“</w:t>
      </w:r>
      <w:r w:rsidR="00707987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pridėto techninio projekto </w:t>
      </w:r>
      <w:r w:rsidR="00707987" w:rsidRPr="00707987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Pasirengimo statybai ir statybos darbų organizavimo dali</w:t>
      </w:r>
      <w:r w:rsidR="00707987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es (</w:t>
      </w:r>
      <w:r w:rsidR="00707987" w:rsidRPr="00707987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UL-20-0226-TP-SO</w:t>
      </w:r>
      <w:r w:rsidR="00707987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) Statybos darbų organizavimo skyriaus </w:t>
      </w:r>
      <w:r w:rsidR="00707987" w:rsidRPr="00707987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3 lentelė</w:t>
      </w:r>
      <w:r w:rsidR="00707987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s</w:t>
      </w:r>
      <w:r w:rsidR="00707987" w:rsidRPr="00707987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="00707987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„</w:t>
      </w:r>
      <w:r w:rsidR="00707987" w:rsidRPr="00707987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Atliekos, atliekų tvarkymas</w:t>
      </w:r>
      <w:r w:rsidR="00707987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“ antroje eilutėje esančią informaciją ir informuoja, kad rangovui atliekant ardymo darbus, </w:t>
      </w:r>
      <w:r w:rsidR="00707987" w:rsidRPr="00707987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susidarę statybinės atliekos</w:t>
      </w:r>
      <w:r w:rsidR="00707987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-</w:t>
      </w:r>
      <w:r w:rsidR="00707987" w:rsidRPr="00707987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asfaltas, turės būti grąžinamas statytojui</w:t>
      </w:r>
      <w:r w:rsidR="00707987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;</w:t>
      </w:r>
    </w:p>
    <w:p w14:paraId="73E92E4B" w14:textId="394A0555" w:rsidR="00707987" w:rsidRDefault="00707987" w:rsidP="008E7157">
      <w:pPr>
        <w:pStyle w:val="Sraopastraipa"/>
        <w:numPr>
          <w:ilvl w:val="0"/>
          <w:numId w:val="1"/>
        </w:numPr>
        <w:tabs>
          <w:tab w:val="left" w:pos="1560"/>
        </w:tabs>
        <w:spacing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vadovaujantis </w:t>
      </w:r>
      <w:r w:rsidR="008E7157" w:rsidRPr="008E7157">
        <w:rPr>
          <w:rFonts w:ascii="Arial" w:hAnsi="Arial" w:cs="Arial"/>
          <w:sz w:val="24"/>
          <w:szCs w:val="24"/>
        </w:rPr>
        <w:t>Viešųjų pirkimų įstatymo 36 str. 5 d. ir 40 str. 1 d. bei komisijos bendr</w:t>
      </w:r>
      <w:r w:rsidR="008E7157">
        <w:rPr>
          <w:rFonts w:ascii="Arial" w:hAnsi="Arial" w:cs="Arial"/>
          <w:sz w:val="24"/>
          <w:szCs w:val="24"/>
        </w:rPr>
        <w:t xml:space="preserve">ųjų </w:t>
      </w:r>
      <w:r w:rsidR="008E7157" w:rsidRPr="008E7157">
        <w:rPr>
          <w:rFonts w:ascii="Arial" w:hAnsi="Arial" w:cs="Arial"/>
          <w:sz w:val="24"/>
          <w:szCs w:val="24"/>
        </w:rPr>
        <w:t>pirkimo sąlyg</w:t>
      </w:r>
      <w:r w:rsidR="008E7157">
        <w:rPr>
          <w:rFonts w:ascii="Arial" w:hAnsi="Arial" w:cs="Arial"/>
          <w:sz w:val="24"/>
          <w:szCs w:val="24"/>
        </w:rPr>
        <w:t>ų</w:t>
      </w:r>
      <w:r w:rsidR="008E7157" w:rsidRPr="008E7157">
        <w:rPr>
          <w:rFonts w:ascii="Arial" w:hAnsi="Arial" w:cs="Arial"/>
          <w:sz w:val="24"/>
          <w:szCs w:val="24"/>
        </w:rPr>
        <w:t xml:space="preserve"> 5.3 p., nutarė nukelti pasiūlymų pateikimo terminą iki </w:t>
      </w:r>
      <w:r w:rsidR="008E7157">
        <w:rPr>
          <w:rFonts w:ascii="Arial" w:hAnsi="Arial" w:cs="Arial"/>
          <w:sz w:val="24"/>
          <w:szCs w:val="24"/>
        </w:rPr>
        <w:t>CVP IS</w:t>
      </w:r>
      <w:r w:rsidR="008E7157" w:rsidRPr="008E7157">
        <w:rPr>
          <w:rFonts w:ascii="Arial" w:hAnsi="Arial" w:cs="Arial"/>
          <w:sz w:val="24"/>
          <w:szCs w:val="24"/>
        </w:rPr>
        <w:t xml:space="preserve"> nurodyto termino.</w:t>
      </w:r>
    </w:p>
    <w:p w14:paraId="5AE7A19F" w14:textId="77777777" w:rsidR="008E7157" w:rsidRDefault="008E7157" w:rsidP="008E71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7272C5" w14:textId="1ADC8B78" w:rsidR="008E7157" w:rsidRPr="008E7157" w:rsidRDefault="008E7157" w:rsidP="008E715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Viešųjų pirkimų skyriaus vedėja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Jurgita Kazilionienė</w:t>
      </w:r>
    </w:p>
    <w:sectPr w:rsidR="008E7157" w:rsidRPr="008E715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24D24"/>
    <w:multiLevelType w:val="hybridMultilevel"/>
    <w:tmpl w:val="18A0F172"/>
    <w:lvl w:ilvl="0" w:tplc="6238881C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356544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776"/>
    <w:rsid w:val="00180D98"/>
    <w:rsid w:val="001D3D1B"/>
    <w:rsid w:val="00274F8A"/>
    <w:rsid w:val="002C7F2B"/>
    <w:rsid w:val="00375776"/>
    <w:rsid w:val="003A3B54"/>
    <w:rsid w:val="004B06C3"/>
    <w:rsid w:val="00707987"/>
    <w:rsid w:val="008E7157"/>
    <w:rsid w:val="0092174A"/>
    <w:rsid w:val="00B001E9"/>
    <w:rsid w:val="00B93366"/>
    <w:rsid w:val="00D3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97E9"/>
  <w15:chartTrackingRefBased/>
  <w15:docId w15:val="{AEAD76C8-9E13-4B14-B72C-672F5B88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5776"/>
  </w:style>
  <w:style w:type="paragraph" w:styleId="Antrat1">
    <w:name w:val="heading 1"/>
    <w:basedOn w:val="prastasis"/>
    <w:next w:val="prastasis"/>
    <w:link w:val="Antrat1Diagrama"/>
    <w:uiPriority w:val="9"/>
    <w:qFormat/>
    <w:rsid w:val="00375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75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757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75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757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75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75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75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75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757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757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757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7577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7577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7577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7577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7577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7577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75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75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75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75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75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7577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7577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7577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757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7577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757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3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2112</Words>
  <Characters>1204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Jurgita Kazilionienė</cp:lastModifiedBy>
  <cp:revision>3</cp:revision>
  <dcterms:created xsi:type="dcterms:W3CDTF">2025-03-05T11:49:00Z</dcterms:created>
  <dcterms:modified xsi:type="dcterms:W3CDTF">2025-03-05T11:49:00Z</dcterms:modified>
</cp:coreProperties>
</file>