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LONormal"/>
        <w:tabs>
          <w:tab w:val="clear" w:pos="720"/>
          <w:tab w:val="left" w:pos="4781" w:leader="none"/>
        </w:tabs>
        <w:spacing w:before="0" w:after="0"/>
        <w:ind w:left="4254"/>
        <w:rPr>
          <w:b/>
        </w:rPr>
      </w:pPr>
      <w:r>
        <w:rPr>
          <w:b/>
        </w:rPr>
      </w:r>
    </w:p>
    <w:p>
      <w:pPr>
        <w:pStyle w:val="SLONormal"/>
        <w:spacing w:before="0" w:after="0"/>
        <w:jc w:val="right"/>
        <w:rPr>
          <w:rFonts w:ascii="Arial" w:hAnsi="Arial" w:cs="Arial"/>
          <w:lang w:val="lt-LT"/>
        </w:rPr>
      </w:pPr>
      <w:r>
        <w:rPr>
          <w:rFonts w:cs="Arial" w:ascii="Arial" w:hAnsi="Arial"/>
          <w:lang w:val="lt-LT"/>
        </w:rPr>
        <w:t>Pirkimo sąlygų 2 priedas</w:t>
      </w:r>
    </w:p>
    <w:p>
      <w:pPr>
        <w:pStyle w:val="SLONormal"/>
        <w:spacing w:before="0" w:after="0"/>
        <w:jc w:val="right"/>
        <w:rPr>
          <w:rFonts w:ascii="Arial" w:hAnsi="Arial" w:cs="Arial"/>
          <w:lang w:val="lt-LT"/>
        </w:rPr>
      </w:pPr>
      <w:r>
        <w:rPr>
          <w:rFonts w:cs="Arial" w:ascii="Arial" w:hAnsi="Arial"/>
          <w:lang w:val="lt-LT"/>
        </w:rPr>
        <w:t xml:space="preserve"> „</w:t>
      </w:r>
      <w:r>
        <w:rPr>
          <w:rFonts w:cs="Arial" w:ascii="Arial" w:hAnsi="Arial"/>
          <w:lang w:val="lt-LT"/>
        </w:rPr>
        <w:t>Techninė specifikacija“</w:t>
      </w:r>
    </w:p>
    <w:p>
      <w:pPr>
        <w:pStyle w:val="SLONormal"/>
        <w:tabs>
          <w:tab w:val="clear" w:pos="720"/>
          <w:tab w:val="left" w:pos="4781" w:leader="none"/>
        </w:tabs>
        <w:spacing w:before="0" w:after="0"/>
        <w:ind w:left="4254"/>
        <w:rPr>
          <w:b/>
        </w:rPr>
      </w:pPr>
      <w:r>
        <w:rPr>
          <w:b/>
        </w:rPr>
      </w:r>
    </w:p>
    <w:p>
      <w:pPr>
        <w:pStyle w:val="SLONormal"/>
        <w:tabs>
          <w:tab w:val="clear" w:pos="720"/>
          <w:tab w:val="left" w:pos="4781" w:leader="none"/>
        </w:tabs>
        <w:spacing w:before="0" w:after="0"/>
        <w:ind w:left="-426"/>
        <w:jc w:val="center"/>
        <w:rPr>
          <w:b/>
        </w:rPr>
      </w:pPr>
      <w:r>
        <w:rPr>
          <w:b/>
        </w:rPr>
        <w:t>STATINIO PROJEKTAVIMO TECHNINĖ SPECIFIKACIJA</w:t>
      </w:r>
    </w:p>
    <w:p>
      <w:pPr>
        <w:pStyle w:val="Normal"/>
        <w:spacing w:before="120" w:after="120"/>
        <w:jc w:val="center"/>
        <w:rPr>
          <w:b/>
        </w:rPr>
      </w:pPr>
      <w:r>
        <w:rPr>
          <w:b/>
          <w:bCs/>
          <w:kern w:val="2"/>
        </w:rPr>
        <w:t>(</w:t>
      </w:r>
      <w:r>
        <w:rPr>
          <w:b/>
        </w:rPr>
        <w:t>TECHNINĖ UŽDUOTIS</w:t>
      </w:r>
      <w:r>
        <w:rPr>
          <w:b/>
          <w:bCs/>
          <w:kern w:val="2"/>
        </w:rPr>
        <w:t>)</w:t>
      </w:r>
    </w:p>
    <w:p>
      <w:pPr>
        <w:pStyle w:val="Normal"/>
        <w:jc w:val="both"/>
        <w:rPr/>
      </w:pPr>
      <w:r>
        <w:rPr/>
      </w:r>
    </w:p>
    <w:tbl>
      <w:tblPr>
        <w:tblW w:w="9924" w:type="dxa"/>
        <w:jc w:val="left"/>
        <w:tblInd w:w="-431" w:type="dxa"/>
        <w:tblLayout w:type="fixed"/>
        <w:tblCellMar>
          <w:top w:w="0" w:type="dxa"/>
          <w:left w:w="108" w:type="dxa"/>
          <w:bottom w:w="0" w:type="dxa"/>
          <w:right w:w="108" w:type="dxa"/>
        </w:tblCellMar>
        <w:tblLook w:firstRow="1" w:noVBand="0" w:lastRow="1" w:firstColumn="1" w:lastColumn="1" w:noHBand="0" w:val="01e0"/>
      </w:tblPr>
      <w:tblGrid>
        <w:gridCol w:w="827"/>
        <w:gridCol w:w="2400"/>
        <w:gridCol w:w="6697"/>
      </w:tblGrid>
      <w:tr>
        <w:trPr>
          <w:tblHeader w:val="true"/>
        </w:trPr>
        <w:tc>
          <w:tcPr>
            <w:tcW w:w="82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both"/>
              <w:rPr>
                <w:rFonts w:eastAsia="Times New Roman"/>
                <w:b/>
                <w:kern w:val="2"/>
              </w:rPr>
            </w:pPr>
            <w:r>
              <w:rPr>
                <w:b/>
              </w:rPr>
              <w:t>Eil. Nr.</w:t>
            </w:r>
          </w:p>
        </w:tc>
        <w:tc>
          <w:tcPr>
            <w:tcW w:w="2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b/>
              </w:rPr>
            </w:pPr>
            <w:r>
              <w:rPr>
                <w:b/>
              </w:rPr>
              <w:t>Pavadinimas</w:t>
            </w:r>
          </w:p>
        </w:tc>
        <w:tc>
          <w:tcPr>
            <w:tcW w:w="669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b/>
              </w:rPr>
            </w:pPr>
            <w:r>
              <w:rPr>
                <w:b/>
              </w:rPr>
              <w:t xml:space="preserve">Reikalavimai </w:t>
            </w:r>
          </w:p>
        </w:tc>
      </w:tr>
      <w:tr>
        <w:trPr/>
        <w:tc>
          <w:tcPr>
            <w:tcW w:w="992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rPr>
                <w:b/>
                <w:u w:val="single"/>
              </w:rPr>
            </w:pPr>
            <w:r>
              <w:rPr>
                <w:b/>
              </w:rPr>
              <w:t>I. Bendra informacija apie pirkimo objektą</w:t>
            </w:r>
          </w:p>
        </w:tc>
      </w:tr>
      <w:tr>
        <w:trPr/>
        <w:tc>
          <w:tcPr>
            <w:tcW w:w="82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t>1.</w:t>
            </w:r>
          </w:p>
        </w:tc>
        <w:tc>
          <w:tcPr>
            <w:tcW w:w="2400" w:type="dxa"/>
            <w:tcBorders>
              <w:top w:val="single" w:sz="4" w:space="0" w:color="000000"/>
              <w:left w:val="single" w:sz="4" w:space="0" w:color="000000"/>
              <w:bottom w:val="single" w:sz="4" w:space="0" w:color="000000"/>
              <w:right w:val="single" w:sz="4" w:space="0" w:color="000000"/>
            </w:tcBorders>
          </w:tcPr>
          <w:p>
            <w:pPr>
              <w:pStyle w:val="Normal"/>
              <w:spacing w:lineRule="auto" w:line="276"/>
              <w:rPr>
                <w:u w:val="single"/>
              </w:rPr>
            </w:pPr>
            <w:r>
              <w:rPr/>
              <w:t>Statytojas (Užsakovas)</w:t>
            </w:r>
          </w:p>
        </w:tc>
        <w:tc>
          <w:tcPr>
            <w:tcW w:w="6697" w:type="dxa"/>
            <w:tcBorders>
              <w:top w:val="single" w:sz="4" w:space="0" w:color="000000"/>
              <w:left w:val="single" w:sz="4" w:space="0" w:color="000000"/>
              <w:bottom w:val="single" w:sz="4" w:space="0" w:color="000000"/>
              <w:right w:val="single" w:sz="4" w:space="0" w:color="000000"/>
            </w:tcBorders>
          </w:tcPr>
          <w:p>
            <w:pPr>
              <w:pStyle w:val="Normal"/>
              <w:suppressAutoHyphens w:val="false"/>
              <w:jc w:val="both"/>
              <w:rPr>
                <w:iCs/>
                <w:kern w:val="0"/>
                <w:lang w:eastAsia="lt-LT"/>
              </w:rPr>
            </w:pPr>
            <w:r>
              <w:rPr>
                <w:iCs/>
                <w:kern w:val="0"/>
                <w:lang w:eastAsia="lt-LT"/>
              </w:rPr>
              <w:t xml:space="preserve">Joniškio rajono savivaldybės administracija, </w:t>
            </w:r>
            <w:r>
              <w:rPr/>
              <w:t>į. k. 288712070</w:t>
            </w:r>
          </w:p>
          <w:p>
            <w:pPr>
              <w:pStyle w:val="Normal"/>
              <w:suppressAutoHyphens w:val="false"/>
              <w:jc w:val="both"/>
              <w:rPr>
                <w:i/>
                <w:i/>
                <w:iCs/>
                <w:kern w:val="0"/>
                <w:lang w:eastAsia="lt-LT"/>
              </w:rPr>
            </w:pPr>
            <w:r>
              <w:rPr>
                <w:i/>
                <w:iCs/>
                <w:kern w:val="0"/>
                <w:lang w:eastAsia="lt-LT"/>
              </w:rPr>
            </w:r>
          </w:p>
        </w:tc>
      </w:tr>
      <w:tr>
        <w:trPr/>
        <w:tc>
          <w:tcPr>
            <w:tcW w:w="82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t>2.</w:t>
            </w:r>
          </w:p>
        </w:tc>
        <w:tc>
          <w:tcPr>
            <w:tcW w:w="2400"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t xml:space="preserve">Pirkimo objektas </w:t>
            </w:r>
          </w:p>
        </w:tc>
        <w:tc>
          <w:tcPr>
            <w:tcW w:w="6697"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567" w:leader="none"/>
              </w:tabs>
              <w:jc w:val="both"/>
              <w:rPr/>
            </w:pPr>
            <w:r>
              <w:rPr>
                <w:iCs/>
                <w:lang w:eastAsia="lt-LT"/>
              </w:rPr>
              <w:t>Žagarės ozo teritorijos sutvarkymo ir pritaikymo lankytojams projektinių pasiūlymų ir</w:t>
            </w:r>
            <w:r>
              <w:rPr>
                <w:iCs/>
              </w:rPr>
              <w:t xml:space="preserve"> techninio darbo</w:t>
            </w:r>
            <w:r>
              <w:rPr/>
              <w:t xml:space="preserve"> projekto parengimo ir projekto vykdymo priežiūros paslaugos. </w:t>
            </w:r>
          </w:p>
          <w:p>
            <w:pPr>
              <w:pStyle w:val="Normal"/>
              <w:tabs>
                <w:tab w:val="clear" w:pos="720"/>
                <w:tab w:val="left" w:pos="567" w:leader="none"/>
              </w:tabs>
              <w:jc w:val="both"/>
              <w:rPr/>
            </w:pPr>
            <w:r>
              <w:rPr/>
              <w:t xml:space="preserve">Techninis darbo projektas rengiamas pagal MB „Altitudė“ parengtą Geologinių gamtos paveldo objektų - Žagarės ozo ir dolomito atodangos su buvusių karjerų teritorijomis sutvarkymo ir pritaikymo lankytojams koncepciją. </w:t>
            </w:r>
          </w:p>
          <w:p>
            <w:pPr>
              <w:pStyle w:val="Normal"/>
              <w:tabs>
                <w:tab w:val="clear" w:pos="720"/>
                <w:tab w:val="left" w:pos="567" w:leader="none"/>
              </w:tabs>
              <w:jc w:val="both"/>
              <w:rPr>
                <w:rFonts w:eastAsia="CIDFont+F1"/>
                <w:color w:val="000000"/>
              </w:rPr>
            </w:pPr>
            <w:r>
              <w:rPr>
                <w:rFonts w:eastAsia="CIDFont+F1"/>
                <w:color w:val="000000"/>
              </w:rPr>
              <w:t>Siekiant unikalų gamtos objektą pritaikyti lankymui būtina įrengti:</w:t>
            </w:r>
          </w:p>
          <w:p>
            <w:pPr>
              <w:pStyle w:val="ListParagraph"/>
              <w:numPr>
                <w:ilvl w:val="0"/>
                <w:numId w:val="5"/>
              </w:numPr>
              <w:tabs>
                <w:tab w:val="clear" w:pos="720"/>
                <w:tab w:val="left" w:pos="567" w:leader="none"/>
              </w:tabs>
              <w:spacing w:lineRule="auto" w:line="240" w:before="0" w:after="0"/>
              <w:ind w:hanging="0" w:left="62"/>
              <w:contextualSpacing/>
              <w:rPr>
                <w:rFonts w:ascii="Times New Roman" w:hAnsi="Times New Roman" w:eastAsia="CIDFont+F1" w:cs="Times New Roman"/>
                <w:sz w:val="24"/>
                <w:szCs w:val="24"/>
              </w:rPr>
            </w:pPr>
            <w:r>
              <w:rPr>
                <w:rFonts w:eastAsia="CIDFont+F1" w:cs="Times New Roman" w:ascii="Times New Roman" w:hAnsi="Times New Roman"/>
                <w:b/>
                <w:bCs/>
                <w:i/>
                <w:iCs/>
                <w:sz w:val="24"/>
                <w:szCs w:val="24"/>
              </w:rPr>
              <w:t>Pėsčiųjų takas link Žagarės</w:t>
            </w:r>
            <w:r>
              <w:rPr>
                <w:rFonts w:eastAsia="CIDFont+F1" w:cs="Times New Roman" w:ascii="Times New Roman" w:hAnsi="Times New Roman"/>
                <w:sz w:val="24"/>
                <w:szCs w:val="24"/>
              </w:rPr>
              <w:t xml:space="preserve"> (</w:t>
            </w:r>
            <w:r>
              <w:rPr>
                <w:rFonts w:cs="Times New Roman" w:ascii="Times New Roman" w:hAnsi="Times New Roman"/>
                <w:sz w:val="24"/>
                <w:szCs w:val="24"/>
              </w:rPr>
              <w:t xml:space="preserve">naujas ir saugus takas (ilgis apie1230 m), vedantis nuo Želgaičio tvenkinio rekreacinės teritorijos link Žagarės miestelio, sukuria galimybę saugiai, aplenkiant magistralinį kelią pasiekti Žagarės ozą, aplankyti palei Švėtės upę išsidėsčiusius lankomus kultūros ir gamtos paveldo objektus, papildo turistinius maršrutus ir sukuria žiedinius maršrutus. Takas įrengiamas vadovaujantis universalaus dizaino principais, patogus tiek sudėtingiau judantiems žmonėms, tiek besinaudojantiems dviračiais, paspirtukais ir kt. Palei taką įrengiamos gamtos pažinimo stotelės su informaciniais stendais). </w:t>
            </w:r>
            <w:r>
              <w:rPr>
                <w:rFonts w:cs="Times New Roman" w:ascii="Times New Roman" w:hAnsi="Times New Roman"/>
                <w:b/>
                <w:bCs/>
                <w:iCs/>
                <w:sz w:val="24"/>
                <w:szCs w:val="24"/>
              </w:rPr>
              <w:t>Projektuojams pėsčiųjų takas patenka į nekilnojamųjų kultūros vertybių  teritoriją (jų apsaugos zoną)</w:t>
            </w:r>
            <w:r>
              <w:rPr>
                <w:rFonts w:cs="Times New Roman" w:ascii="Times New Roman" w:hAnsi="Times New Roman"/>
                <w:sz w:val="24"/>
                <w:szCs w:val="24"/>
              </w:rPr>
              <w:t xml:space="preserve">; </w:t>
            </w:r>
          </w:p>
          <w:p>
            <w:pPr>
              <w:pStyle w:val="ListParagraph"/>
              <w:numPr>
                <w:ilvl w:val="0"/>
                <w:numId w:val="5"/>
              </w:numPr>
              <w:tabs>
                <w:tab w:val="clear" w:pos="720"/>
                <w:tab w:val="left" w:pos="567" w:leader="none"/>
              </w:tabs>
              <w:spacing w:lineRule="auto" w:line="240" w:before="0" w:after="0"/>
              <w:ind w:hanging="0" w:left="62"/>
              <w:contextualSpacing/>
              <w:rPr>
                <w:rFonts w:ascii="Times New Roman" w:hAnsi="Times New Roman" w:eastAsia="CIDFont+F1" w:cs="Times New Roman"/>
                <w:sz w:val="24"/>
                <w:szCs w:val="24"/>
              </w:rPr>
            </w:pPr>
            <w:r>
              <w:rPr>
                <w:rFonts w:eastAsia="CIDFont+F1" w:cs="Times New Roman" w:ascii="Times New Roman" w:hAnsi="Times New Roman"/>
                <w:b/>
                <w:bCs/>
                <w:i/>
                <w:iCs/>
                <w:sz w:val="24"/>
                <w:szCs w:val="24"/>
              </w:rPr>
              <w:t>Apžvalgos aikštelė</w:t>
            </w:r>
            <w:r>
              <w:rPr>
                <w:rFonts w:eastAsia="CIDFont+F1" w:cs="Times New Roman" w:ascii="Times New Roman" w:hAnsi="Times New Roman"/>
                <w:sz w:val="24"/>
                <w:szCs w:val="24"/>
              </w:rPr>
              <w:t xml:space="preserve"> (</w:t>
            </w:r>
            <w:r>
              <w:rPr>
                <w:rFonts w:cs="Times New Roman" w:ascii="Times New Roman" w:hAnsi="Times New Roman"/>
                <w:sz w:val="24"/>
                <w:szCs w:val="24"/>
              </w:rPr>
              <w:t>ažūrinė, formuojama “balkono” principu, apžvalgos aikštelė. Konstrukcija įrengiama tarp medžių kamienų Ozo šiaurės rytų šlaite);</w:t>
            </w:r>
          </w:p>
          <w:p>
            <w:pPr>
              <w:pStyle w:val="ListParagraph"/>
              <w:numPr>
                <w:ilvl w:val="0"/>
                <w:numId w:val="5"/>
              </w:numPr>
              <w:tabs>
                <w:tab w:val="clear" w:pos="720"/>
                <w:tab w:val="left" w:pos="567" w:leader="none"/>
              </w:tabs>
              <w:spacing w:lineRule="auto" w:line="240" w:before="0" w:after="0"/>
              <w:ind w:firstLine="62" w:left="0"/>
              <w:contextualSpacing/>
              <w:rPr>
                <w:rFonts w:ascii="Times New Roman" w:hAnsi="Times New Roman" w:eastAsia="CIDFont+F1" w:cs="Times New Roman"/>
                <w:sz w:val="24"/>
                <w:szCs w:val="24"/>
              </w:rPr>
            </w:pPr>
            <w:r>
              <w:rPr>
                <w:rFonts w:cs="Times New Roman" w:ascii="Times New Roman" w:hAnsi="Times New Roman"/>
                <w:b/>
                <w:bCs/>
                <w:i/>
                <w:iCs/>
                <w:sz w:val="24"/>
                <w:szCs w:val="24"/>
              </w:rPr>
              <w:t>Rekreacinė aikštelė</w:t>
            </w:r>
            <w:r>
              <w:rPr>
                <w:rFonts w:cs="Times New Roman" w:ascii="Times New Roman" w:hAnsi="Times New Roman"/>
                <w:sz w:val="24"/>
                <w:szCs w:val="24"/>
              </w:rPr>
              <w:t xml:space="preserve"> (rekreacinė aikštelė perneša vandens skulptūrų pagrindo motyvą ant sausumos, įsilieja į aplinką kaip funkcionalūs skulptūriniai objektai, vieta poilsiui);</w:t>
            </w:r>
          </w:p>
          <w:p>
            <w:pPr>
              <w:pStyle w:val="ListParagraph"/>
              <w:numPr>
                <w:ilvl w:val="0"/>
                <w:numId w:val="5"/>
              </w:numPr>
              <w:tabs>
                <w:tab w:val="clear" w:pos="720"/>
                <w:tab w:val="left" w:pos="567" w:leader="none"/>
              </w:tabs>
              <w:spacing w:lineRule="auto" w:line="240" w:before="0" w:after="0"/>
              <w:ind w:firstLine="62" w:left="0"/>
              <w:contextualSpacing/>
              <w:rPr>
                <w:rFonts w:ascii="Times New Roman" w:hAnsi="Times New Roman" w:eastAsia="CIDFont+F1" w:cs="Times New Roman"/>
                <w:sz w:val="24"/>
                <w:szCs w:val="24"/>
              </w:rPr>
            </w:pPr>
            <w:r>
              <w:rPr>
                <w:rFonts w:eastAsia="CIDFont+F1" w:cs="Times New Roman" w:ascii="Times New Roman" w:hAnsi="Times New Roman"/>
                <w:b/>
                <w:bCs/>
                <w:i/>
                <w:iCs/>
                <w:sz w:val="24"/>
                <w:szCs w:val="24"/>
              </w:rPr>
              <w:t>Paviljonas</w:t>
            </w:r>
            <w:r>
              <w:rPr>
                <w:rFonts w:eastAsia="CIDFont+F1" w:cs="Times New Roman" w:ascii="Times New Roman" w:hAnsi="Times New Roman"/>
                <w:sz w:val="24"/>
                <w:szCs w:val="24"/>
              </w:rPr>
              <w:t xml:space="preserve"> (</w:t>
            </w:r>
            <w:r>
              <w:rPr>
                <w:rFonts w:cs="Times New Roman" w:ascii="Times New Roman" w:hAnsi="Times New Roman"/>
                <w:sz w:val="24"/>
                <w:szCs w:val="24"/>
              </w:rPr>
              <w:t>organiškos formos su stogo terasa objekto stebėjimui bei vidinėmis patalpomis)</w:t>
            </w:r>
            <w:r>
              <w:rPr/>
              <w:t>;</w:t>
            </w:r>
          </w:p>
          <w:p>
            <w:pPr>
              <w:pStyle w:val="ListParagraph"/>
              <w:numPr>
                <w:ilvl w:val="0"/>
                <w:numId w:val="5"/>
              </w:numPr>
              <w:tabs>
                <w:tab w:val="clear" w:pos="720"/>
                <w:tab w:val="left" w:pos="567" w:leader="none"/>
              </w:tabs>
              <w:spacing w:lineRule="auto" w:line="240" w:before="0" w:after="0"/>
              <w:ind w:firstLine="62" w:left="0"/>
              <w:contextualSpacing/>
              <w:rPr>
                <w:rFonts w:ascii="Times New Roman" w:hAnsi="Times New Roman" w:eastAsia="CIDFont+F1" w:cs="Times New Roman"/>
                <w:sz w:val="24"/>
                <w:szCs w:val="24"/>
              </w:rPr>
            </w:pPr>
            <w:r>
              <w:rPr>
                <w:rFonts w:eastAsia="CIDFont+F1" w:cs="Times New Roman" w:ascii="Times New Roman" w:hAnsi="Times New Roman"/>
                <w:b/>
                <w:bCs/>
                <w:i/>
                <w:iCs/>
                <w:sz w:val="24"/>
                <w:szCs w:val="24"/>
              </w:rPr>
              <w:t xml:space="preserve">Maudykla </w:t>
            </w:r>
            <w:r>
              <w:rPr>
                <w:rFonts w:eastAsia="CIDFont+F1" w:cs="Times New Roman" w:ascii="Times New Roman" w:hAnsi="Times New Roman"/>
                <w:sz w:val="24"/>
                <w:szCs w:val="24"/>
              </w:rPr>
              <w:t>(</w:t>
            </w:r>
            <w:r>
              <w:rPr>
                <w:rFonts w:cs="Times New Roman" w:ascii="Times New Roman" w:hAnsi="Times New Roman"/>
                <w:sz w:val="24"/>
                <w:szCs w:val="24"/>
              </w:rPr>
              <w:t>skirtingų lygių ant pontoninės sistemos, įrengiama vandenyje);</w:t>
            </w:r>
          </w:p>
          <w:p>
            <w:pPr>
              <w:pStyle w:val="ListParagraph"/>
              <w:numPr>
                <w:ilvl w:val="0"/>
                <w:numId w:val="5"/>
              </w:numPr>
              <w:tabs>
                <w:tab w:val="clear" w:pos="720"/>
                <w:tab w:val="left" w:pos="567" w:leader="none"/>
              </w:tabs>
              <w:spacing w:lineRule="auto" w:line="240" w:before="0" w:after="0"/>
              <w:ind w:firstLine="62" w:left="0"/>
              <w:contextualSpacing/>
              <w:rPr>
                <w:rFonts w:ascii="Times New Roman" w:hAnsi="Times New Roman" w:eastAsia="CIDFont+F1" w:cs="Times New Roman"/>
                <w:sz w:val="24"/>
                <w:szCs w:val="24"/>
              </w:rPr>
            </w:pPr>
            <w:r>
              <w:rPr>
                <w:rFonts w:cs="Times New Roman" w:ascii="Times New Roman" w:hAnsi="Times New Roman"/>
                <w:b/>
                <w:bCs/>
                <w:i/>
                <w:iCs/>
                <w:sz w:val="24"/>
                <w:szCs w:val="24"/>
              </w:rPr>
              <w:t>Malūno griuvėsių kaskados</w:t>
            </w:r>
            <w:r>
              <w:rPr>
                <w:rFonts w:cs="Times New Roman" w:ascii="Times New Roman" w:hAnsi="Times New Roman"/>
                <w:sz w:val="24"/>
                <w:szCs w:val="24"/>
              </w:rPr>
              <w:t xml:space="preserve"> (eksponuojami išlikę malūno griuvėsiai, juose įrengiamos terasos, praėjimai, nusileidimai prie vandens. Nuo malūno užtvankos įrengiami metaliniai latakai su tenkančiu ir žemyn krintančiu vandeniu taip sukuriant kaskadas, kuriomis vasaros metu gali mėgauti drąsiausi lankytojai nusileidę į žemiausią terasų lygį); </w:t>
            </w:r>
          </w:p>
          <w:p>
            <w:pPr>
              <w:pStyle w:val="ListParagraph"/>
              <w:numPr>
                <w:ilvl w:val="0"/>
                <w:numId w:val="5"/>
              </w:numPr>
              <w:tabs>
                <w:tab w:val="clear" w:pos="720"/>
                <w:tab w:val="left" w:pos="567" w:leader="none"/>
              </w:tabs>
              <w:spacing w:lineRule="auto" w:line="240" w:before="0" w:after="0"/>
              <w:ind w:firstLine="62" w:left="0"/>
              <w:contextualSpacing/>
              <w:rPr>
                <w:rFonts w:ascii="Times New Roman" w:hAnsi="Times New Roman" w:eastAsia="CIDFont+F1" w:cs="Times New Roman"/>
                <w:sz w:val="24"/>
                <w:szCs w:val="24"/>
              </w:rPr>
            </w:pPr>
            <w:r>
              <w:rPr>
                <w:rFonts w:eastAsia="CIDFont+F1" w:cs="Times New Roman" w:ascii="Times New Roman" w:hAnsi="Times New Roman"/>
                <w:b/>
                <w:bCs/>
                <w:i/>
                <w:iCs/>
                <w:sz w:val="24"/>
                <w:szCs w:val="24"/>
              </w:rPr>
              <w:t>Mažosios architektūros elementai</w:t>
            </w:r>
            <w:r>
              <w:rPr>
                <w:rFonts w:eastAsia="CIDFont+F1" w:cs="Times New Roman" w:ascii="Times New Roman" w:hAnsi="Times New Roman"/>
                <w:sz w:val="24"/>
                <w:szCs w:val="24"/>
              </w:rPr>
              <w:t xml:space="preserve"> (suolai, stendai, vandens skulptūros (</w:t>
            </w:r>
            <w:r>
              <w:rPr>
                <w:rFonts w:cs="Times New Roman" w:ascii="Times New Roman" w:hAnsi="Times New Roman"/>
                <w:sz w:val="24"/>
                <w:szCs w:val="24"/>
              </w:rPr>
              <w:t>vandens skulptūrų pagrindai gali būti grupuojami ir pritaikyti skirtingoms paskirtims: talpinti laikinas menines instaliacijas, gali veikti kaip mikro salos, į kurias gali išsilaipinti vandens dviračiais ar valtelėmis priplaukę lankytojai</w:t>
            </w:r>
            <w:r>
              <w:rPr>
                <w:rFonts w:eastAsia="CIDFont+F1" w:cs="Times New Roman" w:ascii="Times New Roman" w:hAnsi="Times New Roman"/>
                <w:sz w:val="24"/>
                <w:szCs w:val="24"/>
              </w:rPr>
              <w:t>);</w:t>
            </w:r>
          </w:p>
          <w:p>
            <w:pPr>
              <w:pStyle w:val="ListParagraph"/>
              <w:numPr>
                <w:ilvl w:val="0"/>
                <w:numId w:val="5"/>
              </w:numPr>
              <w:tabs>
                <w:tab w:val="clear" w:pos="720"/>
                <w:tab w:val="left" w:pos="567" w:leader="none"/>
              </w:tabs>
              <w:spacing w:lineRule="auto" w:line="240" w:before="0" w:after="0"/>
              <w:ind w:firstLine="62" w:left="0"/>
              <w:contextualSpacing/>
              <w:rPr>
                <w:rFonts w:ascii="Times New Roman" w:hAnsi="Times New Roman" w:eastAsia="CIDFont+F1" w:cs="Times New Roman"/>
                <w:sz w:val="24"/>
                <w:szCs w:val="24"/>
              </w:rPr>
            </w:pPr>
            <w:r>
              <w:rPr>
                <w:rFonts w:cs="Times New Roman" w:ascii="Times New Roman" w:hAnsi="Times New Roman"/>
                <w:b/>
                <w:bCs/>
                <w:i/>
                <w:iCs/>
                <w:sz w:val="24"/>
                <w:szCs w:val="24"/>
              </w:rPr>
              <w:t>Šaltinio pritaikymas lankymui</w:t>
            </w:r>
            <w:r>
              <w:rPr>
                <w:rFonts w:cs="Times New Roman" w:ascii="Times New Roman" w:hAnsi="Times New Roman"/>
                <w:sz w:val="24"/>
                <w:szCs w:val="24"/>
              </w:rPr>
              <w:t xml:space="preserve"> (atnaujinamas priėjimas prie šaltinio, įrengiant pakeltą presuotų grotelių taką);</w:t>
            </w:r>
          </w:p>
          <w:p>
            <w:pPr>
              <w:pStyle w:val="ListParagraph"/>
              <w:numPr>
                <w:ilvl w:val="0"/>
                <w:numId w:val="5"/>
              </w:numPr>
              <w:tabs>
                <w:tab w:val="clear" w:pos="720"/>
                <w:tab w:val="left" w:pos="567" w:leader="none"/>
              </w:tabs>
              <w:spacing w:lineRule="auto" w:line="240" w:before="0" w:after="0"/>
              <w:ind w:firstLine="62" w:left="0"/>
              <w:contextualSpacing/>
              <w:rPr>
                <w:rFonts w:ascii="Times New Roman" w:hAnsi="Times New Roman" w:eastAsia="CIDFont+F1" w:cs="Times New Roman"/>
                <w:b/>
                <w:bCs/>
                <w:i/>
                <w:i/>
                <w:iCs/>
                <w:sz w:val="24"/>
                <w:szCs w:val="24"/>
              </w:rPr>
            </w:pPr>
            <w:r>
              <w:rPr>
                <w:rFonts w:cs="Times New Roman" w:ascii="Times New Roman" w:hAnsi="Times New Roman"/>
                <w:b/>
                <w:bCs/>
                <w:i/>
                <w:iCs/>
                <w:sz w:val="24"/>
                <w:szCs w:val="24"/>
              </w:rPr>
              <w:t xml:space="preserve">Švėtės užtvankos pritaikymas lankytojams </w:t>
            </w:r>
            <w:r>
              <w:rPr>
                <w:rFonts w:cs="Times New Roman" w:ascii="Times New Roman" w:hAnsi="Times New Roman"/>
                <w:sz w:val="24"/>
                <w:szCs w:val="24"/>
              </w:rPr>
              <w:t>(Švėtės užtvankos teritorija sutvarkoma atnaujinant dangas, įrengiant papildomą priėjimą prie vandens žemiau Švėtės užtvankos. Kartu sutvarkomas Švėtės užtvankos žemės pylimas iškertant menkaverčius želdinius bei atveriant vaizdus į Švėtės upę. Ant pylimo įrengiama rekreacinė aikštelė su ilgam sėdėjimui ir gulėjimui pritaikytu suolu. Panašus suolai įrengiami Švėtės pakrantėje užtvankos stebėjimui, o pusiasalyje į kurį parenkama per Švėtės užtvankos taką įrengiami laipteliai ir aikštelė su augantį medį apgaubiančiu suolu);</w:t>
            </w:r>
          </w:p>
          <w:p>
            <w:pPr>
              <w:pStyle w:val="ListParagraph"/>
              <w:numPr>
                <w:ilvl w:val="0"/>
                <w:numId w:val="5"/>
              </w:numPr>
              <w:tabs>
                <w:tab w:val="clear" w:pos="720"/>
                <w:tab w:val="left" w:pos="567" w:leader="none"/>
              </w:tabs>
              <w:spacing w:lineRule="auto" w:line="240" w:before="0" w:after="0"/>
              <w:ind w:hanging="0" w:left="0"/>
              <w:contextualSpacing/>
              <w:rPr>
                <w:rFonts w:ascii="Times New Roman" w:hAnsi="Times New Roman" w:eastAsia="CIDFont+F1" w:cs="Times New Roman"/>
                <w:b/>
                <w:bCs/>
                <w:i/>
                <w:i/>
                <w:iCs/>
                <w:sz w:val="24"/>
                <w:szCs w:val="24"/>
              </w:rPr>
            </w:pPr>
            <w:r>
              <w:rPr>
                <w:rFonts w:eastAsia="CIDFont+F1" w:cs="Times New Roman" w:ascii="Times New Roman" w:hAnsi="Times New Roman"/>
                <w:b/>
                <w:bCs/>
                <w:i/>
                <w:iCs/>
                <w:sz w:val="24"/>
                <w:szCs w:val="24"/>
              </w:rPr>
              <w:t>Lieptelis</w:t>
            </w:r>
            <w:r>
              <w:rPr>
                <w:rFonts w:eastAsia="CIDFont+F1" w:cs="Times New Roman" w:ascii="Times New Roman" w:hAnsi="Times New Roman"/>
                <w:sz w:val="24"/>
                <w:szCs w:val="24"/>
              </w:rPr>
              <w:t xml:space="preserve"> (</w:t>
            </w:r>
            <w:r>
              <w:rPr>
                <w:rFonts w:cs="Times New Roman" w:ascii="Times New Roman" w:hAnsi="Times New Roman"/>
                <w:sz w:val="24"/>
                <w:szCs w:val="24"/>
              </w:rPr>
              <w:t>lieptas susideda iš dviejų dalių: metalinio, ažūrinio tiltelio ir tūrinio perdirbto plastiko lentų plūduriuojančio pagrindo su suolu. Įrengiamas Meldų tako pabaigoje);</w:t>
            </w:r>
          </w:p>
          <w:p>
            <w:pPr>
              <w:pStyle w:val="ListParagraph"/>
              <w:numPr>
                <w:ilvl w:val="0"/>
                <w:numId w:val="5"/>
              </w:numPr>
              <w:tabs>
                <w:tab w:val="clear" w:pos="720"/>
                <w:tab w:val="left" w:pos="567" w:leader="none"/>
              </w:tabs>
              <w:spacing w:lineRule="auto" w:line="240" w:before="0" w:after="0"/>
              <w:ind w:hanging="0" w:left="0"/>
              <w:contextualSpacing/>
              <w:rPr>
                <w:rFonts w:ascii="Times New Roman" w:hAnsi="Times New Roman" w:eastAsia="CIDFont+F1" w:cs="Times New Roman"/>
                <w:b/>
                <w:bCs/>
                <w:i/>
                <w:i/>
                <w:iCs/>
                <w:sz w:val="24"/>
                <w:szCs w:val="24"/>
              </w:rPr>
            </w:pPr>
            <w:r>
              <w:rPr>
                <w:rFonts w:eastAsia="CIDFont+F1" w:cs="Times New Roman" w:ascii="Times New Roman" w:hAnsi="Times New Roman"/>
                <w:b/>
                <w:bCs/>
                <w:i/>
                <w:iCs/>
                <w:sz w:val="24"/>
                <w:szCs w:val="24"/>
              </w:rPr>
              <w:t>Pažintinis takas</w:t>
            </w:r>
            <w:r>
              <w:rPr>
                <w:rFonts w:eastAsia="CIDFont+F1" w:cs="Times New Roman" w:ascii="Times New Roman" w:hAnsi="Times New Roman"/>
                <w:sz w:val="24"/>
                <w:szCs w:val="24"/>
              </w:rPr>
              <w:t xml:space="preserve"> – susidedantis iš kelių elementų: kabančio tako, meldų tako, gyvo kranto tako. Takuose įrengiami suolai, kai kuriose atkarpose turėklai;</w:t>
            </w:r>
          </w:p>
          <w:p>
            <w:pPr>
              <w:pStyle w:val="ListParagraph"/>
              <w:numPr>
                <w:ilvl w:val="0"/>
                <w:numId w:val="5"/>
              </w:numPr>
              <w:tabs>
                <w:tab w:val="clear" w:pos="720"/>
                <w:tab w:val="left" w:pos="567" w:leader="none"/>
              </w:tabs>
              <w:spacing w:lineRule="auto" w:line="240" w:before="0" w:after="0"/>
              <w:ind w:hanging="0" w:left="0"/>
              <w:contextualSpacing/>
              <w:rPr>
                <w:rFonts w:ascii="Times New Roman" w:hAnsi="Times New Roman" w:eastAsia="CIDFont+F1" w:cs="Times New Roman"/>
                <w:b/>
                <w:bCs/>
                <w:i/>
                <w:i/>
                <w:iCs/>
                <w:sz w:val="24"/>
                <w:szCs w:val="24"/>
              </w:rPr>
            </w:pPr>
            <w:r>
              <w:rPr>
                <w:rFonts w:eastAsia="CIDFont+F1" w:cs="Times New Roman" w:ascii="Times New Roman" w:hAnsi="Times New Roman"/>
                <w:sz w:val="24"/>
                <w:szCs w:val="24"/>
              </w:rPr>
              <w:t xml:space="preserve"> </w:t>
            </w:r>
            <w:r>
              <w:rPr>
                <w:rFonts w:eastAsia="CIDFont+F1" w:cs="Times New Roman" w:ascii="Times New Roman" w:hAnsi="Times New Roman"/>
                <w:b/>
                <w:bCs/>
                <w:i/>
                <w:iCs/>
                <w:sz w:val="24"/>
                <w:szCs w:val="24"/>
              </w:rPr>
              <w:t xml:space="preserve">Paukščių stebėjimo bokštas </w:t>
            </w:r>
            <w:r>
              <w:rPr>
                <w:rFonts w:eastAsia="CIDFont+F1" w:cs="Times New Roman" w:ascii="Times New Roman" w:hAnsi="Times New Roman"/>
                <w:sz w:val="24"/>
                <w:szCs w:val="24"/>
              </w:rPr>
              <w:t>(įrengiamas paukščių stebėjimo bokštas (16 m</w:t>
            </w:r>
            <w:r>
              <w:rPr>
                <w:rFonts w:eastAsia="CIDFont+F1" w:cs="Times New Roman" w:ascii="Times New Roman" w:hAnsi="Times New Roman"/>
                <w:sz w:val="24"/>
                <w:szCs w:val="24"/>
                <w:vertAlign w:val="superscript"/>
              </w:rPr>
              <w:t>2</w:t>
            </w:r>
            <w:r>
              <w:rPr>
                <w:rFonts w:eastAsia="CIDFont+F1" w:cs="Times New Roman" w:ascii="Times New Roman" w:hAnsi="Times New Roman"/>
                <w:sz w:val="24"/>
                <w:szCs w:val="24"/>
              </w:rPr>
              <w:t>) su terasa (60 m</w:t>
            </w:r>
            <w:r>
              <w:rPr>
                <w:rFonts w:eastAsia="CIDFont+F1" w:cs="Times New Roman" w:ascii="Times New Roman" w:hAnsi="Times New Roman"/>
                <w:sz w:val="24"/>
                <w:szCs w:val="24"/>
                <w:vertAlign w:val="superscript"/>
              </w:rPr>
              <w:t>2</w:t>
            </w:r>
            <w:r>
              <w:rPr>
                <w:rFonts w:eastAsia="CIDFont+F1" w:cs="Times New Roman" w:ascii="Times New Roman" w:hAnsi="Times New Roman"/>
                <w:sz w:val="24"/>
                <w:szCs w:val="24"/>
              </w:rPr>
              <w:t xml:space="preserve"> įskaitant bokštelio plotą);</w:t>
            </w:r>
          </w:p>
          <w:p>
            <w:pPr>
              <w:pStyle w:val="ListParagraph"/>
              <w:numPr>
                <w:ilvl w:val="0"/>
                <w:numId w:val="5"/>
              </w:numPr>
              <w:tabs>
                <w:tab w:val="clear" w:pos="720"/>
                <w:tab w:val="left" w:pos="567" w:leader="none"/>
              </w:tabs>
              <w:spacing w:lineRule="auto" w:line="240" w:before="0" w:after="0"/>
              <w:ind w:hanging="0" w:left="0"/>
              <w:contextualSpacing/>
              <w:rPr>
                <w:rFonts w:ascii="Times New Roman" w:hAnsi="Times New Roman" w:eastAsia="CIDFont+F1" w:cs="Times New Roman"/>
                <w:b/>
                <w:bCs/>
                <w:i/>
                <w:i/>
                <w:iCs/>
                <w:sz w:val="24"/>
                <w:szCs w:val="24"/>
              </w:rPr>
            </w:pPr>
            <w:r>
              <w:rPr>
                <w:rFonts w:eastAsia="CIDFont+F1" w:cs="Times New Roman" w:ascii="Times New Roman" w:hAnsi="Times New Roman"/>
                <w:b/>
                <w:bCs/>
                <w:i/>
                <w:iCs/>
                <w:sz w:val="24"/>
                <w:szCs w:val="24"/>
              </w:rPr>
              <w:t>Amfiteatriniai betono suolai</w:t>
            </w:r>
            <w:r>
              <w:rPr>
                <w:rFonts w:eastAsia="CIDFont+F1" w:cs="Times New Roman" w:ascii="Times New Roman" w:hAnsi="Times New Roman"/>
                <w:sz w:val="24"/>
                <w:szCs w:val="24"/>
              </w:rPr>
              <w:t xml:space="preserve"> (</w:t>
            </w:r>
            <w:r>
              <w:rPr>
                <w:rFonts w:cs="Times New Roman" w:ascii="Times New Roman" w:hAnsi="Times New Roman"/>
                <w:sz w:val="24"/>
                <w:szCs w:val="24"/>
              </w:rPr>
              <w:t>formuojami iš atskirų pakopų, pritaikomų prie esamo kraštovaizdžio)</w:t>
            </w:r>
          </w:p>
        </w:tc>
      </w:tr>
      <w:tr>
        <w:trPr/>
        <w:tc>
          <w:tcPr>
            <w:tcW w:w="82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t>3.</w:t>
            </w:r>
          </w:p>
        </w:tc>
        <w:tc>
          <w:tcPr>
            <w:tcW w:w="2400"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t>Projekto pavadinimas</w:t>
            </w:r>
          </w:p>
        </w:tc>
        <w:tc>
          <w:tcPr>
            <w:tcW w:w="6697" w:type="dxa"/>
            <w:tcBorders>
              <w:top w:val="single" w:sz="4" w:space="0" w:color="000000"/>
              <w:left w:val="single" w:sz="4" w:space="0" w:color="000000"/>
              <w:bottom w:val="single" w:sz="4" w:space="0" w:color="000000"/>
              <w:right w:val="single" w:sz="4" w:space="0" w:color="000000"/>
            </w:tcBorders>
          </w:tcPr>
          <w:p>
            <w:pPr>
              <w:pStyle w:val="Normal"/>
              <w:jc w:val="both"/>
              <w:rPr>
                <w:b/>
                <w:kern w:val="0"/>
                <w:lang w:eastAsia="lt-LT"/>
              </w:rPr>
            </w:pPr>
            <w:r>
              <w:rPr>
                <w:b/>
                <w:kern w:val="0"/>
                <w:lang w:eastAsia="lt-LT"/>
              </w:rPr>
              <w:t>Žagarės ozo sutvarkymas ir pritaikymas lankytojams</w:t>
            </w:r>
          </w:p>
        </w:tc>
      </w:tr>
      <w:tr>
        <w:trPr/>
        <w:tc>
          <w:tcPr>
            <w:tcW w:w="82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t>4.</w:t>
            </w:r>
          </w:p>
        </w:tc>
        <w:tc>
          <w:tcPr>
            <w:tcW w:w="2400"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t>Statinio adresas</w:t>
            </w:r>
          </w:p>
        </w:tc>
        <w:tc>
          <w:tcPr>
            <w:tcW w:w="6697" w:type="dxa"/>
            <w:tcBorders>
              <w:top w:val="single" w:sz="4" w:space="0" w:color="000000"/>
              <w:left w:val="single" w:sz="4" w:space="0" w:color="000000"/>
              <w:bottom w:val="single" w:sz="4" w:space="0" w:color="000000"/>
              <w:right w:val="single" w:sz="4" w:space="0" w:color="000000"/>
            </w:tcBorders>
          </w:tcPr>
          <w:p>
            <w:pPr>
              <w:pStyle w:val="Normal"/>
              <w:suppressAutoHyphens w:val="false"/>
              <w:jc w:val="both"/>
              <w:rPr>
                <w:iCs/>
                <w:kern w:val="0"/>
                <w:lang w:eastAsia="lt-LT"/>
              </w:rPr>
            </w:pPr>
            <w:r>
              <w:rPr>
                <w:iCs/>
                <w:kern w:val="0"/>
                <w:lang w:eastAsia="lt-LT"/>
              </w:rPr>
              <w:t>Joniškio r, sav., Žagarės m.</w:t>
            </w:r>
          </w:p>
        </w:tc>
      </w:tr>
      <w:tr>
        <w:trPr>
          <w:trHeight w:val="479" w:hRule="atLeast"/>
        </w:trPr>
        <w:tc>
          <w:tcPr>
            <w:tcW w:w="82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kern w:val="2"/>
              </w:rPr>
            </w:pPr>
            <w:r>
              <w:rPr/>
              <w:t>5.</w:t>
            </w:r>
          </w:p>
        </w:tc>
        <w:tc>
          <w:tcPr>
            <w:tcW w:w="2400"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t>Statinio</w:t>
            </w:r>
            <w:r>
              <w:rPr>
                <w:b/>
              </w:rPr>
              <w:t xml:space="preserve"> </w:t>
            </w:r>
            <w:r>
              <w:rPr/>
              <w:t>(-ių) ar statinių grupės paskirtis ir bendrieji (techniniai ir</w:t>
            </w:r>
            <w:r>
              <w:rPr>
                <w:b/>
              </w:rPr>
              <w:t xml:space="preserve"> </w:t>
            </w:r>
            <w:r>
              <w:rPr/>
              <w:t>paskirties) rodikliai</w:t>
            </w:r>
          </w:p>
        </w:tc>
        <w:tc>
          <w:tcPr>
            <w:tcW w:w="6697" w:type="dxa"/>
            <w:tcBorders>
              <w:top w:val="single" w:sz="4" w:space="0" w:color="000000"/>
              <w:left w:val="single" w:sz="4" w:space="0" w:color="000000"/>
              <w:bottom w:val="single" w:sz="4" w:space="0" w:color="000000"/>
              <w:right w:val="single" w:sz="4" w:space="0" w:color="000000"/>
            </w:tcBorders>
          </w:tcPr>
          <w:p>
            <w:pPr>
              <w:pStyle w:val="Normal"/>
              <w:jc w:val="both"/>
              <w:rPr/>
            </w:pPr>
            <w:bookmarkStart w:id="0" w:name="_Hlk72834195"/>
            <w:r>
              <w:rPr>
                <w:bCs/>
              </w:rPr>
              <w:t xml:space="preserve">Statinio rūšis Inžineriniai statiniai – grupė Kiti inžineriniai statiniai, paskirtis – Kitų transporto statinių, Kitos paskirties. </w:t>
            </w:r>
          </w:p>
          <w:p>
            <w:pPr>
              <w:pStyle w:val="ListParagraph"/>
              <w:numPr>
                <w:ilvl w:val="0"/>
                <w:numId w:val="3"/>
              </w:numPr>
              <w:suppressAutoHyphens w:val="true"/>
              <w:spacing w:lineRule="auto" w:line="240" w:before="0" w:after="0"/>
              <w:contextualSpacing/>
              <w:jc w:val="both"/>
              <w:rPr>
                <w:rFonts w:ascii="Times New Roman" w:hAnsi="Times New Roman" w:cs="Times New Roman"/>
                <w:sz w:val="24"/>
                <w:szCs w:val="24"/>
              </w:rPr>
            </w:pPr>
            <w:bookmarkStart w:id="1" w:name="_Hlk72834195"/>
            <w:r>
              <w:rPr>
                <w:rFonts w:cs="Times New Roman" w:ascii="Times New Roman" w:hAnsi="Times New Roman"/>
                <w:sz w:val="24"/>
                <w:szCs w:val="24"/>
              </w:rPr>
              <w:t>sklypo plotas – 7,2 ha</w:t>
            </w:r>
            <w:bookmarkEnd w:id="1"/>
          </w:p>
          <w:p>
            <w:pPr>
              <w:pStyle w:val="ListParagraph"/>
              <w:numPr>
                <w:ilvl w:val="0"/>
                <w:numId w:val="3"/>
              </w:numPr>
              <w:suppressAutoHyphens w:val="true"/>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unikalus Nr. 4400-2112-4925</w:t>
            </w:r>
          </w:p>
        </w:tc>
      </w:tr>
      <w:tr>
        <w:trPr>
          <w:trHeight w:val="373" w:hRule="atLeast"/>
        </w:trPr>
        <w:tc>
          <w:tcPr>
            <w:tcW w:w="82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t>6.</w:t>
            </w:r>
          </w:p>
        </w:tc>
        <w:tc>
          <w:tcPr>
            <w:tcW w:w="2400" w:type="dxa"/>
            <w:tcBorders>
              <w:top w:val="single" w:sz="4" w:space="0" w:color="000000"/>
              <w:left w:val="single" w:sz="4" w:space="0" w:color="000000"/>
              <w:bottom w:val="single" w:sz="4" w:space="0" w:color="000000"/>
              <w:right w:val="single" w:sz="4" w:space="0" w:color="000000"/>
            </w:tcBorders>
          </w:tcPr>
          <w:p>
            <w:pPr>
              <w:pStyle w:val="Normal"/>
              <w:spacing w:lineRule="auto" w:line="276"/>
              <w:rPr>
                <w:u w:val="single"/>
              </w:rPr>
            </w:pPr>
            <w:r>
              <w:rPr/>
              <w:t>Statinio</w:t>
            </w:r>
            <w:r>
              <w:rPr>
                <w:b/>
              </w:rPr>
              <w:t xml:space="preserve"> </w:t>
            </w:r>
            <w:r>
              <w:rPr/>
              <w:t>statybos rūšis</w:t>
            </w:r>
          </w:p>
        </w:tc>
        <w:tc>
          <w:tcPr>
            <w:tcW w:w="6697" w:type="dxa"/>
            <w:tcBorders>
              <w:top w:val="single" w:sz="4" w:space="0" w:color="000000"/>
              <w:left w:val="single" w:sz="4" w:space="0" w:color="000000"/>
              <w:bottom w:val="single" w:sz="4" w:space="0" w:color="000000"/>
              <w:right w:val="single" w:sz="4" w:space="0" w:color="000000"/>
            </w:tcBorders>
          </w:tcPr>
          <w:p>
            <w:pPr>
              <w:pStyle w:val="Normal"/>
              <w:jc w:val="both"/>
              <w:rPr/>
            </w:pPr>
            <w:r>
              <w:rPr>
                <w:iCs/>
                <w:lang w:eastAsia="lt-LT"/>
              </w:rPr>
              <w:t>Naujo statinio statyba (statybos rūšis gali būti tikslinama projektavimo eigoje)</w:t>
            </w:r>
          </w:p>
        </w:tc>
      </w:tr>
      <w:tr>
        <w:trPr>
          <w:trHeight w:val="333" w:hRule="atLeast"/>
        </w:trPr>
        <w:tc>
          <w:tcPr>
            <w:tcW w:w="82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t>7.</w:t>
            </w:r>
          </w:p>
        </w:tc>
        <w:tc>
          <w:tcPr>
            <w:tcW w:w="2400" w:type="dxa"/>
            <w:tcBorders>
              <w:top w:val="single" w:sz="4" w:space="0" w:color="000000"/>
              <w:left w:val="single" w:sz="4" w:space="0" w:color="000000"/>
              <w:bottom w:val="single" w:sz="4" w:space="0" w:color="000000"/>
              <w:right w:val="single" w:sz="4" w:space="0" w:color="000000"/>
            </w:tcBorders>
          </w:tcPr>
          <w:p>
            <w:pPr>
              <w:pStyle w:val="Normal"/>
              <w:spacing w:lineRule="auto" w:line="276"/>
              <w:rPr>
                <w:u w:val="single"/>
              </w:rPr>
            </w:pPr>
            <w:r>
              <w:rPr/>
              <w:t>Statinio kategorija</w:t>
            </w:r>
          </w:p>
        </w:tc>
        <w:tc>
          <w:tcPr>
            <w:tcW w:w="6697" w:type="dxa"/>
            <w:tcBorders>
              <w:top w:val="single" w:sz="4" w:space="0" w:color="000000"/>
              <w:left w:val="single" w:sz="4" w:space="0" w:color="000000"/>
              <w:bottom w:val="single" w:sz="4" w:space="0" w:color="000000"/>
              <w:right w:val="single" w:sz="4" w:space="0" w:color="000000"/>
            </w:tcBorders>
          </w:tcPr>
          <w:p>
            <w:pPr>
              <w:pStyle w:val="Normal"/>
              <w:jc w:val="both"/>
              <w:rPr>
                <w:i/>
                <w:i/>
                <w:iCs/>
              </w:rPr>
            </w:pPr>
            <w:r>
              <w:rPr>
                <w:iCs/>
                <w:lang w:eastAsia="lt-LT"/>
              </w:rPr>
              <w:t xml:space="preserve"> </w:t>
            </w:r>
            <w:r>
              <w:rPr>
                <w:iCs/>
                <w:lang w:eastAsia="lt-LT"/>
              </w:rPr>
              <w:t>Neypatingas, nesudėtingas</w:t>
            </w:r>
          </w:p>
        </w:tc>
      </w:tr>
      <w:tr>
        <w:trPr/>
        <w:tc>
          <w:tcPr>
            <w:tcW w:w="992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ind w:left="360"/>
              <w:rPr>
                <w:b/>
              </w:rPr>
            </w:pPr>
            <w:r>
              <w:rPr>
                <w:b/>
              </w:rPr>
              <w:t xml:space="preserve">II. Perkamų paslaugų apimtis ir trukmė </w:t>
            </w:r>
          </w:p>
        </w:tc>
      </w:tr>
      <w:tr>
        <w:trPr>
          <w:trHeight w:val="411" w:hRule="atLeast"/>
        </w:trPr>
        <w:tc>
          <w:tcPr>
            <w:tcW w:w="82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t>8.</w:t>
            </w:r>
          </w:p>
        </w:tc>
        <w:tc>
          <w:tcPr>
            <w:tcW w:w="2400" w:type="dxa"/>
            <w:tcBorders>
              <w:top w:val="single" w:sz="4" w:space="0" w:color="000000"/>
              <w:left w:val="single" w:sz="4" w:space="0" w:color="000000"/>
              <w:bottom w:val="single" w:sz="4" w:space="0" w:color="000000"/>
              <w:right w:val="single" w:sz="4" w:space="0" w:color="000000"/>
            </w:tcBorders>
          </w:tcPr>
          <w:p>
            <w:pPr>
              <w:pStyle w:val="Normal"/>
              <w:spacing w:lineRule="auto" w:line="276"/>
              <w:rPr>
                <w:u w:val="single"/>
              </w:rPr>
            </w:pPr>
            <w:r>
              <w:rPr/>
              <w:t>Perkamų paslaugų apimtis:</w:t>
            </w:r>
          </w:p>
        </w:tc>
        <w:tc>
          <w:tcPr>
            <w:tcW w:w="6697" w:type="dxa"/>
            <w:tcBorders>
              <w:top w:val="single" w:sz="4" w:space="0" w:color="000000"/>
              <w:left w:val="single" w:sz="4" w:space="0" w:color="000000"/>
              <w:bottom w:val="single" w:sz="4" w:space="0" w:color="000000"/>
              <w:right w:val="single" w:sz="4" w:space="0" w:color="000000"/>
            </w:tcBorders>
          </w:tcPr>
          <w:p>
            <w:pPr>
              <w:pStyle w:val="Normal"/>
              <w:jc w:val="both"/>
              <w:rPr>
                <w:i/>
                <w:i/>
              </w:rPr>
            </w:pPr>
            <w:bookmarkStart w:id="2" w:name="part_3cc9000c2737416c924cabca91b528d0"/>
            <w:bookmarkEnd w:id="2"/>
            <w:r>
              <w:rPr/>
              <w:t>1. bendroji;</w:t>
            </w:r>
          </w:p>
          <w:p>
            <w:pPr>
              <w:pStyle w:val="Normal"/>
              <w:jc w:val="both"/>
              <w:rPr>
                <w:i/>
                <w:i/>
              </w:rPr>
            </w:pPr>
            <w:bookmarkStart w:id="3" w:name="part_0de22576d1e2426a9ac9a4807d1d6dbe"/>
            <w:bookmarkEnd w:id="3"/>
            <w:r>
              <w:rPr/>
              <w:t>2. sklypo sutvarkymas (sklypo planas);</w:t>
            </w:r>
            <w:r>
              <w:rPr>
                <w:i/>
              </w:rPr>
              <w:t xml:space="preserve"> </w:t>
            </w:r>
          </w:p>
          <w:p>
            <w:pPr>
              <w:pStyle w:val="Normal"/>
              <w:jc w:val="both"/>
              <w:rPr>
                <w:i/>
                <w:i/>
                <w:iCs/>
              </w:rPr>
            </w:pPr>
            <w:bookmarkStart w:id="4" w:name="part_69a847a1123549b89c38a8a1b57f7bbe"/>
            <w:bookmarkStart w:id="5" w:name="part_f5f190c0e98a4caaaa57a71be12eea98"/>
            <w:bookmarkEnd w:id="4"/>
            <w:bookmarkEnd w:id="5"/>
            <w:r>
              <w:rPr/>
              <w:t>3. konstrukcijų;</w:t>
            </w:r>
            <w:r>
              <w:rPr>
                <w:i/>
              </w:rPr>
              <w:t xml:space="preserve"> </w:t>
            </w:r>
          </w:p>
          <w:p>
            <w:pPr>
              <w:pStyle w:val="Normal"/>
              <w:jc w:val="both"/>
              <w:rPr/>
            </w:pPr>
            <w:bookmarkStart w:id="6" w:name="part_a38a2e5be7aa424585e414fa9509829a"/>
            <w:bookmarkEnd w:id="6"/>
            <w:r>
              <w:rPr/>
              <w:t>4. skaičiuojamosios kainos nustatymo;</w:t>
            </w:r>
          </w:p>
          <w:p>
            <w:pPr>
              <w:pStyle w:val="Normal"/>
              <w:jc w:val="both"/>
              <w:rPr>
                <w:i/>
                <w:i/>
              </w:rPr>
            </w:pPr>
            <w:r>
              <w:rPr>
                <w:iCs/>
              </w:rPr>
              <w:t xml:space="preserve"> </w:t>
            </w:r>
            <w:r>
              <w:rPr>
                <w:i/>
                <w:iCs/>
                <w:color w:val="FF0000"/>
                <w:sz w:val="18"/>
                <w:szCs w:val="18"/>
                <w:lang w:eastAsia="lt-LT"/>
              </w:rPr>
              <w:t xml:space="preserve">Pastaba: Projekto dalys gali būti tikslinamos / keičiamos/ pasipildomos pagal poreikį, prieš tai suderinus su Užsakovu bei privalo atitikti tuo metu galiojančioms teisės aktų nuostatoms. **Sutinkamai su projektavimo metu galiojančiais reikalavimais.  </w:t>
            </w:r>
          </w:p>
        </w:tc>
      </w:tr>
      <w:tr>
        <w:trPr>
          <w:trHeight w:val="1466" w:hRule="atLeast"/>
        </w:trPr>
        <w:tc>
          <w:tcPr>
            <w:tcW w:w="82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t>8.1.</w:t>
            </w:r>
          </w:p>
        </w:tc>
        <w:tc>
          <w:tcPr>
            <w:tcW w:w="2400"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t xml:space="preserve">projektavimo (įprastos) paslaugos </w:t>
            </w:r>
          </w:p>
        </w:tc>
        <w:tc>
          <w:tcPr>
            <w:tcW w:w="6697" w:type="dxa"/>
            <w:tcBorders>
              <w:top w:val="single" w:sz="4" w:space="0" w:color="000000"/>
              <w:left w:val="single" w:sz="4" w:space="0" w:color="000000"/>
              <w:bottom w:val="single" w:sz="4" w:space="0" w:color="000000"/>
              <w:right w:val="single" w:sz="4" w:space="0" w:color="000000"/>
            </w:tcBorders>
          </w:tcPr>
          <w:p>
            <w:pPr>
              <w:pStyle w:val="Normal"/>
              <w:rPr>
                <w:color w:val="000000"/>
                <w:lang w:eastAsia="lt-LT"/>
              </w:rPr>
            </w:pPr>
            <w:r>
              <w:rPr>
                <w:color w:val="000000"/>
                <w:lang w:eastAsia="lt-LT"/>
              </w:rPr>
              <w:t>Projektuotojas privalo paslaugas atlikti vadovaujantis Statybos įstatymu ir kitais įstatymais, reglamentuojančiais statinio saugos ir paskirties reikalavimus; teisės aktais, reglamentuojančiais esminius statinių reikalavimus ir statinio techninius parametrus pagal statinių ar statybos produktų charakteristikų lygius ir klases; kitais teisės aktais; teritorijų planavimo, normatyviniais statybos techniniais dokumentais ir normatyviniais statinio saugos ir paskirties dokumentais.</w:t>
            </w:r>
          </w:p>
          <w:tbl>
            <w:tblPr>
              <w:tblW w:w="6481"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6481"/>
            </w:tblGrid>
            <w:tr>
              <w:trPr>
                <w:trHeight w:val="1462" w:hRule="atLeast"/>
              </w:trPr>
              <w:tc>
                <w:tcPr>
                  <w:tcW w:w="6481" w:type="dxa"/>
                  <w:tcBorders/>
                </w:tcPr>
                <w:p>
                  <w:pPr>
                    <w:pStyle w:val="Normal"/>
                    <w:widowControl/>
                    <w:tabs>
                      <w:tab w:val="clear" w:pos="720"/>
                      <w:tab w:val="left" w:pos="0" w:leader="none"/>
                    </w:tabs>
                    <w:suppressAutoHyphens w:val="false"/>
                    <w:ind w:left="-120"/>
                    <w:rPr>
                      <w:rFonts w:eastAsia="Calibri" w:eastAsiaTheme="minorHAnsi"/>
                      <w:color w:val="000000"/>
                      <w:kern w:val="0"/>
                      <w:lang w:eastAsia="en-US"/>
                    </w:rPr>
                  </w:pPr>
                  <w:r>
                    <w:rPr/>
                    <w:t>Taip pat būtina vadovautis:</w:t>
                  </w:r>
                </w:p>
                <w:p>
                  <w:pPr>
                    <w:pStyle w:val="Normal"/>
                    <w:widowControl/>
                    <w:tabs>
                      <w:tab w:val="clear" w:pos="720"/>
                      <w:tab w:val="left" w:pos="0" w:leader="none"/>
                    </w:tabs>
                    <w:suppressAutoHyphens w:val="false"/>
                    <w:ind w:left="-120"/>
                    <w:rPr>
                      <w:color w:val="000000"/>
                      <w:lang w:eastAsia="lt-LT"/>
                    </w:rPr>
                  </w:pPr>
                  <w:r>
                    <w:rPr>
                      <w:position w:val="2"/>
                    </w:rPr>
                    <w:t xml:space="preserve">Lietuvos Respublikos statybos įstatymo 2 straipsnio 109 dalyje reikalavimams </w:t>
                  </w:r>
                  <w:r>
                    <w:rPr>
                      <w:color w:val="000000"/>
                      <w:lang w:eastAsia="lt-LT"/>
                    </w:rPr>
                    <w:t xml:space="preserve">(informacija apie universalaus dizaino principus skelbiama interneto svetainėje </w:t>
                  </w:r>
                  <w:hyperlink r:id="rId2">
                    <w:r>
                      <w:rPr>
                        <w:rStyle w:val="Hyperlink"/>
                        <w:lang w:eastAsia="lt-LT"/>
                      </w:rPr>
                      <w:t>https://www.ndt.lt/universalus-dizainas/</w:t>
                    </w:r>
                  </w:hyperlink>
                  <w:r>
                    <w:rPr>
                      <w:color w:val="000000"/>
                      <w:lang w:eastAsia="lt-LT"/>
                    </w:rPr>
                    <w:t>) 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p>
                <w:p>
                  <w:pPr>
                    <w:pStyle w:val="Normal"/>
                    <w:widowControl/>
                    <w:tabs>
                      <w:tab w:val="clear" w:pos="720"/>
                      <w:tab w:val="left" w:pos="0" w:leader="none"/>
                    </w:tabs>
                    <w:suppressAutoHyphens w:val="false"/>
                    <w:ind w:left="-120"/>
                    <w:rPr>
                      <w:rFonts w:eastAsia="Calibri" w:eastAsiaTheme="minorHAnsi"/>
                      <w:color w:val="000000"/>
                      <w:kern w:val="0"/>
                      <w:lang w:eastAsia="en-US"/>
                    </w:rPr>
                  </w:pPr>
                  <w:r>
                    <w:rPr>
                      <w:color w:val="000000"/>
                      <w:lang w:eastAsia="lt-LT"/>
                    </w:rPr>
                    <w:t>Projektas turi būti rengiamas naudojant licencijuotą projektavimo programinę įrangą.</w:t>
                  </w:r>
                </w:p>
              </w:tc>
            </w:tr>
          </w:tbl>
          <w:p>
            <w:pPr>
              <w:pStyle w:val="Normal"/>
              <w:tabs>
                <w:tab w:val="clear" w:pos="720"/>
                <w:tab w:val="left" w:pos="0" w:leader="none"/>
                <w:tab w:val="left" w:pos="76" w:leader="none"/>
              </w:tabs>
              <w:jc w:val="both"/>
              <w:rPr/>
            </w:pPr>
            <w:r>
              <w:rPr/>
            </w:r>
          </w:p>
        </w:tc>
      </w:tr>
      <w:tr>
        <w:trPr/>
        <w:tc>
          <w:tcPr>
            <w:tcW w:w="82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t>8.2.</w:t>
            </w:r>
          </w:p>
        </w:tc>
        <w:tc>
          <w:tcPr>
            <w:tcW w:w="2400"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t xml:space="preserve">kitos (papildomos, jeigu užsakomos) paslaugos, susijusios su projektavimo paslaugomis </w:t>
            </w:r>
          </w:p>
        </w:tc>
        <w:tc>
          <w:tcPr>
            <w:tcW w:w="6697" w:type="dxa"/>
            <w:tcBorders>
              <w:top w:val="single" w:sz="4" w:space="0" w:color="000000"/>
              <w:left w:val="single" w:sz="4" w:space="0" w:color="000000"/>
              <w:bottom w:val="single" w:sz="4" w:space="0" w:color="000000"/>
              <w:right w:val="single" w:sz="4" w:space="0" w:color="000000"/>
            </w:tcBorders>
          </w:tcPr>
          <w:p>
            <w:pPr>
              <w:pStyle w:val="Normal"/>
              <w:jc w:val="both"/>
              <w:rPr>
                <w:lang w:eastAsia="lt-LT"/>
              </w:rPr>
            </w:pPr>
            <w:r>
              <w:rPr>
                <w:lang w:eastAsia="lt-LT"/>
              </w:rPr>
              <w:t>Parengti techninę projektavimo užduotį.</w:t>
            </w:r>
          </w:p>
          <w:p>
            <w:pPr>
              <w:pStyle w:val="Normal"/>
              <w:jc w:val="both"/>
              <w:rPr>
                <w:lang w:eastAsia="lt-LT"/>
              </w:rPr>
            </w:pPr>
            <w:r>
              <w:rPr/>
              <w:t>Atlikti statybinius žemės sklypo (teritorijos) inžinerinius geodezinius, inžinerinius geologinius, geotechninius ir kt. tyrimus.</w:t>
            </w:r>
          </w:p>
        </w:tc>
      </w:tr>
      <w:tr>
        <w:trPr/>
        <w:tc>
          <w:tcPr>
            <w:tcW w:w="82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t>8.3.</w:t>
            </w:r>
          </w:p>
        </w:tc>
        <w:tc>
          <w:tcPr>
            <w:tcW w:w="2400"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t xml:space="preserve">projekto vykdymo priežiūra  </w:t>
            </w:r>
          </w:p>
        </w:tc>
        <w:tc>
          <w:tcPr>
            <w:tcW w:w="6697" w:type="dxa"/>
            <w:tcBorders>
              <w:top w:val="single" w:sz="4" w:space="0" w:color="000000"/>
              <w:left w:val="single" w:sz="4" w:space="0" w:color="000000"/>
              <w:bottom w:val="single" w:sz="4" w:space="0" w:color="000000"/>
              <w:right w:val="single" w:sz="4" w:space="0" w:color="000000"/>
            </w:tcBorders>
          </w:tcPr>
          <w:p>
            <w:pPr>
              <w:pStyle w:val="ListParagraph"/>
              <w:numPr>
                <w:ilvl w:val="0"/>
                <w:numId w:val="4"/>
              </w:numPr>
              <w:suppressAutoHyphens w:val="true"/>
              <w:spacing w:lineRule="auto" w:line="240" w:before="0" w:after="0"/>
              <w:contextualSpacing/>
              <w:jc w:val="both"/>
              <w:rPr>
                <w:rFonts w:ascii="Times New Roman" w:hAnsi="Times New Roman" w:cs="Times New Roman"/>
                <w:iCs/>
                <w:sz w:val="24"/>
                <w:szCs w:val="24"/>
              </w:rPr>
            </w:pPr>
            <w:r>
              <w:rPr>
                <w:rFonts w:cs="Times New Roman" w:ascii="Times New Roman" w:hAnsi="Times New Roman"/>
                <w:iCs/>
                <w:sz w:val="24"/>
                <w:szCs w:val="24"/>
              </w:rPr>
              <w:t>lankytis statybvietėje;</w:t>
            </w:r>
          </w:p>
          <w:p>
            <w:pPr>
              <w:pStyle w:val="ListParagraph"/>
              <w:numPr>
                <w:ilvl w:val="0"/>
                <w:numId w:val="4"/>
              </w:numPr>
              <w:suppressAutoHyphens w:val="true"/>
              <w:spacing w:lineRule="auto" w:line="240" w:before="0" w:after="0"/>
              <w:contextualSpacing/>
              <w:jc w:val="both"/>
              <w:rPr>
                <w:rFonts w:ascii="Times New Roman" w:hAnsi="Times New Roman" w:cs="Times New Roman"/>
                <w:iCs/>
                <w:sz w:val="24"/>
                <w:szCs w:val="24"/>
              </w:rPr>
            </w:pPr>
            <w:r>
              <w:rPr>
                <w:rFonts w:cs="Times New Roman" w:ascii="Times New Roman" w:hAnsi="Times New Roman"/>
                <w:b/>
                <w:iCs/>
                <w:sz w:val="24"/>
                <w:szCs w:val="24"/>
              </w:rPr>
              <w:t>spręsti</w:t>
            </w:r>
            <w:r>
              <w:rPr>
                <w:rFonts w:cs="Times New Roman" w:ascii="Times New Roman" w:hAnsi="Times New Roman"/>
                <w:iCs/>
                <w:sz w:val="24"/>
                <w:szCs w:val="24"/>
              </w:rPr>
              <w:t xml:space="preserve"> su Projekto sprendinių įgyvendinimu susijusius </w:t>
            </w:r>
            <w:r>
              <w:rPr>
                <w:rFonts w:cs="Times New Roman" w:ascii="Times New Roman" w:hAnsi="Times New Roman"/>
                <w:b/>
                <w:iCs/>
                <w:sz w:val="24"/>
                <w:szCs w:val="24"/>
              </w:rPr>
              <w:t>klausimus</w:t>
            </w:r>
            <w:r>
              <w:rPr>
                <w:rFonts w:cs="Times New Roman" w:ascii="Times New Roman" w:hAnsi="Times New Roman"/>
                <w:iCs/>
                <w:sz w:val="24"/>
                <w:szCs w:val="24"/>
              </w:rPr>
              <w:t xml:space="preserve">; </w:t>
            </w:r>
          </w:p>
          <w:p>
            <w:pPr>
              <w:pStyle w:val="ListParagraph"/>
              <w:numPr>
                <w:ilvl w:val="0"/>
                <w:numId w:val="4"/>
              </w:numPr>
              <w:suppressAutoHyphens w:val="true"/>
              <w:spacing w:lineRule="auto" w:line="240" w:before="0" w:after="0"/>
              <w:contextualSpacing/>
              <w:jc w:val="both"/>
              <w:rPr>
                <w:rFonts w:ascii="Times New Roman" w:hAnsi="Times New Roman" w:cs="Times New Roman"/>
                <w:iCs/>
                <w:sz w:val="24"/>
                <w:szCs w:val="24"/>
              </w:rPr>
            </w:pPr>
            <w:r>
              <w:rPr>
                <w:rFonts w:cs="Times New Roman" w:ascii="Times New Roman" w:hAnsi="Times New Roman"/>
                <w:iCs/>
                <w:sz w:val="24"/>
                <w:szCs w:val="24"/>
              </w:rPr>
              <w:t xml:space="preserve">tikrinti, ar statinys statomas ir/ar griaunamas laikantis Projekto sprendinių, </w:t>
            </w:r>
            <w:r>
              <w:rPr>
                <w:rFonts w:cs="Times New Roman" w:ascii="Times New Roman" w:hAnsi="Times New Roman"/>
                <w:b/>
                <w:iCs/>
                <w:sz w:val="24"/>
                <w:szCs w:val="24"/>
              </w:rPr>
              <w:t>ir apie tai įrašyti į statybos žurnalą</w:t>
            </w:r>
            <w:r>
              <w:rPr>
                <w:rFonts w:cs="Times New Roman" w:ascii="Times New Roman" w:hAnsi="Times New Roman"/>
                <w:iCs/>
                <w:sz w:val="24"/>
                <w:szCs w:val="24"/>
              </w:rPr>
              <w:t xml:space="preserve">; </w:t>
            </w:r>
          </w:p>
          <w:p>
            <w:pPr>
              <w:pStyle w:val="ListParagraph"/>
              <w:numPr>
                <w:ilvl w:val="0"/>
                <w:numId w:val="4"/>
              </w:numPr>
              <w:suppressAutoHyphens w:val="true"/>
              <w:spacing w:lineRule="auto" w:line="240" w:before="0" w:after="0"/>
              <w:contextualSpacing/>
              <w:jc w:val="both"/>
              <w:rPr>
                <w:rFonts w:ascii="Times New Roman" w:hAnsi="Times New Roman" w:cs="Times New Roman"/>
                <w:iCs/>
                <w:sz w:val="24"/>
                <w:szCs w:val="24"/>
              </w:rPr>
            </w:pPr>
            <w:r>
              <w:rPr>
                <w:rFonts w:cs="Times New Roman" w:ascii="Times New Roman" w:hAnsi="Times New Roman"/>
                <w:iCs/>
                <w:sz w:val="24"/>
                <w:szCs w:val="24"/>
              </w:rPr>
              <w:t xml:space="preserve">organizuoti pastebėtų Projekto </w:t>
            </w:r>
            <w:r>
              <w:rPr>
                <w:rFonts w:cs="Times New Roman" w:ascii="Times New Roman" w:hAnsi="Times New Roman"/>
                <w:b/>
                <w:iCs/>
                <w:sz w:val="24"/>
                <w:szCs w:val="24"/>
              </w:rPr>
              <w:t xml:space="preserve">klaidų taisymą, </w:t>
            </w:r>
          </w:p>
          <w:p>
            <w:pPr>
              <w:pStyle w:val="ListParagraph"/>
              <w:numPr>
                <w:ilvl w:val="0"/>
                <w:numId w:val="4"/>
              </w:numPr>
              <w:suppressAutoHyphens w:val="true"/>
              <w:spacing w:lineRule="auto" w:line="240" w:before="0" w:after="0"/>
              <w:contextualSpacing/>
              <w:jc w:val="both"/>
              <w:rPr>
                <w:rFonts w:ascii="Times New Roman" w:hAnsi="Times New Roman" w:cs="Times New Roman"/>
                <w:iCs/>
                <w:sz w:val="24"/>
                <w:szCs w:val="24"/>
              </w:rPr>
            </w:pPr>
            <w:r>
              <w:rPr>
                <w:rFonts w:cs="Times New Roman" w:ascii="Times New Roman" w:hAnsi="Times New Roman"/>
                <w:iCs/>
                <w:sz w:val="24"/>
                <w:szCs w:val="24"/>
              </w:rPr>
              <w:t xml:space="preserve">į statybos darbų žurnalą surašyti atliktus statybos darbus, </w:t>
            </w:r>
            <w:r>
              <w:rPr>
                <w:rFonts w:cs="Times New Roman" w:ascii="Times New Roman" w:hAnsi="Times New Roman"/>
                <w:b/>
                <w:iCs/>
                <w:sz w:val="24"/>
                <w:szCs w:val="24"/>
              </w:rPr>
              <w:t>neatitinkančius</w:t>
            </w:r>
            <w:r>
              <w:rPr>
                <w:rFonts w:cs="Times New Roman" w:ascii="Times New Roman" w:hAnsi="Times New Roman"/>
                <w:iCs/>
                <w:sz w:val="24"/>
                <w:szCs w:val="24"/>
              </w:rPr>
              <w:t xml:space="preserve"> Projekto </w:t>
            </w:r>
            <w:r>
              <w:rPr>
                <w:rFonts w:cs="Times New Roman" w:ascii="Times New Roman" w:hAnsi="Times New Roman"/>
                <w:b/>
                <w:iCs/>
                <w:sz w:val="24"/>
                <w:szCs w:val="24"/>
              </w:rPr>
              <w:t>sprendinių</w:t>
            </w:r>
            <w:r>
              <w:rPr>
                <w:rFonts w:cs="Times New Roman" w:ascii="Times New Roman" w:hAnsi="Times New Roman"/>
                <w:iCs/>
                <w:sz w:val="24"/>
                <w:szCs w:val="24"/>
              </w:rPr>
              <w:t xml:space="preserve">, taip pat nurodymus ir reikalavimus tiems neatitikimams ištaisyti, </w:t>
            </w:r>
          </w:p>
          <w:p>
            <w:pPr>
              <w:pStyle w:val="ListParagraph"/>
              <w:numPr>
                <w:ilvl w:val="0"/>
                <w:numId w:val="4"/>
              </w:numPr>
              <w:suppressAutoHyphens w:val="true"/>
              <w:spacing w:lineRule="auto" w:line="240" w:before="0" w:after="0"/>
              <w:contextualSpacing/>
              <w:jc w:val="both"/>
              <w:rPr>
                <w:rFonts w:ascii="Times New Roman" w:hAnsi="Times New Roman" w:cs="Times New Roman"/>
                <w:iCs/>
                <w:sz w:val="24"/>
                <w:szCs w:val="24"/>
              </w:rPr>
            </w:pPr>
            <w:r>
              <w:rPr>
                <w:rFonts w:cs="Times New Roman" w:ascii="Times New Roman" w:hAnsi="Times New Roman"/>
                <w:b/>
                <w:iCs/>
                <w:sz w:val="24"/>
                <w:szCs w:val="24"/>
              </w:rPr>
              <w:t>drausti</w:t>
            </w:r>
            <w:r>
              <w:rPr>
                <w:rFonts w:cs="Times New Roman" w:ascii="Times New Roman" w:hAnsi="Times New Roman"/>
                <w:iCs/>
                <w:sz w:val="24"/>
                <w:szCs w:val="24"/>
              </w:rPr>
              <w:t xml:space="preserve"> naudoti statybos produktus (statybines medžiagas, statybos gaminius, dirbinius) ir įrenginius, jei jie </w:t>
            </w:r>
            <w:r>
              <w:rPr>
                <w:rFonts w:cs="Times New Roman" w:ascii="Times New Roman" w:hAnsi="Times New Roman"/>
                <w:b/>
                <w:iCs/>
                <w:sz w:val="24"/>
                <w:szCs w:val="24"/>
              </w:rPr>
              <w:t>neatitinka</w:t>
            </w:r>
            <w:r>
              <w:rPr>
                <w:rFonts w:cs="Times New Roman" w:ascii="Times New Roman" w:hAnsi="Times New Roman"/>
                <w:iCs/>
                <w:sz w:val="24"/>
                <w:szCs w:val="24"/>
              </w:rPr>
              <w:t xml:space="preserve"> Projekto (jo dalies) techninių specifikacijų, normatyvinių statybos techninių ir normatyvinių statinio saugos ir paskirties dokumentų </w:t>
            </w:r>
            <w:r>
              <w:rPr>
                <w:rFonts w:cs="Times New Roman" w:ascii="Times New Roman" w:hAnsi="Times New Roman"/>
                <w:b/>
                <w:iCs/>
                <w:sz w:val="24"/>
                <w:szCs w:val="24"/>
              </w:rPr>
              <w:t>reikalavimų</w:t>
            </w:r>
            <w:r>
              <w:rPr>
                <w:rFonts w:cs="Times New Roman" w:ascii="Times New Roman" w:hAnsi="Times New Roman"/>
                <w:iCs/>
                <w:sz w:val="24"/>
                <w:szCs w:val="24"/>
              </w:rPr>
              <w:t xml:space="preserve">, ir </w:t>
            </w:r>
            <w:r>
              <w:rPr>
                <w:rFonts w:cs="Times New Roman" w:ascii="Times New Roman" w:hAnsi="Times New Roman"/>
                <w:b/>
                <w:iCs/>
                <w:sz w:val="24"/>
                <w:szCs w:val="24"/>
              </w:rPr>
              <w:t>apie tai įrašyti į Statybos darbų žurnalą</w:t>
            </w:r>
            <w:r>
              <w:rPr>
                <w:rFonts w:cs="Times New Roman" w:ascii="Times New Roman" w:hAnsi="Times New Roman"/>
                <w:iCs/>
                <w:sz w:val="24"/>
                <w:szCs w:val="24"/>
              </w:rPr>
              <w:t xml:space="preserve">, </w:t>
            </w:r>
          </w:p>
          <w:p>
            <w:pPr>
              <w:pStyle w:val="ListParagraph"/>
              <w:numPr>
                <w:ilvl w:val="0"/>
                <w:numId w:val="4"/>
              </w:numPr>
              <w:suppressAutoHyphens w:val="true"/>
              <w:spacing w:lineRule="auto" w:line="240" w:before="0" w:after="0"/>
              <w:contextualSpacing/>
              <w:jc w:val="both"/>
              <w:rPr>
                <w:iCs/>
                <w:lang w:eastAsia="lt-LT"/>
              </w:rPr>
            </w:pPr>
            <w:r>
              <w:rPr>
                <w:rFonts w:cs="Times New Roman" w:ascii="Times New Roman" w:hAnsi="Times New Roman"/>
                <w:iCs/>
                <w:sz w:val="24"/>
                <w:szCs w:val="24"/>
              </w:rPr>
              <w:t xml:space="preserve">atlikti Projekto (jo dalies) sprendinių </w:t>
            </w:r>
            <w:r>
              <w:rPr>
                <w:rFonts w:cs="Times New Roman" w:ascii="Times New Roman" w:hAnsi="Times New Roman"/>
                <w:b/>
                <w:iCs/>
                <w:sz w:val="24"/>
                <w:szCs w:val="24"/>
              </w:rPr>
              <w:t>pakeitimus</w:t>
            </w:r>
            <w:r>
              <w:rPr>
                <w:rFonts w:cs="Times New Roman" w:ascii="Times New Roman" w:hAnsi="Times New Roman"/>
                <w:i/>
                <w:sz w:val="24"/>
                <w:szCs w:val="24"/>
              </w:rPr>
              <w:t>.</w:t>
            </w:r>
            <w:r>
              <w:rPr>
                <w:rFonts w:cs="Times New Roman" w:ascii="Times New Roman" w:hAnsi="Times New Roman"/>
                <w:i/>
                <w:sz w:val="20"/>
                <w:szCs w:val="20"/>
              </w:rPr>
              <w:t xml:space="preserve"> </w:t>
            </w:r>
          </w:p>
        </w:tc>
      </w:tr>
      <w:tr>
        <w:trPr>
          <w:trHeight w:val="481" w:hRule="atLeast"/>
        </w:trPr>
        <w:tc>
          <w:tcPr>
            <w:tcW w:w="82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t>9.</w:t>
            </w:r>
          </w:p>
        </w:tc>
        <w:tc>
          <w:tcPr>
            <w:tcW w:w="2400" w:type="dxa"/>
            <w:tcBorders>
              <w:top w:val="single" w:sz="4" w:space="0" w:color="000000"/>
              <w:left w:val="single" w:sz="4" w:space="0" w:color="000000"/>
              <w:bottom w:val="single" w:sz="4" w:space="0" w:color="000000"/>
              <w:right w:val="single" w:sz="4" w:space="0" w:color="000000"/>
            </w:tcBorders>
          </w:tcPr>
          <w:p>
            <w:pPr>
              <w:pStyle w:val="Normal"/>
              <w:spacing w:lineRule="auto" w:line="276"/>
              <w:rPr>
                <w:u w:val="single"/>
              </w:rPr>
            </w:pPr>
            <w:r>
              <w:rPr/>
              <w:t>Paslaugų teikimo pradžia ir trukmė</w:t>
            </w:r>
          </w:p>
        </w:tc>
        <w:tc>
          <w:tcPr>
            <w:tcW w:w="6697" w:type="dxa"/>
            <w:tcBorders>
              <w:top w:val="single" w:sz="4" w:space="0" w:color="000000"/>
              <w:left w:val="single" w:sz="4" w:space="0" w:color="000000"/>
              <w:bottom w:val="single" w:sz="4" w:space="0" w:color="000000"/>
              <w:right w:val="single" w:sz="4" w:space="0" w:color="000000"/>
            </w:tcBorders>
          </w:tcPr>
          <w:p>
            <w:pPr>
              <w:pStyle w:val="Default"/>
              <w:jc w:val="both"/>
              <w:rPr>
                <w:lang w:val="lt-LT"/>
              </w:rPr>
            </w:pPr>
            <w:r>
              <w:rPr>
                <w:lang w:val="lt-LT"/>
              </w:rPr>
              <w:t xml:space="preserve">Projektavimo paslaugos pradedamos teikti po sutarties pasirašymo. </w:t>
            </w:r>
          </w:p>
          <w:p>
            <w:pPr>
              <w:pStyle w:val="Default"/>
              <w:jc w:val="both"/>
              <w:rPr>
                <w:lang w:val="lt-LT"/>
              </w:rPr>
            </w:pPr>
            <w:r>
              <w:rPr>
                <w:lang w:val="lt-LT"/>
              </w:rPr>
              <w:t xml:space="preserve">Maksimalus paslaugų suteikimo terminas 36 mėnesiai (įskaitant tyrimus, projekto ekspertizę ir korekcijas po jos, projekto vykdymo priežiūra) po sutarties pasirašymo: </w:t>
            </w:r>
          </w:p>
          <w:p>
            <w:pPr>
              <w:pStyle w:val="Default"/>
              <w:numPr>
                <w:ilvl w:val="0"/>
                <w:numId w:val="4"/>
              </w:numPr>
              <w:jc w:val="both"/>
              <w:rPr>
                <w:lang w:val="lt-LT"/>
              </w:rPr>
            </w:pPr>
            <w:r>
              <w:rPr>
                <w:lang w:val="lt-LT"/>
              </w:rPr>
              <w:t xml:space="preserve">Projektinių pasiūlymų parengimas (įskaitant statybos leidimo gavimą jei taikoma ir statybinių inžinerinių geodezinių tyrimų atlikimas) – </w:t>
            </w:r>
            <w:r>
              <w:rPr>
                <w:b/>
                <w:bCs/>
                <w:lang w:val="lt-LT"/>
              </w:rPr>
              <w:t>per 4 mėnesius nuo sutarties įsigaliojimo dienos</w:t>
            </w:r>
            <w:r>
              <w:rPr>
                <w:lang w:val="lt-LT"/>
              </w:rPr>
              <w:t>;</w:t>
            </w:r>
          </w:p>
          <w:p>
            <w:pPr>
              <w:pStyle w:val="Default"/>
              <w:numPr>
                <w:ilvl w:val="0"/>
                <w:numId w:val="4"/>
              </w:numPr>
              <w:jc w:val="both"/>
              <w:rPr>
                <w:lang w:val="lt-LT"/>
              </w:rPr>
            </w:pPr>
            <w:r>
              <w:rPr>
                <w:lang w:val="lt-LT"/>
              </w:rPr>
              <w:t xml:space="preserve">Techninio darbo projekto parengimas – </w:t>
            </w:r>
            <w:r>
              <w:rPr>
                <w:b/>
                <w:bCs/>
                <w:lang w:val="lt-LT"/>
              </w:rPr>
              <w:t>per 9 mėnesius nuo sutarties įsigaliojimo dienos</w:t>
            </w:r>
            <w:r>
              <w:rPr>
                <w:lang w:val="lt-LT"/>
              </w:rPr>
              <w:t>;</w:t>
            </w:r>
          </w:p>
          <w:p>
            <w:pPr>
              <w:pStyle w:val="Default"/>
              <w:numPr>
                <w:ilvl w:val="0"/>
                <w:numId w:val="4"/>
              </w:numPr>
              <w:jc w:val="both"/>
              <w:rPr>
                <w:lang w:val="lt-LT"/>
              </w:rPr>
            </w:pPr>
            <w:r>
              <w:rPr>
                <w:lang w:val="lt-LT"/>
              </w:rPr>
              <w:t xml:space="preserve">Statinio projekto vykdymo priežiūra – </w:t>
            </w:r>
            <w:r>
              <w:rPr>
                <w:b/>
                <w:bCs/>
                <w:lang w:val="lt-LT"/>
              </w:rPr>
              <w:t>per 36 mėnesius nuo sutarties įsigaliojimo dienos</w:t>
            </w:r>
            <w:r>
              <w:rPr>
                <w:lang w:val="lt-LT"/>
              </w:rPr>
              <w:t>.</w:t>
            </w:r>
          </w:p>
        </w:tc>
      </w:tr>
      <w:tr>
        <w:trPr>
          <w:trHeight w:val="70" w:hRule="atLeast"/>
        </w:trPr>
        <w:tc>
          <w:tcPr>
            <w:tcW w:w="992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ind w:left="360"/>
              <w:rPr>
                <w:b/>
              </w:rPr>
            </w:pPr>
            <w:r>
              <w:rPr>
                <w:b/>
              </w:rPr>
              <w:t>III. Reikalavimai projektavimo paslaugoms</w:t>
            </w:r>
          </w:p>
        </w:tc>
      </w:tr>
      <w:tr>
        <w:trPr>
          <w:trHeight w:val="622" w:hRule="atLeast"/>
        </w:trPr>
        <w:tc>
          <w:tcPr>
            <w:tcW w:w="82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t>10.</w:t>
            </w:r>
          </w:p>
        </w:tc>
        <w:tc>
          <w:tcPr>
            <w:tcW w:w="2400"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u w:val="single"/>
              </w:rPr>
            </w:pPr>
            <w:r>
              <w:rPr/>
              <w:t>Statinio projekto dokumentams taikomi</w:t>
            </w:r>
            <w:r>
              <w:rPr>
                <w:b/>
              </w:rPr>
              <w:t xml:space="preserve"> </w:t>
            </w:r>
            <w:r>
              <w:rPr/>
              <w:t xml:space="preserve">teisės aktai, normatyviniai statybos techniniai dokumentai bei normatyviniai statinio saugos ir paskirties dokumentai, teritorijų planavimo dokumentai. </w:t>
            </w:r>
          </w:p>
        </w:tc>
        <w:tc>
          <w:tcPr>
            <w:tcW w:w="6697" w:type="dxa"/>
            <w:tcBorders>
              <w:top w:val="single" w:sz="4" w:space="0" w:color="000000"/>
              <w:left w:val="single" w:sz="4" w:space="0" w:color="000000"/>
              <w:bottom w:val="single" w:sz="4" w:space="0" w:color="000000"/>
              <w:right w:val="single" w:sz="4" w:space="0" w:color="000000"/>
            </w:tcBorders>
          </w:tcPr>
          <w:p>
            <w:pPr>
              <w:pStyle w:val="Normal"/>
              <w:jc w:val="both"/>
              <w:rPr>
                <w:iCs/>
                <w:kern w:val="0"/>
                <w:lang w:eastAsia="lt-LT"/>
              </w:rPr>
            </w:pPr>
            <w:r>
              <w:rPr>
                <w:iCs/>
                <w:kern w:val="0"/>
                <w:lang w:eastAsia="lt-LT"/>
              </w:rPr>
              <w:t xml:space="preserve">Statinio projektas turi atitikti privalomųjų statinio projekto rengimo dokumentų ir kitų norminių teisės aktų reikalavimus, o jais grindžiami sprendiniai suderinti su teritorijos infrastruktūros plėtra. Jeigu yra galiojantys, nurodomi ir specifiniai norminiai dokumentai, kuriais vadovaujantis turi būti rengiami projekto sprendiniai. </w:t>
            </w:r>
          </w:p>
          <w:tbl>
            <w:tblPr>
              <w:tblW w:w="6481"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6481"/>
            </w:tblGrid>
            <w:tr>
              <w:trPr>
                <w:trHeight w:val="1903" w:hRule="atLeast"/>
              </w:trPr>
              <w:tc>
                <w:tcPr>
                  <w:tcW w:w="6481" w:type="dxa"/>
                  <w:tcBorders/>
                </w:tcPr>
                <w:p>
                  <w:pPr>
                    <w:pStyle w:val="Normal"/>
                    <w:widowControl/>
                    <w:suppressAutoHyphens w:val="false"/>
                    <w:ind w:firstLine="43" w:left="-43"/>
                    <w:rPr>
                      <w:rFonts w:eastAsia="Calibri" w:eastAsiaTheme="minorHAnsi"/>
                      <w:color w:val="000000"/>
                      <w:kern w:val="0"/>
                      <w:lang w:eastAsia="en-US"/>
                    </w:rPr>
                  </w:pPr>
                  <w:r>
                    <w:rPr>
                      <w:rFonts w:eastAsia="Calibri" w:eastAsiaTheme="minorHAnsi"/>
                      <w:color w:val="000000"/>
                      <w:kern w:val="0"/>
                      <w:lang w:eastAsia="en-US"/>
                    </w:rPr>
                    <w:t xml:space="preserve">Statinio projektas turi atitikti privalomųjų statinio projekto rengimo dokumentų ir kitų norminių teisės aktų reikalavimus. </w:t>
                  </w:r>
                </w:p>
                <w:p>
                  <w:pPr>
                    <w:pStyle w:val="Normal"/>
                    <w:widowControl/>
                    <w:suppressAutoHyphens w:val="false"/>
                    <w:rPr>
                      <w:rFonts w:eastAsia="Calibri" w:eastAsiaTheme="minorHAnsi"/>
                      <w:color w:val="000000"/>
                      <w:kern w:val="0"/>
                      <w:lang w:eastAsia="en-US"/>
                    </w:rPr>
                  </w:pPr>
                  <w:r>
                    <w:rPr>
                      <w:rFonts w:eastAsia="Calibri" w:eastAsiaTheme="minorHAnsi"/>
                      <w:color w:val="000000"/>
                      <w:kern w:val="0"/>
                      <w:lang w:eastAsia="en-US"/>
                    </w:rPr>
                    <w:t xml:space="preserve">Normatyviniai statybos techniniai dokumentai, </w:t>
                  </w:r>
                  <w:r>
                    <w:rPr>
                      <w:rFonts w:eastAsia="Calibri" w:eastAsiaTheme="minorHAnsi"/>
                      <w:b/>
                      <w:bCs/>
                      <w:color w:val="000000"/>
                      <w:kern w:val="0"/>
                      <w:lang w:eastAsia="en-US"/>
                    </w:rPr>
                    <w:t xml:space="preserve">privalomi </w:t>
                  </w:r>
                  <w:r>
                    <w:rPr>
                      <w:rFonts w:eastAsia="Calibri" w:eastAsiaTheme="minorHAnsi"/>
                      <w:color w:val="000000"/>
                      <w:kern w:val="0"/>
                      <w:lang w:eastAsia="en-US"/>
                    </w:rPr>
                    <w:t xml:space="preserve">visiems statybos dalyviams: </w:t>
                  </w:r>
                </w:p>
                <w:p>
                  <w:pPr>
                    <w:pStyle w:val="Normal"/>
                    <w:widowControl/>
                    <w:suppressAutoHyphens w:val="false"/>
                    <w:rPr>
                      <w:rFonts w:eastAsia="Calibri" w:eastAsiaTheme="minorHAnsi"/>
                      <w:color w:val="000000"/>
                      <w:kern w:val="0"/>
                      <w:lang w:eastAsia="en-US"/>
                    </w:rPr>
                  </w:pPr>
                  <w:r>
                    <w:rPr>
                      <w:rFonts w:eastAsia="Calibri" w:eastAsiaTheme="minorHAnsi"/>
                      <w:color w:val="000000"/>
                      <w:kern w:val="0"/>
                      <w:lang w:eastAsia="en-US"/>
                    </w:rPr>
                    <w:t xml:space="preserve">- statybos techniniai reglamentai, </w:t>
                  </w:r>
                </w:p>
                <w:p>
                  <w:pPr>
                    <w:pStyle w:val="Normal"/>
                    <w:widowControl/>
                    <w:suppressAutoHyphens w:val="false"/>
                    <w:rPr>
                      <w:rFonts w:eastAsia="Calibri" w:eastAsiaTheme="minorHAnsi"/>
                      <w:color w:val="000000"/>
                      <w:kern w:val="0"/>
                      <w:lang w:eastAsia="en-US"/>
                    </w:rPr>
                  </w:pPr>
                  <w:r>
                    <w:rPr>
                      <w:rFonts w:eastAsia="Calibri" w:eastAsiaTheme="minorHAnsi"/>
                      <w:color w:val="000000"/>
                      <w:kern w:val="0"/>
                      <w:lang w:eastAsia="en-US"/>
                    </w:rPr>
                    <w:t xml:space="preserve">- Vyriausybės įgaliotų institucijų teisės aktai, elektros įrenginių įrengimo taisyklės, priešgaisriniai reikalavimai, saugos ir sveikatos reikalavimai ir kt. </w:t>
                  </w:r>
                </w:p>
                <w:p>
                  <w:pPr>
                    <w:pStyle w:val="Normal"/>
                    <w:widowControl/>
                    <w:suppressAutoHyphens w:val="false"/>
                    <w:rPr>
                      <w:rFonts w:eastAsia="Calibri" w:eastAsiaTheme="minorHAnsi"/>
                      <w:color w:val="000000"/>
                      <w:kern w:val="0"/>
                      <w:sz w:val="23"/>
                      <w:szCs w:val="23"/>
                      <w:lang w:eastAsia="en-US"/>
                    </w:rPr>
                  </w:pPr>
                  <w:r>
                    <w:rPr>
                      <w:rFonts w:eastAsia="Calibri" w:eastAsiaTheme="minorHAnsi"/>
                      <w:color w:val="000000"/>
                      <w:kern w:val="0"/>
                      <w:lang w:eastAsia="en-US"/>
                    </w:rPr>
                    <w:t>Projektinę dokumentaciją rengti vadovaujantis Lietuvos Respublikos statybos įstatymu, Statybos įstatymu, Statybos techniniais reglamentais: STR 1.04.04:2017 „Statinio projektavimas, projekto ekspertizė“, bei kitais teisės aktais.</w:t>
                  </w:r>
                  <w:r>
                    <w:rPr>
                      <w:rFonts w:eastAsia="Calibri" w:eastAsiaTheme="minorHAnsi"/>
                      <w:color w:val="000000"/>
                      <w:kern w:val="0"/>
                      <w:sz w:val="23"/>
                      <w:szCs w:val="23"/>
                      <w:lang w:eastAsia="en-US"/>
                    </w:rPr>
                    <w:t xml:space="preserve"> </w:t>
                  </w:r>
                </w:p>
                <w:p>
                  <w:pPr>
                    <w:pStyle w:val="Normal"/>
                    <w:widowControl/>
                    <w:tabs>
                      <w:tab w:val="clear" w:pos="720"/>
                      <w:tab w:val="left" w:pos="0" w:leader="none"/>
                    </w:tabs>
                    <w:suppressAutoHyphens w:val="false"/>
                    <w:ind w:left="-120"/>
                    <w:rPr>
                      <w:rFonts w:eastAsia="Calibri" w:eastAsiaTheme="minorHAnsi"/>
                      <w:color w:val="000000"/>
                      <w:kern w:val="0"/>
                      <w:lang w:eastAsia="en-US"/>
                    </w:rPr>
                  </w:pPr>
                  <w:r>
                    <w:rPr/>
                    <w:t>Taip pat būtina vadovautis:</w:t>
                  </w:r>
                </w:p>
                <w:p>
                  <w:pPr>
                    <w:pStyle w:val="Normal"/>
                    <w:widowControl/>
                    <w:tabs>
                      <w:tab w:val="clear" w:pos="720"/>
                      <w:tab w:val="left" w:pos="0" w:leader="none"/>
                    </w:tabs>
                    <w:suppressAutoHyphens w:val="false"/>
                    <w:ind w:left="-120"/>
                    <w:rPr>
                      <w:color w:val="000000"/>
                      <w:lang w:eastAsia="lt-LT"/>
                    </w:rPr>
                  </w:pPr>
                  <w:r>
                    <w:rPr>
                      <w:position w:val="2"/>
                    </w:rPr>
                    <w:t xml:space="preserve">Lietuvos Respublikos statybos įstatymo 2 straipsnio 109 dalyje reikalavimams </w:t>
                  </w:r>
                  <w:r>
                    <w:rPr>
                      <w:color w:val="000000"/>
                      <w:lang w:eastAsia="lt-LT"/>
                    </w:rPr>
                    <w:t xml:space="preserve">(informacija apie universalaus dizaino principus skelbiama interneto svetainėje </w:t>
                  </w:r>
                  <w:hyperlink r:id="rId3">
                    <w:r>
                      <w:rPr>
                        <w:rStyle w:val="Hyperlink"/>
                        <w:lang w:eastAsia="lt-LT"/>
                      </w:rPr>
                      <w:t>https://www.ndt.lt/universalus-dizainas/</w:t>
                    </w:r>
                  </w:hyperlink>
                  <w:r>
                    <w:rPr>
                      <w:color w:val="000000"/>
                      <w:lang w:eastAsia="lt-LT"/>
                    </w:rPr>
                    <w:t>) 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p>
              </w:tc>
            </w:tr>
          </w:tbl>
          <w:p>
            <w:pPr>
              <w:pStyle w:val="Normal"/>
              <w:rPr>
                <w:b/>
                <w:i/>
                <w:i/>
                <w:sz w:val="22"/>
                <w:szCs w:val="22"/>
              </w:rPr>
            </w:pPr>
            <w:r>
              <w:rPr>
                <w:b/>
                <w:i/>
                <w:sz w:val="22"/>
                <w:szCs w:val="22"/>
              </w:rPr>
            </w:r>
          </w:p>
        </w:tc>
      </w:tr>
      <w:tr>
        <w:trPr>
          <w:trHeight w:val="1047" w:hRule="atLeast"/>
        </w:trPr>
        <w:tc>
          <w:tcPr>
            <w:tcW w:w="82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t>11.</w:t>
            </w:r>
          </w:p>
        </w:tc>
        <w:tc>
          <w:tcPr>
            <w:tcW w:w="2400"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t>Universaliojo dizaino principų taikymo reikalavimai</w:t>
            </w:r>
          </w:p>
        </w:tc>
        <w:tc>
          <w:tcPr>
            <w:tcW w:w="6697" w:type="dxa"/>
            <w:tcBorders>
              <w:top w:val="single" w:sz="4" w:space="0" w:color="000000"/>
              <w:left w:val="single" w:sz="4" w:space="0" w:color="000000"/>
              <w:bottom w:val="single" w:sz="4" w:space="0" w:color="000000"/>
              <w:right w:val="single" w:sz="4" w:space="0" w:color="000000"/>
            </w:tcBorders>
          </w:tcPr>
          <w:p>
            <w:pPr>
              <w:pStyle w:val="Normal"/>
              <w:jc w:val="both"/>
              <w:rPr>
                <w:iCs/>
                <w:kern w:val="0"/>
                <w:lang w:eastAsia="lt-LT"/>
              </w:rPr>
            </w:pPr>
            <w:r>
              <w:rPr>
                <w:iCs/>
                <w:kern w:val="0"/>
                <w:lang w:eastAsia="lt-LT"/>
              </w:rPr>
              <w:t>Turi būti laikomasi visų universalaus dizaino principų pritaikant judėjimo, regėjimo, klausymosi negalioms būtinus takus, įėjimus, patalpas, produktus ir paslaugas atsižvelgiant į visų žmonių amžių, dydį ir galimybes. Privaloma suprojektuoti ir užtikrinti žmonių su negalia ne tik patekimą / evakuaciją, bet ilgalaikį naudojimąsi numatomomis paslaugomis, pagalbinėse patalpose, užtikrinant  pritaikomumą visiems žmonėms su negalia (judėjimo negalia, regėjimo negalia).</w:t>
            </w:r>
          </w:p>
        </w:tc>
      </w:tr>
      <w:tr>
        <w:trPr>
          <w:trHeight w:val="1047" w:hRule="atLeast"/>
        </w:trPr>
        <w:tc>
          <w:tcPr>
            <w:tcW w:w="82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t>12.</w:t>
            </w:r>
          </w:p>
        </w:tc>
        <w:tc>
          <w:tcPr>
            <w:tcW w:w="2400"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t>Aplinkosaugos, sveikatos, saugomos teritorijos ir nekilnojamosios kultūros paveldo vertybės apsaugos reikalavimai</w:t>
            </w:r>
          </w:p>
        </w:tc>
        <w:tc>
          <w:tcPr>
            <w:tcW w:w="6697" w:type="dxa"/>
            <w:tcBorders>
              <w:top w:val="single" w:sz="4" w:space="0" w:color="000000"/>
              <w:left w:val="single" w:sz="4" w:space="0" w:color="000000"/>
              <w:bottom w:val="single" w:sz="4" w:space="0" w:color="000000"/>
              <w:right w:val="single" w:sz="4" w:space="0" w:color="000000"/>
            </w:tcBorders>
          </w:tcPr>
          <w:p>
            <w:pPr>
              <w:pStyle w:val="Normal"/>
              <w:rPr/>
            </w:pPr>
            <w:r>
              <w:rPr/>
              <w:t>Projektuotojas teikiamoms projektavimo paslaugoms privalo taikyti aplinkos apsaugos vadybos sistemos reikalavimus pagal standartą LST EN ISO 14001 arba EMAS ar kitus aplinkos apsaugos vadybos standartus.</w:t>
            </w:r>
          </w:p>
          <w:p>
            <w:pPr>
              <w:pStyle w:val="Normal"/>
              <w:jc w:val="both"/>
              <w:rPr>
                <w:iCs/>
                <w:kern w:val="0"/>
                <w:lang w:eastAsia="lt-LT"/>
              </w:rPr>
            </w:pPr>
            <w:r>
              <w:rPr>
                <w:iCs/>
                <w:kern w:val="0"/>
                <w:lang w:eastAsia="lt-LT"/>
              </w:rPr>
            </w:r>
          </w:p>
        </w:tc>
      </w:tr>
      <w:tr>
        <w:trPr>
          <w:trHeight w:val="1047" w:hRule="atLeast"/>
        </w:trPr>
        <w:tc>
          <w:tcPr>
            <w:tcW w:w="82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t>13.</w:t>
            </w:r>
          </w:p>
        </w:tc>
        <w:tc>
          <w:tcPr>
            <w:tcW w:w="2400" w:type="dxa"/>
            <w:tcBorders>
              <w:top w:val="single" w:sz="4" w:space="0" w:color="000000"/>
              <w:left w:val="single" w:sz="4" w:space="0" w:color="000000"/>
              <w:bottom w:val="single" w:sz="4" w:space="0" w:color="000000"/>
              <w:right w:val="single" w:sz="4" w:space="0" w:color="000000"/>
            </w:tcBorders>
          </w:tcPr>
          <w:tbl>
            <w:tblPr>
              <w:tblW w:w="2183"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183"/>
            </w:tblGrid>
            <w:tr>
              <w:trPr>
                <w:trHeight w:val="425" w:hRule="atLeast"/>
              </w:trPr>
              <w:tc>
                <w:tcPr>
                  <w:tcW w:w="2183" w:type="dxa"/>
                  <w:tcBorders/>
                </w:tcPr>
                <w:p>
                  <w:pPr>
                    <w:pStyle w:val="Normal"/>
                    <w:widowControl/>
                    <w:suppressAutoHyphens w:val="false"/>
                    <w:rPr>
                      <w:rFonts w:eastAsia="Calibri" w:eastAsiaTheme="minorHAnsi"/>
                      <w:color w:val="000000"/>
                      <w:kern w:val="0"/>
                      <w:lang w:eastAsia="en-US"/>
                    </w:rPr>
                  </w:pPr>
                  <w:r>
                    <w:rPr>
                      <w:rFonts w:eastAsia="Calibri" w:eastAsiaTheme="minorHAnsi"/>
                      <w:color w:val="000000"/>
                      <w:kern w:val="0"/>
                      <w:lang w:eastAsia="en-US"/>
                    </w:rPr>
                    <w:t xml:space="preserve">Nurodymai sprendinių derinimui, jų pritarimui ir pan. </w:t>
                  </w:r>
                </w:p>
              </w:tc>
            </w:tr>
          </w:tbl>
          <w:p>
            <w:pPr>
              <w:pStyle w:val="Normal"/>
              <w:spacing w:lineRule="auto" w:line="276"/>
              <w:rPr/>
            </w:pPr>
            <w:r>
              <w:rPr/>
            </w:r>
          </w:p>
        </w:tc>
        <w:tc>
          <w:tcPr>
            <w:tcW w:w="6697" w:type="dxa"/>
            <w:tcBorders>
              <w:top w:val="single" w:sz="4" w:space="0" w:color="000000"/>
              <w:left w:val="single" w:sz="4" w:space="0" w:color="000000"/>
              <w:bottom w:val="single" w:sz="4" w:space="0" w:color="000000"/>
              <w:right w:val="single" w:sz="4" w:space="0" w:color="000000"/>
            </w:tcBorders>
          </w:tcPr>
          <w:p>
            <w:pPr>
              <w:pStyle w:val="Normal"/>
              <w:jc w:val="both"/>
              <w:rPr>
                <w:kern w:val="0"/>
                <w:lang w:eastAsia="lt-LT"/>
              </w:rPr>
            </w:pPr>
            <w:r>
              <w:rPr>
                <w:kern w:val="0"/>
                <w:lang w:eastAsia="lt-LT"/>
              </w:rPr>
              <w:t xml:space="preserve">Reikalavimai projekto derinimui. Paslaugos vykdytojui atlikus etapuose numatytus darbus, jie turi būti suderinti ir patvirtinti Užsakovo. </w:t>
            </w:r>
          </w:p>
          <w:p>
            <w:pPr>
              <w:pStyle w:val="Default"/>
              <w:jc w:val="both"/>
              <w:rPr>
                <w:iCs/>
                <w:lang w:val="lt-LT" w:eastAsia="lt-LT"/>
              </w:rPr>
            </w:pPr>
            <w:r>
              <w:rPr>
                <w:lang w:val="lt-LT"/>
              </w:rPr>
              <w:t xml:space="preserve">Projekto patvirtinimas reiškia užsakovo pritarimą parengtam Projektui, bet neatleidžia projektuotojo nuo atsakomybės už normatyvinę Projekto kokybę. </w:t>
            </w:r>
          </w:p>
        </w:tc>
      </w:tr>
      <w:tr>
        <w:trPr>
          <w:trHeight w:val="1047" w:hRule="atLeast"/>
        </w:trPr>
        <w:tc>
          <w:tcPr>
            <w:tcW w:w="82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t>14.</w:t>
            </w:r>
          </w:p>
        </w:tc>
        <w:tc>
          <w:tcPr>
            <w:tcW w:w="2400" w:type="dxa"/>
            <w:tcBorders>
              <w:top w:val="single" w:sz="4" w:space="0" w:color="000000"/>
              <w:left w:val="single" w:sz="4" w:space="0" w:color="000000"/>
              <w:bottom w:val="single" w:sz="4" w:space="0" w:color="000000"/>
              <w:right w:val="single" w:sz="4" w:space="0" w:color="000000"/>
            </w:tcBorders>
          </w:tcPr>
          <w:p>
            <w:pPr>
              <w:pStyle w:val="Default"/>
              <w:rPr>
                <w:lang w:val="de-DE"/>
              </w:rPr>
            </w:pPr>
            <w:r>
              <w:rPr>
                <w:lang w:val="lt-LT"/>
              </w:rPr>
              <w:t xml:space="preserve">Reikalavimai projekto rengimo dokumentų kalbai (-oms) </w:t>
            </w:r>
          </w:p>
        </w:tc>
        <w:tc>
          <w:tcPr>
            <w:tcW w:w="6697" w:type="dxa"/>
            <w:tcBorders>
              <w:top w:val="single" w:sz="4" w:space="0" w:color="000000"/>
              <w:left w:val="single" w:sz="4" w:space="0" w:color="000000"/>
              <w:bottom w:val="single" w:sz="4" w:space="0" w:color="000000"/>
              <w:right w:val="single" w:sz="4" w:space="0" w:color="000000"/>
            </w:tcBorders>
          </w:tcPr>
          <w:p>
            <w:pPr>
              <w:pStyle w:val="Default"/>
              <w:jc w:val="both"/>
              <w:rPr>
                <w:lang w:val="lt-LT"/>
              </w:rPr>
            </w:pPr>
            <w:r>
              <w:rPr>
                <w:lang w:val="lt-LT"/>
              </w:rPr>
              <w:t xml:space="preserve">Projekto rengimo dokumentai turi būti parengti valstybine – lietuvių kalba. </w:t>
            </w:r>
          </w:p>
        </w:tc>
      </w:tr>
      <w:tr>
        <w:trPr>
          <w:trHeight w:val="1047" w:hRule="atLeast"/>
        </w:trPr>
        <w:tc>
          <w:tcPr>
            <w:tcW w:w="82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t>15.</w:t>
            </w:r>
          </w:p>
        </w:tc>
        <w:tc>
          <w:tcPr>
            <w:tcW w:w="2400" w:type="dxa"/>
            <w:tcBorders>
              <w:top w:val="single" w:sz="4" w:space="0" w:color="000000"/>
              <w:left w:val="single" w:sz="4" w:space="0" w:color="000000"/>
              <w:bottom w:val="single" w:sz="4" w:space="0" w:color="000000"/>
              <w:right w:val="single" w:sz="4" w:space="0" w:color="000000"/>
            </w:tcBorders>
          </w:tcPr>
          <w:p>
            <w:pPr>
              <w:pStyle w:val="Default"/>
              <w:rPr>
                <w:lang w:val="de-DE"/>
              </w:rPr>
            </w:pPr>
            <w:r>
              <w:rPr>
                <w:lang w:val="lt-LT"/>
              </w:rPr>
              <w:t xml:space="preserve">Nurodymai statinio projekto dokumentų komplektavimui, įforminimui ir pateikimui </w:t>
            </w:r>
          </w:p>
        </w:tc>
        <w:tc>
          <w:tcPr>
            <w:tcW w:w="6697" w:type="dxa"/>
            <w:tcBorders>
              <w:top w:val="single" w:sz="4" w:space="0" w:color="000000"/>
              <w:left w:val="single" w:sz="4" w:space="0" w:color="000000"/>
              <w:bottom w:val="single" w:sz="4" w:space="0" w:color="000000"/>
              <w:right w:val="single" w:sz="4" w:space="0" w:color="000000"/>
            </w:tcBorders>
          </w:tcPr>
          <w:p>
            <w:pPr>
              <w:pStyle w:val="Default"/>
              <w:jc w:val="both"/>
              <w:rPr>
                <w:lang w:val="lt-LT"/>
              </w:rPr>
            </w:pPr>
            <w:r>
              <w:rPr>
                <w:lang w:val="lt-LT" w:eastAsia="lt-LT"/>
              </w:rPr>
              <w:t>Užsakovui pateikiami 1 (vienas) projekto ir/ar kitos dokumentacijos egzempliorius (popieriuje), 1 (vieną) kompiuterinė USB laikmena su įrašytu projektu *. dwg, *.gif, *.tif, *.png, *.rtf, *.pdf ir kitu originaliu formatu.</w:t>
            </w:r>
          </w:p>
        </w:tc>
      </w:tr>
      <w:tr>
        <w:trPr>
          <w:trHeight w:val="1047" w:hRule="atLeast"/>
        </w:trPr>
        <w:tc>
          <w:tcPr>
            <w:tcW w:w="82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t>16.</w:t>
            </w:r>
          </w:p>
        </w:tc>
        <w:tc>
          <w:tcPr>
            <w:tcW w:w="2400" w:type="dxa"/>
            <w:tcBorders>
              <w:top w:val="single" w:sz="4" w:space="0" w:color="000000"/>
              <w:left w:val="single" w:sz="4" w:space="0" w:color="000000"/>
              <w:bottom w:val="single" w:sz="4" w:space="0" w:color="000000"/>
              <w:right w:val="single" w:sz="4" w:space="0" w:color="000000"/>
            </w:tcBorders>
          </w:tcPr>
          <w:p>
            <w:pPr>
              <w:pStyle w:val="Default"/>
              <w:rPr>
                <w:lang w:val="lt-LT"/>
              </w:rPr>
            </w:pPr>
            <w:r>
              <w:rPr/>
              <w:t>Ekspertizės atlikimas</w:t>
            </w:r>
          </w:p>
        </w:tc>
        <w:tc>
          <w:tcPr>
            <w:tcW w:w="6697" w:type="dxa"/>
            <w:tcBorders>
              <w:top w:val="single" w:sz="4" w:space="0" w:color="000000"/>
              <w:left w:val="single" w:sz="4" w:space="0" w:color="000000"/>
              <w:bottom w:val="single" w:sz="4" w:space="0" w:color="000000"/>
              <w:right w:val="single" w:sz="4" w:space="0" w:color="000000"/>
            </w:tcBorders>
          </w:tcPr>
          <w:p>
            <w:pPr>
              <w:pStyle w:val="Default"/>
              <w:jc w:val="both"/>
              <w:rPr>
                <w:lang w:val="lt-LT"/>
              </w:rPr>
            </w:pPr>
            <w:r>
              <w:rPr>
                <w:lang w:val="lt-LT" w:eastAsia="lt-LT"/>
              </w:rPr>
              <w:t>Statinio projekto ekspertizę organizuoja Statytojas, o Projektuotojas privalo pataisyti projektą pagal ekspertizės akte nurodytas pagrįstas privalomas pastabas.</w:t>
            </w:r>
          </w:p>
        </w:tc>
      </w:tr>
    </w:tbl>
    <w:p>
      <w:pPr>
        <w:pStyle w:val="Normal"/>
        <w:jc w:val="both"/>
        <w:rPr/>
      </w:pPr>
      <w:r>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t>REIKALAVIMAI PROJEKTAVIMO PASLAUGŲ SUTEIKIMO REZULTATUI</w:t>
      </w:r>
    </w:p>
    <w:p>
      <w:pPr>
        <w:pStyle w:val="Normal"/>
        <w:jc w:val="both"/>
        <w:rPr>
          <w:b/>
        </w:rPr>
      </w:pPr>
      <w:r>
        <w:rPr>
          <w:b/>
        </w:rPr>
      </w:r>
    </w:p>
    <w:tbl>
      <w:tblPr>
        <w:tblStyle w:val="Lentelstinklelis"/>
        <w:tblW w:w="9924"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1730"/>
        <w:gridCol w:w="8193"/>
      </w:tblGrid>
      <w:tr>
        <w:trPr/>
        <w:tc>
          <w:tcPr>
            <w:tcW w:w="1730" w:type="dxa"/>
            <w:tcBorders/>
          </w:tcPr>
          <w:p>
            <w:pPr>
              <w:pStyle w:val="Normal"/>
              <w:spacing w:before="0" w:after="0"/>
              <w:jc w:val="both"/>
              <w:rPr>
                <w:b/>
              </w:rPr>
            </w:pPr>
            <w:r>
              <w:rPr>
                <w:b/>
                <w:lang w:bidi="ar-SA"/>
              </w:rPr>
              <w:t>Projektavimo etapas</w:t>
            </w:r>
          </w:p>
        </w:tc>
        <w:tc>
          <w:tcPr>
            <w:tcW w:w="8193" w:type="dxa"/>
            <w:tcBorders/>
          </w:tcPr>
          <w:p>
            <w:pPr>
              <w:pStyle w:val="Normal"/>
              <w:spacing w:before="0" w:after="0"/>
              <w:jc w:val="both"/>
              <w:rPr>
                <w:b/>
              </w:rPr>
            </w:pPr>
            <w:r>
              <w:rPr>
                <w:b/>
                <w:lang w:bidi="ar-SA"/>
              </w:rPr>
              <w:t>Projektuotojo pateikiami dokumentai</w:t>
            </w:r>
          </w:p>
        </w:tc>
      </w:tr>
      <w:tr>
        <w:trPr/>
        <w:tc>
          <w:tcPr>
            <w:tcW w:w="1730" w:type="dxa"/>
            <w:vMerge w:val="restart"/>
            <w:tcBorders/>
            <w:textDirection w:val="btLr"/>
            <w:vAlign w:val="center"/>
          </w:tcPr>
          <w:p>
            <w:pPr>
              <w:pStyle w:val="Normal"/>
              <w:spacing w:before="0" w:after="0"/>
              <w:ind w:left="113" w:right="113"/>
              <w:jc w:val="center"/>
              <w:rPr>
                <w:bCs/>
              </w:rPr>
            </w:pPr>
            <w:r>
              <w:rPr>
                <w:bCs/>
                <w:lang w:bidi="ar-SA"/>
              </w:rPr>
              <w:t xml:space="preserve">Projektiniai </w:t>
            </w:r>
          </w:p>
          <w:p>
            <w:pPr>
              <w:pStyle w:val="Normal"/>
              <w:spacing w:before="0" w:after="0"/>
              <w:ind w:left="113" w:right="113"/>
              <w:jc w:val="center"/>
              <w:rPr>
                <w:lang w:bidi="ar-SA"/>
              </w:rPr>
            </w:pPr>
            <w:r>
              <w:rPr>
                <w:bCs/>
                <w:lang w:bidi="ar-SA"/>
              </w:rPr>
              <w:t>pasiūlymai</w:t>
            </w:r>
          </w:p>
        </w:tc>
        <w:tc>
          <w:tcPr>
            <w:tcW w:w="8193" w:type="dxa"/>
            <w:tcBorders/>
          </w:tcPr>
          <w:p>
            <w:pPr>
              <w:pStyle w:val="Normal"/>
              <w:spacing w:before="0" w:after="0"/>
              <w:jc w:val="left"/>
              <w:rPr>
                <w:lang w:bidi="ar-SA"/>
              </w:rPr>
            </w:pPr>
            <w:r>
              <w:rPr>
                <w:lang w:bidi="ar-SA"/>
              </w:rPr>
              <w:t>1. Bendrosios dalies pagrindiniai sprendiniai;</w:t>
            </w:r>
          </w:p>
          <w:p>
            <w:pPr>
              <w:pStyle w:val="Normal"/>
              <w:spacing w:before="0" w:after="0"/>
              <w:jc w:val="both"/>
              <w:textAlignment w:val="center"/>
              <w:rPr>
                <w:lang w:eastAsia="lt-LT"/>
              </w:rPr>
            </w:pPr>
            <w:r>
              <w:rPr>
                <w:lang w:eastAsia="lt-LT" w:bidi="ar-SA"/>
              </w:rPr>
              <w:t>2. Sklypo plano dalies pagrindiniai sprendiniai;</w:t>
            </w:r>
          </w:p>
          <w:p>
            <w:pPr>
              <w:pStyle w:val="Normal"/>
              <w:spacing w:before="0" w:after="0"/>
              <w:jc w:val="left"/>
              <w:rPr>
                <w:lang w:eastAsia="lt-LT"/>
              </w:rPr>
            </w:pPr>
            <w:r>
              <w:rPr>
                <w:lang w:eastAsia="lt-LT" w:bidi="ar-SA"/>
              </w:rPr>
              <w:t>3. Konstrukcijų dalies pagrindiniai sprendiniai.</w:t>
            </w:r>
          </w:p>
        </w:tc>
      </w:tr>
      <w:tr>
        <w:trPr/>
        <w:tc>
          <w:tcPr>
            <w:tcW w:w="1730" w:type="dxa"/>
            <w:vMerge w:val="continue"/>
            <w:tcBorders/>
          </w:tcPr>
          <w:p>
            <w:pPr>
              <w:pStyle w:val="Normal"/>
              <w:spacing w:before="0" w:after="0"/>
              <w:jc w:val="center"/>
              <w:rPr>
                <w:lang w:bidi="ar-SA"/>
              </w:rPr>
            </w:pPr>
            <w:r>
              <w:rPr>
                <w:lang w:bidi="ar-SA"/>
              </w:rPr>
            </w:r>
          </w:p>
        </w:tc>
        <w:tc>
          <w:tcPr>
            <w:tcW w:w="8193" w:type="dxa"/>
            <w:tcBorders/>
          </w:tcPr>
          <w:p>
            <w:pPr>
              <w:pStyle w:val="Normal"/>
              <w:tabs>
                <w:tab w:val="clear" w:pos="720"/>
                <w:tab w:val="left" w:pos="1134" w:leader="none"/>
              </w:tabs>
              <w:spacing w:before="0" w:after="0"/>
              <w:jc w:val="both"/>
              <w:rPr>
                <w:lang w:bidi="ar-SA"/>
              </w:rPr>
            </w:pPr>
            <w:r>
              <w:rPr>
                <w:lang w:eastAsia="lt-LT" w:bidi="ar-SA"/>
              </w:rPr>
              <w:t>Kiti reikalingi sprendiniai ir (ar) skaičiavimai atsižvelgiant į specialiuosius reikalavimus (kai jie išduoti).</w:t>
            </w:r>
          </w:p>
        </w:tc>
      </w:tr>
      <w:tr>
        <w:trPr/>
        <w:tc>
          <w:tcPr>
            <w:tcW w:w="1730" w:type="dxa"/>
            <w:vMerge w:val="continue"/>
            <w:tcBorders/>
          </w:tcPr>
          <w:p>
            <w:pPr>
              <w:pStyle w:val="Normal"/>
              <w:spacing w:before="0" w:after="0"/>
              <w:jc w:val="center"/>
              <w:rPr>
                <w:lang w:bidi="ar-SA"/>
              </w:rPr>
            </w:pPr>
            <w:r>
              <w:rPr>
                <w:lang w:bidi="ar-SA"/>
              </w:rPr>
            </w:r>
          </w:p>
        </w:tc>
        <w:tc>
          <w:tcPr>
            <w:tcW w:w="8193" w:type="dxa"/>
            <w:tcBorders/>
          </w:tcPr>
          <w:p>
            <w:pPr>
              <w:pStyle w:val="Normal"/>
              <w:widowControl/>
              <w:suppressAutoHyphens w:val="false"/>
              <w:spacing w:before="0" w:after="0"/>
              <w:jc w:val="left"/>
              <w:rPr>
                <w:lang w:bidi="ar-SA"/>
              </w:rPr>
            </w:pPr>
            <w:r>
              <w:rPr>
                <w:lang w:eastAsia="lt-LT" w:bidi="ar-SA"/>
              </w:rPr>
              <w:t>Statinių išdėstymo plano erdviniai duomenys pateikiami STR 1.04.04:2017 „Statinio projektavimas, projekto ekspertizė“ 24 punkte nustatyta tvarka.</w:t>
            </w:r>
            <w:r>
              <w:rPr>
                <w:lang w:bidi="ar-SA"/>
              </w:rPr>
              <w:t xml:space="preserve"> </w:t>
            </w:r>
          </w:p>
        </w:tc>
      </w:tr>
      <w:tr>
        <w:trPr>
          <w:trHeight w:val="2028" w:hRule="atLeast"/>
        </w:trPr>
        <w:tc>
          <w:tcPr>
            <w:tcW w:w="1730" w:type="dxa"/>
            <w:tcBorders/>
            <w:textDirection w:val="btLr"/>
            <w:vAlign w:val="center"/>
          </w:tcPr>
          <w:p>
            <w:pPr>
              <w:pStyle w:val="Normal"/>
              <w:spacing w:before="0" w:after="0"/>
              <w:ind w:right="113"/>
              <w:jc w:val="center"/>
              <w:rPr>
                <w:bCs/>
              </w:rPr>
            </w:pPr>
            <w:r>
              <w:rPr>
                <w:bCs/>
                <w:lang w:bidi="ar-SA"/>
              </w:rPr>
              <w:t>Techninis darbo</w:t>
            </w:r>
          </w:p>
          <w:p>
            <w:pPr>
              <w:pStyle w:val="Normal"/>
              <w:spacing w:before="0" w:after="0"/>
              <w:ind w:left="113" w:right="113"/>
              <w:jc w:val="center"/>
              <w:rPr>
                <w:lang w:bidi="ar-SA"/>
              </w:rPr>
            </w:pPr>
            <w:r>
              <w:rPr>
                <w:bCs/>
                <w:lang w:bidi="ar-SA"/>
              </w:rPr>
              <w:t xml:space="preserve"> </w:t>
            </w:r>
            <w:r>
              <w:rPr>
                <w:bCs/>
                <w:lang w:bidi="ar-SA"/>
              </w:rPr>
              <w:t>projektas</w:t>
            </w:r>
          </w:p>
        </w:tc>
        <w:tc>
          <w:tcPr>
            <w:tcW w:w="8193" w:type="dxa"/>
            <w:tcBorders/>
          </w:tcPr>
          <w:p>
            <w:pPr>
              <w:pStyle w:val="Normal"/>
              <w:spacing w:before="0" w:after="0"/>
              <w:jc w:val="both"/>
              <w:rPr>
                <w:lang w:bidi="ar-SA"/>
              </w:rPr>
            </w:pPr>
            <w:r>
              <w:rPr>
                <w:lang w:bidi="ar-SA"/>
              </w:rPr>
              <w:t>Pateikiama išvardintų dalių projektiniai sprendiniai parengti vadovaujantis STR 1.04.04:2017 „Statinio projektavimas, projekto ekspertizė“ reikalavimais ir kitais norminiais teisės aktais:</w:t>
            </w:r>
          </w:p>
          <w:p>
            <w:pPr>
              <w:pStyle w:val="Normal"/>
              <w:tabs>
                <w:tab w:val="clear" w:pos="720"/>
                <w:tab w:val="left" w:pos="851" w:leader="none"/>
              </w:tabs>
              <w:spacing w:before="0" w:after="0"/>
              <w:ind w:hanging="1"/>
              <w:jc w:val="both"/>
              <w:textAlignment w:val="center"/>
              <w:rPr>
                <w:bCs/>
                <w:lang w:eastAsia="lt-LT"/>
              </w:rPr>
            </w:pPr>
            <w:r>
              <w:rPr>
                <w:bCs/>
                <w:lang w:eastAsia="lt-LT" w:bidi="ar-SA"/>
              </w:rPr>
              <w:t>1.bendroji;</w:t>
            </w:r>
          </w:p>
          <w:p>
            <w:pPr>
              <w:pStyle w:val="Normal"/>
              <w:tabs>
                <w:tab w:val="clear" w:pos="720"/>
                <w:tab w:val="left" w:pos="851" w:leader="none"/>
              </w:tabs>
              <w:spacing w:before="0" w:after="0"/>
              <w:ind w:hanging="1"/>
              <w:jc w:val="both"/>
              <w:textAlignment w:val="center"/>
              <w:rPr>
                <w:bCs/>
                <w:lang w:eastAsia="lt-LT"/>
              </w:rPr>
            </w:pPr>
            <w:r>
              <w:rPr>
                <w:bCs/>
                <w:lang w:eastAsia="lt-LT" w:bidi="ar-SA"/>
              </w:rPr>
              <w:t>2. sklypo plano;</w:t>
            </w:r>
          </w:p>
          <w:p>
            <w:pPr>
              <w:pStyle w:val="Normal"/>
              <w:tabs>
                <w:tab w:val="clear" w:pos="720"/>
                <w:tab w:val="left" w:pos="851" w:leader="none"/>
              </w:tabs>
              <w:spacing w:before="0" w:after="0"/>
              <w:ind w:hanging="1"/>
              <w:jc w:val="both"/>
              <w:textAlignment w:val="center"/>
              <w:rPr>
                <w:bCs/>
                <w:lang w:eastAsia="lt-LT"/>
              </w:rPr>
            </w:pPr>
            <w:r>
              <w:rPr>
                <w:bCs/>
                <w:lang w:eastAsia="lt-LT" w:bidi="ar-SA"/>
              </w:rPr>
              <w:t>4. konstrukcijų;</w:t>
            </w:r>
          </w:p>
          <w:p>
            <w:pPr>
              <w:pStyle w:val="Normal"/>
              <w:tabs>
                <w:tab w:val="clear" w:pos="720"/>
                <w:tab w:val="left" w:pos="851" w:leader="none"/>
              </w:tabs>
              <w:spacing w:before="0" w:after="0"/>
              <w:ind w:hanging="1"/>
              <w:jc w:val="both"/>
              <w:textAlignment w:val="center"/>
              <w:rPr>
                <w:bCs/>
                <w:lang w:eastAsia="lt-LT"/>
              </w:rPr>
            </w:pPr>
            <w:r>
              <w:rPr>
                <w:bCs/>
                <w:lang w:eastAsia="lt-LT" w:bidi="ar-SA"/>
              </w:rPr>
              <w:t>5. statybos skaičiuojamosios kainos nustatymo;</w:t>
            </w:r>
          </w:p>
        </w:tc>
      </w:tr>
      <w:tr>
        <w:trPr>
          <w:trHeight w:val="1265" w:hRule="atLeast"/>
        </w:trPr>
        <w:tc>
          <w:tcPr>
            <w:tcW w:w="1730" w:type="dxa"/>
            <w:tcBorders/>
            <w:textDirection w:val="btLr"/>
            <w:vAlign w:val="center"/>
          </w:tcPr>
          <w:p>
            <w:pPr>
              <w:pStyle w:val="Normal"/>
              <w:spacing w:before="0" w:after="0"/>
              <w:ind w:left="113" w:right="113"/>
              <w:jc w:val="center"/>
              <w:rPr>
                <w:bCs/>
              </w:rPr>
            </w:pPr>
            <w:r>
              <w:rPr>
                <w:bCs/>
                <w:lang w:bidi="ar-SA"/>
              </w:rPr>
              <w:t>Projekto vykdymo priežiūra</w:t>
            </w:r>
          </w:p>
          <w:p>
            <w:pPr>
              <w:pStyle w:val="Normal"/>
              <w:spacing w:before="0" w:after="0"/>
              <w:ind w:left="113" w:right="113"/>
              <w:jc w:val="center"/>
              <w:rPr>
                <w:bCs/>
              </w:rPr>
            </w:pPr>
            <w:r>
              <w:rPr>
                <w:bCs/>
                <w:lang w:bidi="ar-SA"/>
              </w:rPr>
            </w:r>
          </w:p>
        </w:tc>
        <w:tc>
          <w:tcPr>
            <w:tcW w:w="8193" w:type="dxa"/>
            <w:tcBorders/>
          </w:tcPr>
          <w:p>
            <w:pPr>
              <w:pStyle w:val="Normal"/>
              <w:tabs>
                <w:tab w:val="clear" w:pos="720"/>
                <w:tab w:val="left" w:pos="851" w:leader="none"/>
              </w:tabs>
              <w:spacing w:before="0" w:after="0"/>
              <w:jc w:val="both"/>
              <w:textAlignment w:val="center"/>
              <w:rPr>
                <w:lang w:bidi="ar-SA"/>
              </w:rPr>
            </w:pPr>
            <w:r>
              <w:rPr>
                <w:lang w:bidi="ar-SA"/>
              </w:rPr>
              <w:t>Pateikiami dokumentai, vadovaujantis STR 1.06.01:2016 „Statybos darbai. Statinio statybos priežiūra“ reikalavimais ir kitais norminiais teisės aktais.</w:t>
            </w:r>
          </w:p>
        </w:tc>
      </w:tr>
    </w:tbl>
    <w:p>
      <w:pPr>
        <w:pStyle w:val="Normal"/>
        <w:jc w:val="both"/>
        <w:rPr>
          <w:b/>
        </w:rPr>
      </w:pPr>
      <w:r>
        <w:rPr>
          <w:b/>
        </w:rPr>
      </w:r>
    </w:p>
    <w:p>
      <w:pPr>
        <w:pStyle w:val="Normal"/>
        <w:jc w:val="both"/>
        <w:rPr/>
      </w:pPr>
      <w:r>
        <w:rPr/>
      </w:r>
    </w:p>
    <w:tbl>
      <w:tblPr>
        <w:tblW w:w="4537"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4537"/>
      </w:tblGrid>
      <w:tr>
        <w:trPr/>
        <w:tc>
          <w:tcPr>
            <w:tcW w:w="4537" w:type="dxa"/>
            <w:tcBorders/>
          </w:tcPr>
          <w:p>
            <w:pPr>
              <w:pStyle w:val="Normal"/>
              <w:snapToGrid w:val="false"/>
              <w:jc w:val="both"/>
              <w:rPr/>
            </w:pPr>
            <w:r>
              <w:rPr/>
              <w:t>(Statytojas / Užsakovas)</w:t>
            </w:r>
          </w:p>
        </w:tc>
      </w:tr>
    </w:tbl>
    <w:p>
      <w:pPr>
        <w:pStyle w:val="Normal"/>
        <w:ind w:left="1440"/>
        <w:jc w:val="both"/>
        <w:rPr/>
      </w:pPr>
      <w:r>
        <w:rPr/>
      </w:r>
    </w:p>
    <w:sectPr>
      <w:type w:val="nextPage"/>
      <w:pgSz w:w="11906" w:h="16838"/>
      <w:pgMar w:left="1701" w:right="1130" w:gutter="0" w:header="0" w:top="56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432"/>
        </w:tabs>
        <w:ind w:left="432" w:hanging="432"/>
      </w:pPr>
      <w:rPr/>
    </w:lvl>
    <w:lvl w:ilvl="1">
      <w:start w:val="1"/>
      <w:numFmt w:val="none"/>
      <w:suff w:val="nothing"/>
      <w:lvlText w:val=""/>
      <w:lvlJc w:val="left"/>
      <w:pPr>
        <w:tabs>
          <w:tab w:val="num" w:pos="576"/>
        </w:tabs>
        <w:ind w:left="576" w:hanging="576"/>
      </w:pPr>
      <w:rPr/>
    </w:lvl>
    <w:lvl w:ilvl="2">
      <w:start w:val="1"/>
      <w:numFmt w:val="none"/>
      <w:suff w:val="nothing"/>
      <w:lvlText w:val=""/>
      <w:lvlJc w:val="left"/>
      <w:pPr>
        <w:tabs>
          <w:tab w:val="num" w:pos="720"/>
        </w:tabs>
        <w:ind w:left="720" w:hanging="720"/>
      </w:pPr>
      <w:rPr/>
    </w:lvl>
    <w:lvl w:ilvl="3">
      <w:start w:val="1"/>
      <w:numFmt w:val="none"/>
      <w:suff w:val="nothing"/>
      <w:lvlText w:val=""/>
      <w:lvlJc w:val="left"/>
      <w:pPr>
        <w:tabs>
          <w:tab w:val="num" w:pos="864"/>
        </w:tabs>
        <w:ind w:left="864" w:hanging="864"/>
      </w:pPr>
      <w:rPr/>
    </w:lvl>
    <w:lvl w:ilvl="4">
      <w:start w:val="1"/>
      <w:numFmt w:val="none"/>
      <w:suff w:val="nothing"/>
      <w:lvlText w:val=""/>
      <w:lvlJc w:val="left"/>
      <w:pPr>
        <w:tabs>
          <w:tab w:val="num" w:pos="1008"/>
        </w:tabs>
        <w:ind w:left="1008" w:hanging="1008"/>
      </w:pPr>
      <w:rPr/>
    </w:lvl>
    <w:lvl w:ilvl="5">
      <w:start w:val="1"/>
      <w:numFmt w:val="none"/>
      <w:suff w:val="nothing"/>
      <w:lvlText w:val=""/>
      <w:lvlJc w:val="left"/>
      <w:pPr>
        <w:tabs>
          <w:tab w:val="num" w:pos="1152"/>
        </w:tabs>
        <w:ind w:left="1152" w:hanging="1152"/>
      </w:pPr>
      <w:rPr/>
    </w:lvl>
    <w:lvl w:ilvl="6">
      <w:start w:val="1"/>
      <w:numFmt w:val="none"/>
      <w:suff w:val="nothing"/>
      <w:lvlText w:val=""/>
      <w:lvlJc w:val="left"/>
      <w:pPr>
        <w:tabs>
          <w:tab w:val="num" w:pos="1296"/>
        </w:tabs>
        <w:ind w:left="1296" w:hanging="1296"/>
      </w:pPr>
      <w:rPr/>
    </w:lvl>
    <w:lvl w:ilvl="7">
      <w:start w:val="1"/>
      <w:numFmt w:val="none"/>
      <w:suff w:val="nothing"/>
      <w:lvlText w:val=""/>
      <w:lvlJc w:val="left"/>
      <w:pPr>
        <w:tabs>
          <w:tab w:val="num" w:pos="1440"/>
        </w:tabs>
        <w:ind w:left="1440" w:hanging="1440"/>
      </w:pPr>
      <w:rPr/>
    </w:lvl>
    <w:lvl w:ilvl="8">
      <w:start w:val="1"/>
      <w:numFmt w:val="none"/>
      <w:suff w:val="nothing"/>
      <w:lvlText w:val=""/>
      <w:lvlJc w:val="left"/>
      <w:pPr>
        <w:tabs>
          <w:tab w:val="num" w:pos="1584"/>
        </w:tabs>
        <w:ind w:left="1584" w:hanging="1584"/>
      </w:pPr>
      <w:rPr/>
    </w:lvl>
  </w:abstractNum>
  <w:abstractNum w:abstractNumId="2">
    <w:lvl w:ilvl="0">
      <w:start w:val="13"/>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i w:val="false"/>
        <w:b w:val="false"/>
        <w:iCs w:val="false"/>
        <w:b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6411"/>
    <w:pPr>
      <w:widowControl w:val="false"/>
      <w:suppressAutoHyphens w:val="true"/>
      <w:bidi w:val="0"/>
      <w:spacing w:lineRule="auto" w:line="240" w:before="0" w:after="0"/>
      <w:jc w:val="left"/>
    </w:pPr>
    <w:rPr>
      <w:rFonts w:ascii="Times New Roman" w:hAnsi="Times New Roman" w:eastAsia="Lucida Sans Unicode" w:cs="Times New Roman"/>
      <w:color w:val="auto"/>
      <w:kern w:val="2"/>
      <w:sz w:val="24"/>
      <w:szCs w:val="24"/>
      <w:lang w:val="lt-LT" w:eastAsia="ar-SA" w:bidi="ar-SA"/>
    </w:rPr>
  </w:style>
  <w:style w:type="paragraph" w:styleId="Heading1">
    <w:name w:val="heading 1"/>
    <w:basedOn w:val="Normal"/>
    <w:next w:val="Normal"/>
    <w:link w:val="Antrat1Diagrama"/>
    <w:qFormat/>
    <w:rsid w:val="009b0463"/>
    <w:pPr>
      <w:numPr>
        <w:ilvl w:val="0"/>
        <w:numId w:val="2"/>
      </w:numPr>
      <w:ind w:left="0"/>
      <w:outlineLvl w:val="0"/>
    </w:pPr>
    <w:rPr>
      <w:b/>
      <w:bCs/>
      <w:sz w:val="28"/>
      <w:szCs w:val="28"/>
    </w:rPr>
  </w:style>
  <w:style w:type="paragraph" w:styleId="Heading2">
    <w:name w:val="heading 2"/>
    <w:basedOn w:val="Normal"/>
    <w:next w:val="BodyText"/>
    <w:link w:val="Antrat2Diagrama"/>
    <w:qFormat/>
    <w:rsid w:val="009b0463"/>
    <w:pPr>
      <w:numPr>
        <w:ilvl w:val="1"/>
        <w:numId w:val="1"/>
      </w:numPr>
      <w:spacing w:before="240" w:after="0"/>
      <w:jc w:val="both"/>
      <w:outlineLvl w:val="1"/>
    </w:pPr>
    <w:rPr>
      <w:b/>
      <w:szCs w:val="20"/>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qFormat/>
    <w:rsid w:val="009b0463"/>
    <w:rPr>
      <w:rFonts w:ascii="Times New Roman" w:hAnsi="Times New Roman" w:eastAsia="Lucida Sans Unicode" w:cs="Times New Roman"/>
      <w:b/>
      <w:bCs/>
      <w:kern w:val="2"/>
      <w:sz w:val="28"/>
      <w:szCs w:val="28"/>
      <w:lang w:val="lt-LT" w:eastAsia="ar-SA"/>
    </w:rPr>
  </w:style>
  <w:style w:type="character" w:styleId="Antrat2Diagrama" w:customStyle="1">
    <w:name w:val="Antraštė 2 Diagrama"/>
    <w:basedOn w:val="DefaultParagraphFont"/>
    <w:link w:val="Heading2"/>
    <w:qFormat/>
    <w:rsid w:val="009b0463"/>
    <w:rPr>
      <w:rFonts w:ascii="Times New Roman" w:hAnsi="Times New Roman" w:eastAsia="Lucida Sans Unicode" w:cs="Times New Roman"/>
      <w:b/>
      <w:kern w:val="2"/>
      <w:sz w:val="24"/>
      <w:szCs w:val="20"/>
      <w:lang w:val="lt-LT" w:eastAsia="ar-SA"/>
    </w:rPr>
  </w:style>
  <w:style w:type="character" w:styleId="PagrindinistekstasDiagrama" w:customStyle="1">
    <w:name w:val="Pagrindinis tekstas Diagrama"/>
    <w:basedOn w:val="DefaultParagraphFont"/>
    <w:qFormat/>
    <w:rsid w:val="009b0463"/>
    <w:rPr>
      <w:rFonts w:ascii="Times New Roman" w:hAnsi="Times New Roman" w:eastAsia="Lucida Sans Unicode" w:cs="Times New Roman"/>
      <w:kern w:val="2"/>
      <w:sz w:val="24"/>
      <w:szCs w:val="24"/>
      <w:lang w:val="lt-LT" w:eastAsia="ar-SA"/>
    </w:rPr>
  </w:style>
  <w:style w:type="character" w:styleId="Pagrindinistekstas2Diagrama" w:customStyle="1">
    <w:name w:val="Pagrindinis tekstas 2 Diagrama"/>
    <w:basedOn w:val="DefaultParagraphFont"/>
    <w:link w:val="BodyText2"/>
    <w:qFormat/>
    <w:rsid w:val="009b0463"/>
    <w:rPr>
      <w:rFonts w:ascii="Times New Roman" w:hAnsi="Times New Roman" w:eastAsia="Arial" w:cs="Times New Roman"/>
      <w:kern w:val="2"/>
      <w:sz w:val="20"/>
      <w:szCs w:val="20"/>
      <w:lang w:val="lt-LT" w:eastAsia="ar-SA"/>
    </w:rPr>
  </w:style>
  <w:style w:type="character" w:styleId="DebesliotekstasDiagrama" w:customStyle="1">
    <w:name w:val="Debesėlio tekstas Diagrama"/>
    <w:basedOn w:val="DefaultParagraphFont"/>
    <w:link w:val="BalloonText"/>
    <w:uiPriority w:val="99"/>
    <w:semiHidden/>
    <w:qFormat/>
    <w:rsid w:val="00e536fe"/>
    <w:rPr>
      <w:rFonts w:ascii="Tahoma" w:hAnsi="Tahoma" w:eastAsia="Lucida Sans Unicode" w:cs="Tahoma"/>
      <w:kern w:val="2"/>
      <w:sz w:val="16"/>
      <w:szCs w:val="16"/>
      <w:lang w:val="lt-LT" w:eastAsia="ar-SA"/>
    </w:rPr>
  </w:style>
  <w:style w:type="character" w:styleId="Hyperlink">
    <w:name w:val="Hyperlink"/>
    <w:basedOn w:val="DefaultParagraphFont"/>
    <w:uiPriority w:val="99"/>
    <w:semiHidden/>
    <w:unhideWhenUsed/>
    <w:rsid w:val="00a463fd"/>
    <w:rPr>
      <w:color w:themeColor="hyperlink" w:val="0000FF"/>
      <w:u w:val="single"/>
    </w:rPr>
  </w:style>
  <w:style w:type="character" w:styleId="CommentReference">
    <w:name w:val="annotation reference"/>
    <w:basedOn w:val="DefaultParagraphFont"/>
    <w:uiPriority w:val="99"/>
    <w:semiHidden/>
    <w:unhideWhenUsed/>
    <w:qFormat/>
    <w:rsid w:val="0045087a"/>
    <w:rPr>
      <w:sz w:val="16"/>
      <w:szCs w:val="16"/>
    </w:rPr>
  </w:style>
  <w:style w:type="character" w:styleId="KomentarotekstasDiagrama" w:customStyle="1">
    <w:name w:val="Komentaro tekstas Diagrama"/>
    <w:basedOn w:val="DefaultParagraphFont"/>
    <w:link w:val="CommentText"/>
    <w:uiPriority w:val="99"/>
    <w:qFormat/>
    <w:rsid w:val="0045087a"/>
    <w:rPr>
      <w:rFonts w:ascii="Times New Roman" w:hAnsi="Times New Roman" w:eastAsia="Lucida Sans Unicode" w:cs="Times New Roman"/>
      <w:kern w:val="2"/>
      <w:sz w:val="20"/>
      <w:szCs w:val="20"/>
      <w:lang w:val="lt-LT" w:eastAsia="ar-SA"/>
    </w:rPr>
  </w:style>
  <w:style w:type="character" w:styleId="KomentarotemaDiagrama" w:customStyle="1">
    <w:name w:val="Komentaro tema Diagrama"/>
    <w:basedOn w:val="KomentarotekstasDiagrama"/>
    <w:link w:val="annotationsubject"/>
    <w:uiPriority w:val="99"/>
    <w:semiHidden/>
    <w:qFormat/>
    <w:rsid w:val="0045087a"/>
    <w:rPr>
      <w:rFonts w:ascii="Times New Roman" w:hAnsi="Times New Roman" w:eastAsia="Lucida Sans Unicode" w:cs="Times New Roman"/>
      <w:b/>
      <w:bCs/>
      <w:kern w:val="2"/>
      <w:sz w:val="20"/>
      <w:szCs w:val="20"/>
      <w:lang w:val="lt-LT" w:eastAsia="ar-SA"/>
    </w:rPr>
  </w:style>
  <w:style w:type="character" w:styleId="AntratsDiagrama" w:customStyle="1">
    <w:name w:val="Antraštės Diagrama"/>
    <w:basedOn w:val="DefaultParagraphFont"/>
    <w:link w:val="Header"/>
    <w:uiPriority w:val="99"/>
    <w:qFormat/>
    <w:rsid w:val="006c11a1"/>
    <w:rPr>
      <w:rFonts w:ascii="Times New Roman" w:hAnsi="Times New Roman" w:eastAsia="Lucida Sans Unicode" w:cs="Times New Roman"/>
      <w:kern w:val="2"/>
      <w:sz w:val="24"/>
      <w:szCs w:val="24"/>
      <w:lang w:val="lt-LT" w:eastAsia="ar-SA"/>
    </w:rPr>
  </w:style>
  <w:style w:type="character" w:styleId="PoratDiagrama" w:customStyle="1">
    <w:name w:val="Poraštė Diagrama"/>
    <w:basedOn w:val="DefaultParagraphFont"/>
    <w:link w:val="Footer"/>
    <w:uiPriority w:val="99"/>
    <w:qFormat/>
    <w:rsid w:val="006c11a1"/>
    <w:rPr>
      <w:rFonts w:ascii="Times New Roman" w:hAnsi="Times New Roman" w:eastAsia="Lucida Sans Unicode" w:cs="Times New Roman"/>
      <w:kern w:val="2"/>
      <w:sz w:val="24"/>
      <w:szCs w:val="24"/>
      <w:lang w:val="lt-LT" w:eastAsia="ar-SA"/>
    </w:rPr>
  </w:style>
  <w:style w:type="character" w:styleId="st1" w:customStyle="1">
    <w:name w:val="st1"/>
    <w:basedOn w:val="DefaultParagraphFont"/>
    <w:qFormat/>
    <w:rsid w:val="002a5e73"/>
    <w:rPr/>
  </w:style>
  <w:style w:type="character" w:styleId="PuslapioinaostekstasDiagrama" w:customStyle="1">
    <w:name w:val="Puslapio išnašos tekstas Diagrama"/>
    <w:basedOn w:val="DefaultParagraphFont"/>
    <w:link w:val="FootnoteText"/>
    <w:uiPriority w:val="99"/>
    <w:semiHidden/>
    <w:qFormat/>
    <w:rsid w:val="00de5f08"/>
    <w:rPr>
      <w:rFonts w:ascii="Times New Roman" w:hAnsi="Times New Roman" w:eastAsia="Times New Roman" w:cs="Times New Roman"/>
      <w:kern w:val="2"/>
      <w:sz w:val="20"/>
      <w:szCs w:val="20"/>
      <w:lang w:val="lt-LT" w:eastAsia="ar-SA"/>
    </w:rPr>
  </w:style>
  <w:style w:type="character" w:styleId="FootnoteCharacters">
    <w:name w:val="Footnote Characters"/>
    <w:basedOn w:val="DefaultParagraphFont"/>
    <w:uiPriority w:val="99"/>
    <w:semiHidden/>
    <w:unhideWhenUsed/>
    <w:qFormat/>
    <w:rsid w:val="00de5f08"/>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a12773"/>
    <w:rPr>
      <w:i/>
      <w:iCs/>
    </w:rPr>
  </w:style>
  <w:style w:type="character" w:styleId="DokumentoinaostekstasDiagrama" w:customStyle="1">
    <w:name w:val="Dokumento išnašos tekstas Diagrama"/>
    <w:basedOn w:val="DefaultParagraphFont"/>
    <w:link w:val="EndnoteText"/>
    <w:uiPriority w:val="99"/>
    <w:semiHidden/>
    <w:qFormat/>
    <w:rsid w:val="00c7476f"/>
    <w:rPr>
      <w:rFonts w:ascii="Times New Roman" w:hAnsi="Times New Roman" w:eastAsia="Lucida Sans Unicode" w:cs="Times New Roman"/>
      <w:kern w:val="2"/>
      <w:sz w:val="20"/>
      <w:szCs w:val="20"/>
      <w:lang w:val="lt-LT" w:eastAsia="ar-SA"/>
    </w:rPr>
  </w:style>
  <w:style w:type="character" w:styleId="EndnoteCharacters">
    <w:name w:val="Endnote Characters"/>
    <w:basedOn w:val="DefaultParagraphFont"/>
    <w:uiPriority w:val="99"/>
    <w:semiHidden/>
    <w:unhideWhenUsed/>
    <w:qFormat/>
    <w:rsid w:val="00c7476f"/>
    <w:rPr>
      <w:vertAlign w:val="superscript"/>
    </w:rPr>
  </w:style>
  <w:style w:type="character" w:styleId="EndnoteReference">
    <w:name w:val="endnote reference"/>
    <w:rPr>
      <w:vertAlign w:val="superscript"/>
    </w:rPr>
  </w:style>
  <w:style w:type="character" w:styleId="SraopastraipaDiagrama" w:customStyle="1">
    <w:name w:val="Sąrašo pastraipa Diagrama"/>
    <w:link w:val="ListParagraph"/>
    <w:uiPriority w:val="34"/>
    <w:qFormat/>
    <w:rsid w:val="0083255d"/>
    <w:rPr>
      <w:lang w:val="lt-L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PagrindinistekstasDiagrama"/>
    <w:rsid w:val="009b0463"/>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Text2">
    <w:name w:val="Body Text 2"/>
    <w:basedOn w:val="Normal"/>
    <w:link w:val="Pagrindinistekstas2Diagrama"/>
    <w:qFormat/>
    <w:rsid w:val="009b0463"/>
    <w:pPr>
      <w:widowControl/>
      <w:spacing w:lineRule="auto" w:line="480" w:before="0" w:after="120"/>
    </w:pPr>
    <w:rPr>
      <w:rFonts w:eastAsia="Arial"/>
      <w:sz w:val="20"/>
      <w:szCs w:val="20"/>
    </w:rPr>
  </w:style>
  <w:style w:type="paragraph" w:styleId="ListParagraph">
    <w:name w:val="List Paragraph"/>
    <w:basedOn w:val="Normal"/>
    <w:link w:val="SraopastraipaDiagrama"/>
    <w:uiPriority w:val="34"/>
    <w:qFormat/>
    <w:rsid w:val="00c605cd"/>
    <w:pPr>
      <w:widowControl/>
      <w:suppressAutoHyphens w:val="false"/>
      <w:spacing w:lineRule="auto" w:line="276" w:before="0" w:after="200"/>
      <w:ind w:left="720"/>
      <w:contextualSpacing/>
    </w:pPr>
    <w:rPr>
      <w:rFonts w:ascii="Calibri" w:hAnsi="Calibri" w:eastAsia="Calibri" w:cs="" w:asciiTheme="minorHAnsi" w:cstheme="minorBidi" w:eastAsiaTheme="minorHAnsi" w:hAnsiTheme="minorHAnsi"/>
      <w:kern w:val="0"/>
      <w:sz w:val="22"/>
      <w:szCs w:val="22"/>
      <w:lang w:eastAsia="en-US"/>
    </w:rPr>
  </w:style>
  <w:style w:type="paragraph" w:styleId="Default" w:customStyle="1">
    <w:name w:val="Default"/>
    <w:qFormat/>
    <w:rsid w:val="00e536fe"/>
    <w:pPr>
      <w:widowControl/>
      <w:bidi w:val="0"/>
      <w:spacing w:lineRule="auto" w:line="240" w:before="0" w:after="0"/>
      <w:jc w:val="left"/>
    </w:pPr>
    <w:rPr>
      <w:rFonts w:ascii="Times New Roman" w:hAnsi="Times New Roman" w:cs="Times New Roman" w:eastAsia="Calibri"/>
      <w:color w:val="000000"/>
      <w:kern w:val="0"/>
      <w:sz w:val="24"/>
      <w:szCs w:val="24"/>
      <w:lang w:val="en-US" w:eastAsia="en-US" w:bidi="ar-SA"/>
    </w:rPr>
  </w:style>
  <w:style w:type="paragraph" w:styleId="BalloonText">
    <w:name w:val="Balloon Text"/>
    <w:basedOn w:val="Normal"/>
    <w:link w:val="DebesliotekstasDiagrama"/>
    <w:uiPriority w:val="99"/>
    <w:semiHidden/>
    <w:unhideWhenUsed/>
    <w:qFormat/>
    <w:rsid w:val="00e536fe"/>
    <w:pPr/>
    <w:rPr>
      <w:rFonts w:ascii="Tahoma" w:hAnsi="Tahoma" w:cs="Tahoma"/>
      <w:sz w:val="16"/>
      <w:szCs w:val="16"/>
    </w:rPr>
  </w:style>
  <w:style w:type="paragraph" w:styleId="CommentText">
    <w:name w:val="annotation text"/>
    <w:basedOn w:val="Normal"/>
    <w:link w:val="KomentarotekstasDiagrama"/>
    <w:uiPriority w:val="99"/>
    <w:unhideWhenUsed/>
    <w:rsid w:val="0045087a"/>
    <w:pPr/>
    <w:rPr>
      <w:sz w:val="20"/>
      <w:szCs w:val="20"/>
    </w:rPr>
  </w:style>
  <w:style w:type="paragraph" w:styleId="annotationsubject">
    <w:name w:val="annotation subject"/>
    <w:basedOn w:val="CommentText"/>
    <w:next w:val="CommentText"/>
    <w:link w:val="KomentarotemaDiagrama"/>
    <w:uiPriority w:val="99"/>
    <w:semiHidden/>
    <w:unhideWhenUsed/>
    <w:qFormat/>
    <w:rsid w:val="0045087a"/>
    <w:pPr/>
    <w:rPr>
      <w:b/>
      <w:bCs/>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6c11a1"/>
    <w:pPr>
      <w:tabs>
        <w:tab w:val="clear" w:pos="720"/>
        <w:tab w:val="center" w:pos="4986" w:leader="none"/>
        <w:tab w:val="right" w:pos="9972" w:leader="none"/>
      </w:tabs>
    </w:pPr>
    <w:rPr/>
  </w:style>
  <w:style w:type="paragraph" w:styleId="Footer">
    <w:name w:val="footer"/>
    <w:basedOn w:val="Normal"/>
    <w:link w:val="PoratDiagrama"/>
    <w:uiPriority w:val="99"/>
    <w:unhideWhenUsed/>
    <w:rsid w:val="006c11a1"/>
    <w:pPr>
      <w:tabs>
        <w:tab w:val="clear" w:pos="720"/>
        <w:tab w:val="center" w:pos="4986" w:leader="none"/>
        <w:tab w:val="right" w:pos="9972" w:leader="none"/>
      </w:tabs>
    </w:pPr>
    <w:rPr/>
  </w:style>
  <w:style w:type="paragraph" w:styleId="istatymas" w:customStyle="1">
    <w:name w:val="istatymas"/>
    <w:basedOn w:val="Normal"/>
    <w:qFormat/>
    <w:rsid w:val="002a5e73"/>
    <w:pPr>
      <w:widowControl/>
      <w:suppressAutoHyphens w:val="false"/>
      <w:spacing w:beforeAutospacing="1" w:afterAutospacing="1"/>
    </w:pPr>
    <w:rPr>
      <w:rFonts w:eastAsia="Times New Roman"/>
      <w:kern w:val="0"/>
      <w:lang w:eastAsia="lt-LT"/>
    </w:rPr>
  </w:style>
  <w:style w:type="paragraph" w:styleId="bodytext1" w:customStyle="1">
    <w:name w:val="bodytext"/>
    <w:basedOn w:val="Normal"/>
    <w:qFormat/>
    <w:rsid w:val="002a5e73"/>
    <w:pPr>
      <w:widowControl/>
      <w:suppressAutoHyphens w:val="false"/>
      <w:spacing w:beforeAutospacing="1" w:afterAutospacing="1"/>
    </w:pPr>
    <w:rPr>
      <w:rFonts w:eastAsia="Times New Roman"/>
      <w:kern w:val="0"/>
      <w:lang w:eastAsia="lt-LT"/>
    </w:rPr>
  </w:style>
  <w:style w:type="paragraph" w:styleId="Hipersaitas1" w:customStyle="1">
    <w:name w:val="Hipersaitas1"/>
    <w:basedOn w:val="Normal"/>
    <w:qFormat/>
    <w:rsid w:val="003b6ba0"/>
    <w:pPr>
      <w:widowControl/>
      <w:spacing w:before="280" w:after="280"/>
      <w:ind w:firstLine="720"/>
    </w:pPr>
    <w:rPr>
      <w:rFonts w:eastAsia="Times New Roman"/>
      <w:kern w:val="2"/>
    </w:rPr>
  </w:style>
  <w:style w:type="paragraph" w:styleId="SLONormal" w:customStyle="1">
    <w:name w:val="SLO Normal"/>
    <w:qFormat/>
    <w:rsid w:val="003b6ba0"/>
    <w:pPr>
      <w:widowControl/>
      <w:suppressAutoHyphens w:val="true"/>
      <w:bidi w:val="0"/>
      <w:spacing w:lineRule="auto" w:line="240" w:before="120" w:after="120"/>
      <w:jc w:val="both"/>
    </w:pPr>
    <w:rPr>
      <w:rFonts w:ascii="Times New Roman" w:hAnsi="Times New Roman" w:eastAsia="Lucida Sans Unicode" w:cs="Times New Roman"/>
      <w:color w:val="auto"/>
      <w:kern w:val="2"/>
      <w:sz w:val="24"/>
      <w:szCs w:val="24"/>
      <w:lang w:val="en-GB" w:eastAsia="ar-SA" w:bidi="ar-SA"/>
    </w:rPr>
  </w:style>
  <w:style w:type="paragraph" w:styleId="FootnoteText">
    <w:name w:val="footnote text"/>
    <w:basedOn w:val="Normal"/>
    <w:link w:val="PuslapioinaostekstasDiagrama"/>
    <w:uiPriority w:val="99"/>
    <w:semiHidden/>
    <w:unhideWhenUsed/>
    <w:rsid w:val="00de5f08"/>
    <w:pPr>
      <w:widowControl/>
      <w:ind w:firstLine="720"/>
    </w:pPr>
    <w:rPr>
      <w:rFonts w:eastAsia="Times New Roman"/>
      <w:sz w:val="20"/>
      <w:szCs w:val="20"/>
    </w:rPr>
  </w:style>
  <w:style w:type="paragraph" w:styleId="EndnoteText">
    <w:name w:val="endnote text"/>
    <w:basedOn w:val="Normal"/>
    <w:link w:val="DokumentoinaostekstasDiagrama"/>
    <w:uiPriority w:val="99"/>
    <w:semiHidden/>
    <w:unhideWhenUsed/>
    <w:rsid w:val="00c7476f"/>
    <w:pPr/>
    <w:rPr>
      <w:sz w:val="20"/>
      <w:szCs w:val="20"/>
    </w:rPr>
  </w:style>
  <w:style w:type="paragraph" w:styleId="tin" w:customStyle="1">
    <w:name w:val="tin"/>
    <w:basedOn w:val="Normal"/>
    <w:qFormat/>
    <w:rsid w:val="00db6f2c"/>
    <w:pPr>
      <w:widowControl/>
      <w:suppressAutoHyphens w:val="false"/>
      <w:spacing w:before="0" w:after="150"/>
    </w:pPr>
    <w:rPr>
      <w:rFonts w:eastAsia="Times New Roman"/>
      <w:kern w:val="0"/>
      <w:lang w:eastAsia="lt-LT"/>
    </w:rPr>
  </w:style>
  <w:style w:type="paragraph" w:styleId="CM4" w:customStyle="1">
    <w:name w:val="CM4"/>
    <w:basedOn w:val="Normal"/>
    <w:next w:val="Normal"/>
    <w:uiPriority w:val="99"/>
    <w:qFormat/>
    <w:rsid w:val="00a34bfa"/>
    <w:pPr>
      <w:widowControl/>
      <w:suppressAutoHyphens w:val="false"/>
    </w:pPr>
    <w:rPr>
      <w:rFonts w:eastAsia="Calibri" w:eastAsiaTheme="minorHAnsi"/>
      <w:kern w:val="0"/>
      <w:lang w:eastAsia="en-US"/>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e75f9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dt.lt/universalus-dizainas/" TargetMode="External"/><Relationship Id="rId3" Type="http://schemas.openxmlformats.org/officeDocument/2006/relationships/hyperlink" Target="https://www.ndt.lt/universalus-dizainas/"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919B5-7307-4CA4-80F0-E0F7A849B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Application>LibreOffice/24.8.5.2$Windows_X86_64 LibreOffice_project/fddf2685c70b461e7832239a0162a77216259f22</Application>
  <AppVersion>15.0000</AppVersion>
  <Pages>5</Pages>
  <Words>1457</Words>
  <Characters>11003</Characters>
  <CharactersWithSpaces>12361</CharactersWithSpaces>
  <Paragraphs>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2025-02-18T12:09:00Z</dcterms:created>
  <dc:creator>Rita Lelionienė</dc:creator>
  <dc:description/>
  <dc:language>lt-LT</dc:language>
  <cp:lastModifiedBy/>
  <dcterms:modified xsi:type="dcterms:W3CDTF">2025-02-27T09:40:45Z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