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lineRule="auto" w:line="240"/>
        <w:jc w:val="center"/>
        <w:rPr>
          <w:rFonts w:ascii="Times New Roman" w:hAnsi="Times New Roman" w:cs="Times New Roman"/>
          <w:b/>
          <w:bCs/>
          <w:smallCaps/>
          <w:color w:val="auto"/>
          <w:sz w:val="24"/>
          <w:szCs w:val="24"/>
        </w:rPr>
      </w:pPr>
      <w:r>
        <w:rPr/>
      </w:r>
    </w:p>
    <w:p>
      <w:pPr>
        <w:pStyle w:val="Subtitle"/>
        <w:spacing w:lineRule="auto" w:line="240"/>
        <w:jc w:val="center"/>
        <w:rPr>
          <w:rFonts w:ascii="Times New Roman" w:hAnsi="Times New Roman" w:cs="Times New Roman"/>
          <w:b/>
          <w:bCs/>
          <w:smallCaps/>
          <w:color w:val="auto"/>
          <w:sz w:val="24"/>
          <w:szCs w:val="24"/>
        </w:rPr>
      </w:pPr>
      <w:r>
        <w:rPr>
          <w:rFonts w:cs="Times New Roman" w:ascii="Times New Roman" w:hAnsi="Times New Roman"/>
          <w:b/>
          <w:bCs/>
          <w:smallCaps/>
          <w:color w:val="auto"/>
          <w:sz w:val="24"/>
          <w:szCs w:val="24"/>
        </w:rPr>
        <w:t xml:space="preserve">TIEKĖJŲ KVALIFIKACIJOS REIKALAVIMAI IR REIKALAVIMAI LAIKYTIS </w:t>
      </w:r>
      <w:r>
        <w:rPr>
          <w:rFonts w:cs="Times New Roman" w:ascii="Times New Roman" w:hAnsi="Times New Roman"/>
          <w:b/>
          <w:bCs/>
          <w:color w:val="auto"/>
          <w:sz w:val="24"/>
          <w:szCs w:val="24"/>
          <w:lang w:eastAsia="en-US"/>
        </w:rPr>
        <w:t>KOKYBĖS VADYBOS SISTEMOS IR (ARBA) APLINKOS APSAUGOS VADYBOS SISTEMOS STANDARTŲ</w:t>
      </w:r>
    </w:p>
    <w:p>
      <w:pPr>
        <w:pStyle w:val="Normal"/>
        <w:numPr>
          <w:ilvl w:val="0"/>
          <w:numId w:val="3"/>
        </w:numPr>
        <w:spacing w:lineRule="auto" w:line="240" w:before="0" w:after="0"/>
        <w:ind w:firstLine="737" w:left="0"/>
        <w:jc w:val="both"/>
        <w:rPr>
          <w:rFonts w:ascii="Times New Roman" w:hAnsi="Times New Roman" w:cs="Times New Roman"/>
          <w:sz w:val="24"/>
          <w:szCs w:val="24"/>
        </w:rPr>
      </w:pPr>
      <w:r>
        <w:rPr>
          <w:rFonts w:cs="Times New Roman" w:ascii="Times New Roman" w:hAnsi="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bCs/>
          <w:sz w:val="24"/>
          <w:szCs w:val="24"/>
        </w:rPr>
        <w:t>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pPr>
        <w:pStyle w:val="Normal"/>
        <w:numPr>
          <w:ilvl w:val="0"/>
          <w:numId w:val="3"/>
        </w:numPr>
        <w:spacing w:lineRule="auto" w:line="240" w:before="0" w:after="0"/>
        <w:ind w:firstLine="737" w:left="0"/>
        <w:jc w:val="both"/>
        <w:rPr>
          <w:rFonts w:ascii="Times New Roman" w:hAnsi="Times New Roman" w:cs="Times New Roman"/>
          <w:bCs/>
          <w:sz w:val="24"/>
          <w:szCs w:val="24"/>
        </w:rPr>
      </w:pPr>
      <w:bookmarkStart w:id="0" w:name="_Hlk136603877"/>
      <w:r>
        <w:rPr>
          <w:rFonts w:cs="Times New Roman" w:ascii="Times New Roman" w:hAnsi="Times New Roman"/>
          <w:bCs/>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0"/>
    </w:p>
    <w:p>
      <w:pPr>
        <w:pStyle w:val="Normal"/>
        <w:numPr>
          <w:ilvl w:val="0"/>
          <w:numId w:val="3"/>
        </w:numPr>
        <w:spacing w:lineRule="auto" w:line="240" w:before="0" w:after="0"/>
        <w:ind w:firstLine="737" w:left="0"/>
        <w:jc w:val="both"/>
        <w:rPr>
          <w:rFonts w:ascii="Times New Roman" w:hAnsi="Times New Roman" w:cs="Times New Roman"/>
          <w:bCs/>
          <w:sz w:val="24"/>
          <w:szCs w:val="24"/>
        </w:rPr>
      </w:pPr>
      <w:r>
        <w:rPr>
          <w:rFonts w:cs="Times New Roman" w:ascii="Times New Roman" w:hAnsi="Times New Roman"/>
          <w:sz w:val="24"/>
          <w:szCs w:val="24"/>
        </w:rPr>
        <w:t>Tiekėjai turi atitikti šiuos kvalifikacijos reikalavimus:</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tbl>
      <w:tblPr>
        <w:tblpPr w:vertAnchor="text" w:horzAnchor="margin" w:leftFromText="181" w:rightFromText="181" w:tblpX="0" w:tblpY="1"/>
        <w:tblW w:w="5000" w:type="pct"/>
        <w:jc w:val="left"/>
        <w:tblInd w:w="57" w:type="dxa"/>
        <w:tblLayout w:type="fixed"/>
        <w:tblCellMar>
          <w:top w:w="0" w:type="dxa"/>
          <w:left w:w="57" w:type="dxa"/>
          <w:bottom w:w="0" w:type="dxa"/>
          <w:right w:w="57" w:type="dxa"/>
        </w:tblCellMar>
        <w:tblLook w:firstRow="1" w:noVBand="1" w:lastRow="0" w:firstColumn="1" w:lastColumn="0" w:noHBand="0" w:val="04a0"/>
      </w:tblPr>
      <w:tblGrid>
        <w:gridCol w:w="644"/>
        <w:gridCol w:w="3143"/>
        <w:gridCol w:w="3414"/>
        <w:gridCol w:w="2770"/>
      </w:tblGrid>
      <w:tr>
        <w:trPr>
          <w:tblHeader w:val="true"/>
        </w:trPr>
        <w:tc>
          <w:tcPr>
            <w:tcW w:w="644"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Eil. Nr.</w:t>
            </w:r>
          </w:p>
        </w:tc>
        <w:tc>
          <w:tcPr>
            <w:tcW w:w="3143"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Kvalifikacijos reikalavimas</w:t>
            </w:r>
          </w:p>
        </w:tc>
        <w:tc>
          <w:tcPr>
            <w:tcW w:w="3414"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Atitiktį reikalavimui įrodantys  dokumentai</w:t>
            </w:r>
          </w:p>
        </w:tc>
        <w:tc>
          <w:tcPr>
            <w:tcW w:w="2770"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Subjektas, kuris turi atitikti reikalavimą</w: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r>
          </w:p>
        </w:tc>
        <w:tc>
          <w:tcPr>
            <w:tcW w:w="3143"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85" w:leader="none"/>
              </w:tabs>
              <w:spacing w:lineRule="auto" w:line="240" w:before="0" w:after="0"/>
              <w:rPr>
                <w:rFonts w:ascii="Times New Roman" w:hAnsi="Times New Roman" w:cs="Times New Roman"/>
                <w:bCs/>
                <w:sz w:val="24"/>
                <w:szCs w:val="24"/>
              </w:rPr>
            </w:pPr>
            <w:r>
              <w:rPr>
                <w:rFonts w:cs="Times New Roman" w:ascii="Times New Roman" w:hAnsi="Times New Roman"/>
                <w:b/>
                <w:bCs/>
                <w:sz w:val="24"/>
                <w:szCs w:val="24"/>
              </w:rPr>
              <w:t>Techninis ir profesinis pajėgumas</w:t>
            </w:r>
          </w:p>
        </w:tc>
        <w:tc>
          <w:tcPr>
            <w:tcW w:w="34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c>
        <w:tc>
          <w:tcPr>
            <w:tcW w:w="27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1.1.</w:t>
            </w:r>
          </w:p>
        </w:tc>
        <w:tc>
          <w:tcPr>
            <w:tcW w:w="3143"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8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Tiekėjas per paskutinius 3 metus arba per laiką nuo tiekėjo įregistravimo dienos iki pasiūlymo pateikimo termino pabaigos, savo jėgomis, pagal vieną sutartį yra tinkamai parengęs bent vieną naujos statybos ir (ar) rekonstravimo, ir (ar) kapitalinio remonto techninį projektą ar techninį darbo projektą:</w:t>
            </w:r>
          </w:p>
          <w:p>
            <w:pPr>
              <w:pStyle w:val="Normal"/>
              <w:tabs>
                <w:tab w:val="clear" w:pos="1296"/>
                <w:tab w:val="left" w:pos="38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1) Statinių kategorija: ypatingasis ar neypatingasis statinys;</w:t>
            </w:r>
          </w:p>
          <w:p>
            <w:pPr>
              <w:pStyle w:val="Normal"/>
              <w:tabs>
                <w:tab w:val="clear" w:pos="1296"/>
                <w:tab w:val="left" w:pos="38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2) Statinio pobūdis – inžineriniai statiniai;</w:t>
            </w:r>
          </w:p>
          <w:p>
            <w:pPr>
              <w:pStyle w:val="Normal"/>
              <w:tabs>
                <w:tab w:val="clear" w:pos="1296"/>
                <w:tab w:val="left" w:pos="385"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3) Sutarties vertė ne mažiau 40 000,00 Eur be PVM</w:t>
            </w:r>
          </w:p>
        </w:tc>
        <w:tc>
          <w:tcPr>
            <w:tcW w:w="341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b/>
                <w:i/>
                <w:i/>
                <w:iCs/>
                <w:sz w:val="24"/>
              </w:rPr>
            </w:pPr>
            <w:r>
              <w:rPr>
                <w:rFonts w:ascii="Times New Roman" w:hAnsi="Times New Roman"/>
                <w:b/>
                <w:bCs/>
                <w:i/>
                <w:iCs/>
                <w:sz w:val="24"/>
              </w:rPr>
              <w:t>Pateikiama su pasiūlymu: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 Užpildytas </w:t>
            </w:r>
            <w:r>
              <w:rPr/>
              <w:t xml:space="preserve"> </w:t>
            </w:r>
            <w:r>
              <w:rPr>
                <w:rFonts w:cs="Times New Roman" w:ascii="Times New Roman" w:hAnsi="Times New Roman"/>
                <w:sz w:val="24"/>
                <w:szCs w:val="24"/>
              </w:rPr>
              <w:t>pagrindinių per pastaruosius 3 metus suteiktų paslaugų sąrašas, kuriame nurodytos paslaugų bendros sumos, datos ir paslaugų gavėjai (tiek viešieji, tiek privatieji).</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(pirkimo sąlygų 11 priedas)</w:t>
            </w:r>
            <w:r>
              <w:rPr>
                <w:rFonts w:cs="Times New Roman" w:ascii="Times New Roman" w:hAnsi="Times New Roman"/>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Statybą leidžiančio dokumento kopija ir/arba teigiamos bendrosios ekspertizės akto kopija.</w:t>
            </w:r>
          </w:p>
        </w:tc>
        <w:tc>
          <w:tcPr>
            <w:tcW w:w="27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Tiekėjas arba bent vienas tiekėjų grupės narys, jeigu pasiūlymą teikia ūkio subjektų grupė, arba ūkio subjektas, kurio pajėgumais remiasi tiekėjas, pagal jų prisiimamus įsipareigojimus pirkimo sutarčiai vykdyti.​​</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Tiekėjas gali remtis kitų ūkio subjektų pajėgumais tik tuo atveju, jeigu tie subjektai patys vykdys tą pirkimo sutarties dalį, kuriai reikia jų turimų pajėgumų.</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Subtiekėjams šis reikalavimas nenustatomas.</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trPr/>
        <w:tc>
          <w:tcPr>
            <w:tcW w:w="644" w:type="dxa"/>
            <w:tcBorders>
              <w:top w:val="single" w:sz="4" w:space="0" w:color="000000"/>
              <w:left w:val="single" w:sz="4" w:space="0" w:color="000000"/>
              <w:bottom w:val="single" w:sz="4" w:space="0" w:color="000000"/>
              <w:right w:val="single" w:sz="4" w:space="0" w:color="000000"/>
            </w:tcBorders>
          </w:tcPr>
          <w:p>
            <w:pPr>
              <w:pStyle w:val="Normal"/>
              <w:numPr>
                <w:ilvl w:val="1"/>
                <w:numId w:val="2"/>
              </w:numPr>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r>
          </w:p>
        </w:tc>
        <w:tc>
          <w:tcPr>
            <w:tcW w:w="3143"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385" w:leader="none"/>
              </w:tabs>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Tiekėjas privalo turėti kvalifikuotus specialistus, atsakingus už sutarties vykdymą, kurie atitinka žemiau nurodytus minimalius reikalavimus:</w:t>
            </w:r>
          </w:p>
          <w:p>
            <w:pPr>
              <w:pStyle w:val="Normal"/>
              <w:tabs>
                <w:tab w:val="clear" w:pos="1296"/>
                <w:tab w:val="left" w:pos="385" w:leader="none"/>
              </w:tabs>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1. </w:t>
            </w:r>
            <w:r>
              <w:rPr>
                <w:rFonts w:cs="Times New Roman" w:ascii="Times New Roman" w:hAnsi="Times New Roman"/>
                <w:sz w:val="24"/>
                <w:szCs w:val="24"/>
              </w:rPr>
              <w:t xml:space="preserve"> B</w:t>
            </w:r>
            <w:r>
              <w:rPr>
                <w:rFonts w:cs="Times New Roman" w:ascii="Times New Roman" w:hAnsi="Times New Roman"/>
                <w:bCs/>
                <w:sz w:val="24"/>
                <w:szCs w:val="24"/>
              </w:rPr>
              <w:t xml:space="preserve">ent vieną kvalifikuotą neypatingojo statinio projekto vadovą ir neypatingo statinio projekto vykdymo priežiūros vadovą turintį teisę eiti pareigas statinių pobūdyje inžineriniai statiniai, grupėje – kiti inžineriniai statiniai, pogrupyje – kitos paskirties, taip pat statiniai, esančiuose </w:t>
            </w:r>
            <w:r>
              <w:rPr/>
              <w:t xml:space="preserve"> </w:t>
            </w:r>
            <w:r>
              <w:rPr>
                <w:rFonts w:cs="Times New Roman" w:ascii="Times New Roman" w:hAnsi="Times New Roman"/>
                <w:bCs/>
                <w:sz w:val="24"/>
                <w:szCs w:val="24"/>
              </w:rPr>
              <w:t>kultūros paveldo objekto teritorijoje, jo apsaugos zonoje, kultūros paveldo vietovėje</w:t>
            </w:r>
          </w:p>
        </w:tc>
        <w:tc>
          <w:tcPr>
            <w:tcW w:w="341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b/>
                <w:i/>
                <w:i/>
                <w:iCs/>
                <w:sz w:val="24"/>
              </w:rPr>
            </w:pPr>
            <w:r>
              <w:rPr>
                <w:rFonts w:ascii="Times New Roman" w:hAnsi="Times New Roman"/>
                <w:b/>
                <w:bCs/>
                <w:i/>
                <w:iCs/>
                <w:sz w:val="24"/>
              </w:rPr>
              <w:t>Pateikiama su pasiūlymu:</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Cs/>
                <w:sz w:val="24"/>
                <w:szCs w:val="24"/>
              </w:rPr>
              <w:t>1.</w:t>
            </w:r>
            <w:r>
              <w:rPr>
                <w:rFonts w:cs="Times New Roman" w:ascii="Times New Roman" w:hAnsi="Times New Roman"/>
                <w:b/>
                <w:bCs/>
                <w:sz w:val="24"/>
                <w:szCs w:val="24"/>
              </w:rPr>
              <w:t xml:space="preserve"> </w:t>
            </w:r>
            <w:r>
              <w:rPr>
                <w:rFonts w:cs="Times New Roman" w:ascii="Times New Roman" w:hAnsi="Times New Roman"/>
                <w:sz w:val="24"/>
                <w:szCs w:val="24"/>
              </w:rPr>
              <w:t>Užpildytas už sutarties vykdymą atsakingų specialistų sąrašas</w:t>
            </w:r>
            <w:r>
              <w:rPr>
                <w:rFonts w:cs="Times New Roman" w:ascii="Times New Roman" w:hAnsi="Times New Roman"/>
                <w:b/>
                <w:bCs/>
                <w:sz w:val="24"/>
                <w:szCs w:val="24"/>
              </w:rPr>
              <w:t xml:space="preserve"> (pirkimo sąlygų 12 priedas).</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2. </w:t>
            </w:r>
            <w:r>
              <w:rPr/>
              <w:t xml:space="preserve"> </w:t>
            </w:r>
            <w:r>
              <w:rPr>
                <w:rFonts w:cs="Times New Roman" w:ascii="Times New Roman" w:hAnsi="Times New Roman"/>
                <w:bCs/>
                <w:sz w:val="24"/>
                <w:szCs w:val="24"/>
              </w:rPr>
              <w:t>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p>
            <w:pPr>
              <w:pStyle w:val="Normal"/>
              <w:spacing w:lineRule="auto" w:line="240" w:before="0" w:after="0"/>
              <w:rPr>
                <w:rFonts w:ascii="Times New Roman" w:hAnsi="Times New Roman" w:cs="Times New Roman"/>
                <w:b/>
                <w:bCs/>
                <w:i/>
                <w:i/>
                <w:sz w:val="24"/>
                <w:szCs w:val="24"/>
              </w:rPr>
            </w:pPr>
            <w:r>
              <w:rPr>
                <w:rFonts w:cs="Times New Roman" w:ascii="Times New Roman" w:hAnsi="Times New Roman"/>
                <w:b/>
                <w:bCs/>
                <w:i/>
                <w:sz w:val="24"/>
                <w:szCs w:val="24"/>
              </w:rPr>
              <w:t>Pastaba:</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i/>
                <w:sz w:val="24"/>
                <w:szCs w:val="24"/>
              </w:rPr>
              <w:t>Jei specialistas/-ai yra fizinis/-iai asmuo/-enys  (kvazisubtiekėjai), pateikiamas/-i sutikimas/-ai ar kiti dokumentai, patvirtinantis/-ys, kad laimėjimo atveju jis/-ie bus įdarbintas/-i įmonėje ir sutiks teikti sutartyje nurodytas paslaugas ir patvirtinimas/-ai, kad pirkimo laimėjimo atveju bus įdarbintas/-i. Jei siūlomas/-i specialistas/-ai nėra įmonės darbuotojas/-ai ir nebus įdarbintas/-i tiekėjo įmonėje – jis/-ie laikomas/-i subtiekėju/-ais.</w:t>
            </w:r>
          </w:p>
        </w:tc>
        <w:tc>
          <w:tcPr>
            <w:tcW w:w="27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Tiekėjas arba bent vienas tiekėjų grupės narys, jeigu pasiūlymą teikia ūkio subjektų grupė, arba ūkio subjektas, kurio pajėgumais remiasi tiekėjas, pagal jų prisiimamus įsipareigojimus pirkimo sutarčiai vykdyti.​​</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Tiekėjas gali remtis kitų ūkio subjektų pajėgumais tik tuo atveju, jeigu tie subjektai patys vykdys tą pirkimo sutarties dalį, kuriai reikia jų turimų pajėgumų.</w:t>
            </w:r>
          </w:p>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Subtiekėjas turi turėti kvalifikaciją, būtiną prisiimtiems  įsipareigojimams pagal pirkimo sutartį vykdyti.</w:t>
            </w:r>
          </w:p>
        </w:tc>
      </w:tr>
    </w:tbl>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r>
      <w:bookmarkStart w:id="1" w:name="_Hlk136603804"/>
      <w:bookmarkStart w:id="2" w:name="_Hlk136603900"/>
      <w:bookmarkStart w:id="3" w:name="_Hlk136603823"/>
      <w:bookmarkStart w:id="4" w:name="_Hlk136603804"/>
      <w:bookmarkStart w:id="5" w:name="_Hlk136603900"/>
      <w:bookmarkStart w:id="6" w:name="_Hlk136603823"/>
      <w:bookmarkEnd w:id="4"/>
      <w:bookmarkEnd w:id="5"/>
      <w:bookmarkEnd w:id="6"/>
    </w:p>
    <w:p>
      <w:pPr>
        <w:pStyle w:val="ListParagraph"/>
        <w:numPr>
          <w:ilvl w:val="0"/>
          <w:numId w:val="4"/>
        </w:numPr>
        <w:tabs>
          <w:tab w:val="clear" w:pos="1296"/>
          <w:tab w:val="left" w:pos="851" w:leader="none"/>
        </w:tabs>
        <w:spacing w:lineRule="auto" w:line="240" w:before="120" w:after="0"/>
        <w:ind w:hanging="0" w:left="0"/>
        <w:contextualSpacing w:val="false"/>
        <w:jc w:val="both"/>
        <w:rPr>
          <w:rFonts w:ascii="Times New Roman" w:hAnsi="Times New Roman" w:cs="Times New Roman"/>
          <w:sz w:val="24"/>
          <w:szCs w:val="24"/>
        </w:rPr>
      </w:pPr>
      <w:r>
        <w:rPr>
          <w:rFonts w:cs="Times New Roman" w:ascii="Times New Roman" w:hAnsi="Times New Roman"/>
          <w:sz w:val="24"/>
          <w:szCs w:val="24"/>
        </w:rPr>
        <w:t>Tiekėjai turi atitikti šiame priede nustatytus reikalavimus dėl aplinkos apsaugos vadybos sistemos standartų laikymosi:</w:t>
      </w:r>
    </w:p>
    <w:tbl>
      <w:tblPr>
        <w:tblW w:w="103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8"/>
        <w:gridCol w:w="2730"/>
        <w:gridCol w:w="3698"/>
        <w:gridCol w:w="3096"/>
      </w:tblGrid>
      <w:tr>
        <w:trPr/>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firstLine="851" w:left="-851"/>
              <w:jc w:val="center"/>
              <w:rPr>
                <w:rFonts w:ascii="Times New Roman" w:hAnsi="Times New Roman" w:eastAsia="Arial Unicode MS" w:cs="Times New Roman"/>
                <w:b/>
                <w:sz w:val="24"/>
                <w:szCs w:val="24"/>
              </w:rPr>
            </w:pPr>
            <w:r>
              <w:rPr>
                <w:rFonts w:eastAsia="Arial Unicode MS" w:cs="Times New Roman" w:ascii="Times New Roman" w:hAnsi="Times New Roman"/>
                <w:b/>
                <w:sz w:val="24"/>
                <w:szCs w:val="24"/>
              </w:rPr>
              <w:t>Eil.</w:t>
            </w:r>
          </w:p>
          <w:p>
            <w:pPr>
              <w:pStyle w:val="Normal"/>
              <w:spacing w:lineRule="auto" w:line="240" w:before="0" w:after="0"/>
              <w:jc w:val="center"/>
              <w:rPr>
                <w:rFonts w:ascii="Times New Roman" w:hAnsi="Times New Roman" w:eastAsia="Arial Unicode MS" w:cs="Times New Roman"/>
                <w:b/>
                <w:sz w:val="24"/>
                <w:szCs w:val="24"/>
              </w:rPr>
            </w:pPr>
            <w:r>
              <w:rPr>
                <w:rFonts w:eastAsia="Arial Unicode MS" w:cs="Times New Roman" w:ascii="Times New Roman" w:hAnsi="Times New Roman"/>
                <w:b/>
                <w:sz w:val="24"/>
                <w:szCs w:val="24"/>
              </w:rPr>
              <w:t>Nr.</w:t>
            </w:r>
          </w:p>
        </w:tc>
        <w:tc>
          <w:tcPr>
            <w:tcW w:w="2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Arial Unicode MS" w:cs="Times New Roman"/>
                <w:b/>
                <w:bCs/>
                <w:color w:val="000000"/>
                <w:sz w:val="24"/>
                <w:szCs w:val="24"/>
              </w:rPr>
            </w:pPr>
            <w:r>
              <w:rPr>
                <w:rFonts w:eastAsia="Arial Unicode MS" w:cs="Times New Roman" w:ascii="Times New Roman" w:hAnsi="Times New Roman"/>
                <w:b/>
                <w:sz w:val="24"/>
                <w:szCs w:val="24"/>
              </w:rPr>
              <w:t>Reikalavimai</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Arial Unicode MS" w:cs="Times New Roman"/>
                <w:b/>
                <w:bCs/>
                <w:i/>
                <w:i/>
                <w:iCs/>
                <w:sz w:val="24"/>
                <w:szCs w:val="24"/>
              </w:rPr>
            </w:pPr>
            <w:r>
              <w:rPr>
                <w:rFonts w:eastAsia="Arial Unicode MS" w:cs="Times New Roman" w:ascii="Times New Roman" w:hAnsi="Times New Roman"/>
                <w:b/>
                <w:sz w:val="24"/>
                <w:szCs w:val="24"/>
              </w:rPr>
              <w:t>Reikalavimus įrodantys dokumentai</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Arial Unicode MS" w:cs="Times New Roman"/>
                <w:b/>
                <w:sz w:val="24"/>
                <w:szCs w:val="24"/>
              </w:rPr>
            </w:pPr>
            <w:r>
              <w:rPr>
                <w:rFonts w:eastAsia="Arial Unicode MS" w:cs="Times New Roman" w:ascii="Times New Roman" w:hAnsi="Times New Roman"/>
                <w:b/>
                <w:sz w:val="24"/>
                <w:szCs w:val="24"/>
              </w:rPr>
              <w:t>Subjektas, kuris turi atitikti reikalavimą</w:t>
            </w:r>
          </w:p>
        </w:tc>
      </w:tr>
      <w:tr>
        <w:trPr/>
        <w:tc>
          <w:tcPr>
            <w:tcW w:w="8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t>1.</w:t>
            </w:r>
          </w:p>
        </w:tc>
        <w:tc>
          <w:tcPr>
            <w:tcW w:w="27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6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b/>
                <w:bCs/>
                <w:i/>
                <w:iCs/>
                <w:sz w:val="24"/>
                <w:szCs w:val="24"/>
              </w:rPr>
              <w:t xml:space="preserve">Pateikiama su pasiūlymu: </w:t>
            </w:r>
            <w:r>
              <w:rPr>
                <w:rFonts w:eastAsia="Arial Unicode MS" w:cs="Times New Roman" w:ascii="Times New Roman" w:hAnsi="Times New Roman"/>
                <w:sz w:val="24"/>
                <w:szCs w:val="24"/>
              </w:rPr>
              <w:t>nepriklausomos akredituotos įstaigos išduotas sertifikatas. Pirkimo vykdytojas pripažįsta lygiaverčius sertifikatus, išduotus kitose valstybėse narėse įsteigtų nepriklausomų akredituotų įstaigų.</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Tiekėjas.</w:t>
            </w:r>
          </w:p>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Jeigu pasiūlymą teikia ūkio subjektų grupė – reikalavimą turi atitikti kiekvienas ūkio subjektų grupės narys (-iai), pagal jų prisiimamus įsipareigojimus pirkimo sutarčiai vykdyti.</w:t>
            </w:r>
          </w:p>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Tiekėjas gali remtis kitų ūkio subjektų pajėgumais tik tuo atveju, jeigu tie subjektai, kurių pajėgumais buvo pasiremta, patys vykdys tą pirkimo sutarties dalį, kuriai reikia jų turimų pajėgumų.</w:t>
            </w:r>
          </w:p>
          <w:p>
            <w:pPr>
              <w:pStyle w:val="Normal"/>
              <w:spacing w:lineRule="auto" w:line="240" w:before="0" w:after="0"/>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118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68482620"/>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p>
    </w:sdtContent>
  </w:sdt>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19013601"/>
    </w:sdtPr>
    <w:sdtContent>
      <w:p>
        <w:pPr>
          <w:pStyle w:val="Header"/>
          <w:jc w:val="center"/>
          <w:rPr/>
        </w:pPr>
        <w:r>
          <w:rPr/>
          <w:fldChar w:fldCharType="begin"/>
        </w:r>
        <w:r>
          <w:rPr/>
          <w:instrText xml:space="preserve"> PAGE </w:instrText>
        </w:r>
        <w:r>
          <w:rPr/>
          <w:fldChar w:fldCharType="separate"/>
        </w:r>
        <w:r>
          <w:rPr/>
          <w:t>1</w:t>
        </w:r>
        <w:r>
          <w:rPr/>
          <w:fldChar w:fldCharType="end"/>
        </w:r>
      </w:p>
    </w:sdtContent>
  </w:sdt>
  <w:p>
    <w:pPr>
      <w:pStyle w:val="Header"/>
      <w:spacing w:lineRule="auto" w:line="240" w:before="0" w:after="0"/>
      <w:jc w:val="right"/>
      <w:rPr/>
    </w:pPr>
    <w:bookmarkStart w:id="7" w:name="_Toc126333942_Copy_8"/>
    <w:bookmarkStart w:id="8" w:name="_Ref38533412_Copy_8"/>
    <w:bookmarkStart w:id="9" w:name="_Ref38291334_Copy_8"/>
    <w:bookmarkStart w:id="10" w:name="_Ref38291223_Copy_8"/>
    <w:bookmarkStart w:id="11" w:name="_Toc126333942"/>
    <w:bookmarkStart w:id="12" w:name="_Ref38533412"/>
    <w:bookmarkStart w:id="13" w:name="_Ref38291334"/>
    <w:bookmarkStart w:id="14" w:name="_Ref38291223"/>
    <w:bookmarkEnd w:id="7"/>
    <w:bookmarkEnd w:id="8"/>
    <w:bookmarkEnd w:id="9"/>
    <w:bookmarkEnd w:id="10"/>
    <w:bookmarkEnd w:id="11"/>
    <w:bookmarkEnd w:id="12"/>
    <w:bookmarkEnd w:id="13"/>
    <w:bookmarkEnd w:id="14"/>
    <w:r>
      <w:rPr>
        <w:rFonts w:cs="Arial" w:ascii="Arial" w:hAnsi="Arial"/>
        <w:sz w:val="20"/>
        <w:szCs w:val="20"/>
      </w:rPr>
      <w:t xml:space="preserve">Pirkimo sąlygų 4 priedas „Tiekėjų kvalifikacijos reikalavimai ir    </w:t>
    </w:r>
  </w:p>
  <w:p>
    <w:pPr>
      <w:pStyle w:val="Header"/>
      <w:spacing w:lineRule="auto" w:line="240" w:before="0" w:after="0"/>
      <w:jc w:val="right"/>
      <w:rPr/>
    </w:pPr>
    <w:r>
      <w:rPr>
        <w:rFonts w:cs="Arial" w:ascii="Arial" w:hAnsi="Arial"/>
        <w:sz w:val="20"/>
        <w:szCs w:val="20"/>
      </w:rPr>
      <w:t>reikalaujami kokybės bei aplinkos apsaugos vadybos sistemų standartai“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720" w:hanging="360"/>
      </w:pPr>
      <w:rPr>
        <w:b/>
        <w:bCs/>
      </w:rPr>
    </w:lvl>
    <w:lvl w:ilvl="1">
      <w:start w:val="1"/>
      <w:isLgl/>
      <w:numFmt w:val="decimal"/>
      <w:lvlText w:val="%1.%2."/>
      <w:lvlJc w:val="left"/>
      <w:pPr>
        <w:tabs>
          <w:tab w:val="num" w:pos="0"/>
        </w:tabs>
        <w:ind w:left="928"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440" w:hanging="108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1800" w:hanging="1440"/>
      </w:pPr>
      <w:rPr/>
    </w:lvl>
  </w:abstractNum>
  <w:abstractNum w:abstractNumId="3">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0"/>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29d1"/>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qFormat/>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FootnoteCharacters" w:customStyle="1">
    <w:name w:val="Footnote Characters"/>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link w:val="Heading2"/>
    <w:uiPriority w:val="9"/>
    <w:semiHidden/>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Index" w:customStyle="1">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pPr/>
    <w:rPr>
      <w:sz w:val="20"/>
      <w:szCs w:val="20"/>
    </w:rPr>
  </w:style>
  <w:style w:type="paragraph" w:styleId="CommentText">
    <w:name w:val="annotation text"/>
    <w:basedOn w:val="Normal"/>
    <w:link w:val="CommentTextChar"/>
    <w:uiPriority w:val="99"/>
    <w:unhideWhenUsed/>
    <w:rsid w:val="00d05666"/>
    <w:pPr/>
    <w:rPr>
      <w:sz w:val="20"/>
      <w:szCs w:val="20"/>
    </w:rPr>
  </w:style>
  <w:style w:type="paragraph" w:styleId="Subtitle">
    <w:name w:val="Subtitle"/>
    <w:basedOn w:val="Normal"/>
    <w:next w:val="Normal"/>
    <w:link w:val="SubtitleChar"/>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CommentText"/>
    <w:next w:val="Comment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eastAsia="en-US" w:val="lt-LT" w:bidi="ar-SA"/>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FrameContents" w:customStyle="1">
    <w:name w:val="Frame Contents"/>
    <w:basedOn w:val="Normal"/>
    <w:qFormat/>
    <w:pPr/>
    <w:rPr/>
  </w:style>
  <w:style w:type="paragraph" w:styleId="FrameContentsuser" w:customStyle="1">
    <w:name w:val="Frame Contents (user)"/>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LibreOffice/24.8.5.2$Windows_X86_64 LibreOffice_project/fddf2685c70b461e7832239a0162a77216259f22</Application>
  <AppVersion>15.0000</AppVersion>
  <Pages>5</Pages>
  <Words>1264</Words>
  <Characters>9221</Characters>
  <CharactersWithSpaces>10438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2025-02-24T08:01:00Z</dcterms:created>
  <dc:creator>R M</dc:creator>
  <dc:description/>
  <dc:language>lt-LT</dc:language>
  <cp:lastModifiedBy/>
  <dcterms:modified xsi:type="dcterms:W3CDTF">2025-03-01T14:40:05Z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