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78A" w:rsidRPr="005F378A" w:rsidRDefault="005F378A" w:rsidP="005F378A">
      <w:pPr>
        <w:ind w:firstLine="567"/>
        <w:jc w:val="both"/>
        <w:rPr>
          <w:b/>
          <w:bCs/>
          <w:szCs w:val="24"/>
        </w:rPr>
      </w:pPr>
      <w:r w:rsidRPr="005F378A">
        <w:rPr>
          <w:b/>
          <w:bCs/>
          <w:szCs w:val="24"/>
        </w:rPr>
        <w:t>Informacija apie pirkimo sąlygų 24 punkto patikslinimą (techninės klaidos ištaisymą)</w:t>
      </w:r>
    </w:p>
    <w:p w:rsidR="005F378A" w:rsidRDefault="005F378A" w:rsidP="005F378A">
      <w:pPr>
        <w:ind w:firstLine="567"/>
        <w:jc w:val="both"/>
        <w:rPr>
          <w:bCs/>
          <w:szCs w:val="24"/>
        </w:rPr>
      </w:pPr>
    </w:p>
    <w:p w:rsidR="005F378A" w:rsidRDefault="005F378A" w:rsidP="005F378A">
      <w:pPr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Informuojame, kad </w:t>
      </w:r>
      <w:r w:rsidRPr="006B2841">
        <w:rPr>
          <w:bCs/>
          <w:szCs w:val="24"/>
        </w:rPr>
        <w:t>vadovaujantis pirkimo sąlygų 82 punktu patikslin</w:t>
      </w:r>
      <w:r>
        <w:rPr>
          <w:bCs/>
          <w:szCs w:val="24"/>
        </w:rPr>
        <w:t>amas</w:t>
      </w:r>
      <w:r w:rsidRPr="006B2841">
        <w:rPr>
          <w:bCs/>
          <w:szCs w:val="24"/>
        </w:rPr>
        <w:t xml:space="preserve"> Pirkimo sąlygų, </w:t>
      </w:r>
      <w:r w:rsidRPr="006B2841">
        <w:rPr>
          <w:szCs w:val="24"/>
        </w:rPr>
        <w:t xml:space="preserve">patvirtintų Komisijos posėdžio 2025-02-24 d. Protokolu Nr. 2025-PROT-30, </w:t>
      </w:r>
      <w:r w:rsidRPr="006B2841">
        <w:rPr>
          <w:bCs/>
          <w:szCs w:val="24"/>
        </w:rPr>
        <w:t>24 punkt</w:t>
      </w:r>
      <w:r>
        <w:rPr>
          <w:bCs/>
          <w:szCs w:val="24"/>
        </w:rPr>
        <w:t>as</w:t>
      </w:r>
      <w:r w:rsidRPr="006B2841">
        <w:rPr>
          <w:bCs/>
          <w:szCs w:val="24"/>
        </w:rPr>
        <w:t>:</w:t>
      </w:r>
    </w:p>
    <w:p w:rsidR="005F378A" w:rsidRDefault="005F378A" w:rsidP="005F378A">
      <w:pPr>
        <w:ind w:firstLine="567"/>
        <w:jc w:val="both"/>
        <w:rPr>
          <w:bCs/>
          <w:szCs w:val="24"/>
        </w:rPr>
      </w:pPr>
      <w:r w:rsidRPr="006B2841">
        <w:rPr>
          <w:bCs/>
          <w:szCs w:val="24"/>
        </w:rPr>
        <w:t xml:space="preserve"> vietoje </w:t>
      </w:r>
    </w:p>
    <w:p w:rsidR="005F378A" w:rsidRDefault="005F378A" w:rsidP="005F378A">
      <w:pPr>
        <w:ind w:firstLine="567"/>
        <w:jc w:val="both"/>
        <w:rPr>
          <w:szCs w:val="24"/>
        </w:rPr>
      </w:pPr>
      <w:r w:rsidRPr="006B2841">
        <w:rPr>
          <w:szCs w:val="24"/>
        </w:rPr>
        <w:t xml:space="preserve">&lt;...&gt; </w:t>
      </w:r>
      <w:r w:rsidRPr="005F378A">
        <w:rPr>
          <w:rFonts w:eastAsia="Calibri"/>
          <w:i/>
          <w:szCs w:val="24"/>
        </w:rPr>
        <w:t xml:space="preserve">Tvarkos aprašo 26.1. punkto reikalavimai nustatyti pirkimo sąlygų </w:t>
      </w:r>
      <w:r w:rsidRPr="005F378A">
        <w:rPr>
          <w:rFonts w:eastAsia="Calibri"/>
          <w:b/>
          <w:i/>
          <w:szCs w:val="24"/>
          <w:highlight w:val="yellow"/>
        </w:rPr>
        <w:t>30</w:t>
      </w:r>
      <w:r w:rsidRPr="005F378A">
        <w:rPr>
          <w:rFonts w:eastAsia="Calibri"/>
          <w:b/>
          <w:i/>
          <w:szCs w:val="24"/>
        </w:rPr>
        <w:t xml:space="preserve"> </w:t>
      </w:r>
      <w:r w:rsidRPr="005F378A">
        <w:rPr>
          <w:rFonts w:eastAsia="Calibri"/>
          <w:i/>
          <w:szCs w:val="24"/>
        </w:rPr>
        <w:t>punkte</w:t>
      </w:r>
      <w:r w:rsidRPr="005F378A">
        <w:rPr>
          <w:rFonts w:eastAsia="Calibri"/>
          <w:b/>
          <w:i/>
          <w:szCs w:val="24"/>
        </w:rPr>
        <w:t xml:space="preserve"> </w:t>
      </w:r>
      <w:r w:rsidRPr="005F378A">
        <w:rPr>
          <w:rFonts w:eastAsia="Calibri"/>
          <w:i/>
          <w:szCs w:val="24"/>
        </w:rPr>
        <w:t>(ISO, EMAS standartai).</w:t>
      </w:r>
      <w:r w:rsidRPr="006B2841">
        <w:rPr>
          <w:szCs w:val="24"/>
        </w:rPr>
        <w:t xml:space="preserve"> &lt;...&gt; </w:t>
      </w:r>
    </w:p>
    <w:p w:rsidR="005F378A" w:rsidRDefault="005F378A" w:rsidP="005F378A">
      <w:pPr>
        <w:ind w:firstLine="567"/>
        <w:jc w:val="both"/>
        <w:rPr>
          <w:b/>
          <w:szCs w:val="24"/>
        </w:rPr>
      </w:pPr>
      <w:r w:rsidRPr="006B2841">
        <w:rPr>
          <w:szCs w:val="24"/>
        </w:rPr>
        <w:t>patikslin</w:t>
      </w:r>
      <w:r>
        <w:rPr>
          <w:szCs w:val="24"/>
        </w:rPr>
        <w:t>ama</w:t>
      </w:r>
      <w:r w:rsidRPr="006B2841">
        <w:rPr>
          <w:szCs w:val="24"/>
        </w:rPr>
        <w:t xml:space="preserve"> į</w:t>
      </w:r>
      <w:r w:rsidRPr="006B2841">
        <w:rPr>
          <w:b/>
          <w:szCs w:val="24"/>
        </w:rPr>
        <w:t xml:space="preserve"> </w:t>
      </w:r>
    </w:p>
    <w:p w:rsidR="005F378A" w:rsidRPr="006B2841" w:rsidRDefault="005F378A" w:rsidP="005F378A">
      <w:pPr>
        <w:ind w:firstLine="567"/>
        <w:jc w:val="both"/>
        <w:rPr>
          <w:bCs/>
          <w:szCs w:val="24"/>
        </w:rPr>
      </w:pPr>
      <w:r w:rsidRPr="006B2841">
        <w:rPr>
          <w:szCs w:val="24"/>
        </w:rPr>
        <w:t xml:space="preserve">&lt;...&gt; </w:t>
      </w:r>
      <w:r w:rsidRPr="005F378A">
        <w:rPr>
          <w:rFonts w:eastAsia="Calibri"/>
          <w:i/>
          <w:szCs w:val="24"/>
        </w:rPr>
        <w:t xml:space="preserve">Tvarkos aprašo 26.1. punkto reikalavimai nustatyti pirkimo sąlygų </w:t>
      </w:r>
      <w:r w:rsidRPr="005F378A">
        <w:rPr>
          <w:rFonts w:eastAsia="Calibri"/>
          <w:b/>
          <w:i/>
          <w:szCs w:val="24"/>
          <w:highlight w:val="yellow"/>
        </w:rPr>
        <w:t>34</w:t>
      </w:r>
      <w:r w:rsidRPr="005F378A">
        <w:rPr>
          <w:rFonts w:eastAsia="Calibri"/>
          <w:b/>
          <w:i/>
          <w:szCs w:val="24"/>
        </w:rPr>
        <w:t xml:space="preserve"> </w:t>
      </w:r>
      <w:r w:rsidRPr="005F378A">
        <w:rPr>
          <w:rFonts w:eastAsia="Calibri"/>
          <w:i/>
          <w:szCs w:val="24"/>
        </w:rPr>
        <w:t>punkte (ISO, EMAS standartai)</w:t>
      </w:r>
      <w:r w:rsidRPr="006B2841">
        <w:rPr>
          <w:rFonts w:eastAsia="Calibri"/>
          <w:szCs w:val="24"/>
        </w:rPr>
        <w:t>.</w:t>
      </w:r>
      <w:r w:rsidRPr="006B2841">
        <w:rPr>
          <w:szCs w:val="24"/>
        </w:rPr>
        <w:t xml:space="preserve"> &lt;...&gt;</w:t>
      </w:r>
      <w:r w:rsidRPr="006B2841">
        <w:rPr>
          <w:bCs/>
          <w:szCs w:val="24"/>
        </w:rPr>
        <w:t>.</w:t>
      </w:r>
    </w:p>
    <w:p w:rsidR="00D87F03" w:rsidRDefault="00D87F03"/>
    <w:p w:rsidR="003B6AC4" w:rsidRDefault="003B6AC4" w:rsidP="003B6AC4">
      <w:pPr>
        <w:jc w:val="center"/>
      </w:pPr>
      <w:r>
        <w:t>___________</w:t>
      </w:r>
      <w:bookmarkStart w:id="0" w:name="_GoBack"/>
      <w:bookmarkEnd w:id="0"/>
    </w:p>
    <w:sectPr w:rsidR="003B6AC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78A"/>
    <w:rsid w:val="003B6AC4"/>
    <w:rsid w:val="005F378A"/>
    <w:rsid w:val="00D8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A43AB"/>
  <w15:chartTrackingRefBased/>
  <w15:docId w15:val="{3CB66ECD-E4F3-48D8-AEA9-619F67ED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F37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Jonauskienė</dc:creator>
  <cp:keywords/>
  <dc:description/>
  <cp:lastModifiedBy>Daiva Jonauskienė</cp:lastModifiedBy>
  <cp:revision>2</cp:revision>
  <dcterms:created xsi:type="dcterms:W3CDTF">2025-03-05T13:30:00Z</dcterms:created>
  <dcterms:modified xsi:type="dcterms:W3CDTF">2025-03-05T14:34:00Z</dcterms:modified>
</cp:coreProperties>
</file>