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9AA2C" w14:textId="77777777" w:rsidR="00583B30" w:rsidRPr="00EF7263" w:rsidRDefault="00583B30" w:rsidP="00583B30">
      <w:pPr>
        <w:shd w:val="clear" w:color="auto" w:fill="FFFFFF"/>
        <w:spacing w:after="0" w:line="240" w:lineRule="auto"/>
        <w:jc w:val="right"/>
        <w:outlineLvl w:val="0"/>
        <w:rPr>
          <w:rFonts w:ascii="Montserrat" w:eastAsia="Times New Roman" w:hAnsi="Montserrat" w:cs="Times New Roman"/>
          <w:color w:val="333333"/>
          <w:kern w:val="36"/>
          <w:sz w:val="20"/>
          <w:szCs w:val="20"/>
          <w:lang w:eastAsia="lt-LT"/>
          <w14:ligatures w14:val="none"/>
        </w:rPr>
      </w:pPr>
      <w:r w:rsidRPr="00EF7263">
        <w:rPr>
          <w:rFonts w:ascii="Montserrat" w:eastAsia="Times New Roman" w:hAnsi="Montserrat" w:cs="Times New Roman"/>
          <w:color w:val="333333"/>
          <w:kern w:val="36"/>
          <w:sz w:val="20"/>
          <w:szCs w:val="20"/>
          <w:lang w:eastAsia="lt-LT"/>
          <w14:ligatures w14:val="none"/>
        </w:rPr>
        <w:t>Pirkimo sąlygų</w:t>
      </w:r>
    </w:p>
    <w:p w14:paraId="7ADC7D57" w14:textId="55360EFC" w:rsidR="00583B30" w:rsidRPr="00EF7263" w:rsidRDefault="00583B30" w:rsidP="00583B30">
      <w:pPr>
        <w:shd w:val="clear" w:color="auto" w:fill="FFFFFF"/>
        <w:spacing w:after="0" w:line="240" w:lineRule="auto"/>
        <w:jc w:val="right"/>
        <w:outlineLvl w:val="0"/>
        <w:rPr>
          <w:rFonts w:ascii="Montserrat" w:eastAsia="Times New Roman" w:hAnsi="Montserrat" w:cs="Times New Roman"/>
          <w:color w:val="333333"/>
          <w:kern w:val="36"/>
          <w:sz w:val="20"/>
          <w:szCs w:val="20"/>
          <w:lang w:eastAsia="lt-LT"/>
          <w14:ligatures w14:val="none"/>
        </w:rPr>
      </w:pPr>
      <w:r w:rsidRPr="00EF7263">
        <w:rPr>
          <w:rFonts w:ascii="Montserrat" w:eastAsia="Times New Roman" w:hAnsi="Montserrat" w:cs="Times New Roman"/>
          <w:color w:val="333333"/>
          <w:kern w:val="36"/>
          <w:sz w:val="20"/>
          <w:szCs w:val="20"/>
          <w:lang w:eastAsia="lt-LT"/>
          <w14:ligatures w14:val="none"/>
        </w:rPr>
        <w:t xml:space="preserve"> 1 priedas </w:t>
      </w:r>
    </w:p>
    <w:p w14:paraId="6339B57B" w14:textId="77777777" w:rsidR="00583B30" w:rsidRDefault="00583B30" w:rsidP="00583B30">
      <w:pPr>
        <w:shd w:val="clear" w:color="auto" w:fill="FFFFFF"/>
        <w:spacing w:after="150" w:line="240" w:lineRule="auto"/>
        <w:jc w:val="right"/>
        <w:outlineLvl w:val="0"/>
        <w:rPr>
          <w:rFonts w:ascii="Montserrat" w:eastAsia="Times New Roman" w:hAnsi="Montserrat" w:cs="Times New Roman"/>
          <w:b/>
          <w:bCs/>
          <w:color w:val="333333"/>
          <w:kern w:val="36"/>
          <w:sz w:val="20"/>
          <w:szCs w:val="20"/>
          <w:lang w:eastAsia="lt-LT"/>
          <w14:ligatures w14:val="none"/>
        </w:rPr>
      </w:pPr>
    </w:p>
    <w:p w14:paraId="6DF1476D" w14:textId="72607E5C" w:rsidR="004938C3" w:rsidRPr="006841D0" w:rsidRDefault="004938C3" w:rsidP="00C50015">
      <w:pPr>
        <w:shd w:val="clear" w:color="auto" w:fill="FFFFFF"/>
        <w:spacing w:before="150" w:after="150" w:line="240" w:lineRule="auto"/>
        <w:jc w:val="center"/>
        <w:outlineLvl w:val="0"/>
        <w:rPr>
          <w:rFonts w:ascii="Montserrat" w:eastAsia="Times New Roman" w:hAnsi="Montserrat" w:cs="Times New Roman"/>
          <w:b/>
          <w:bCs/>
          <w:color w:val="333333"/>
          <w:kern w:val="36"/>
          <w:sz w:val="20"/>
          <w:szCs w:val="20"/>
          <w:lang w:eastAsia="lt-LT"/>
          <w14:ligatures w14:val="none"/>
        </w:rPr>
      </w:pPr>
      <w:r w:rsidRPr="006841D0">
        <w:rPr>
          <w:rFonts w:ascii="Montserrat" w:eastAsia="Times New Roman" w:hAnsi="Montserrat" w:cs="Times New Roman"/>
          <w:b/>
          <w:bCs/>
          <w:color w:val="333333"/>
          <w:kern w:val="36"/>
          <w:sz w:val="20"/>
          <w:szCs w:val="20"/>
          <w:lang w:eastAsia="lt-LT"/>
          <w14:ligatures w14:val="none"/>
        </w:rPr>
        <w:t>VAIZDO STEBĖJIMO SISTEMOS DARBO STOČIŲ ATNAUJINIMO TECHNINĖ SPECIFIKACIJA</w:t>
      </w:r>
    </w:p>
    <w:p w14:paraId="387B046F" w14:textId="77777777" w:rsidR="004938C3" w:rsidRPr="004938C3" w:rsidRDefault="004938C3" w:rsidP="00C50015">
      <w:pPr>
        <w:shd w:val="clear" w:color="auto" w:fill="FFFFFF"/>
        <w:spacing w:before="150" w:after="150" w:line="276" w:lineRule="auto"/>
        <w:outlineLvl w:val="0"/>
        <w:rPr>
          <w:rFonts w:ascii="Montserrat" w:eastAsia="Times New Roman" w:hAnsi="Montserrat" w:cs="Times New Roman"/>
          <w:b/>
          <w:bCs/>
          <w:color w:val="333333"/>
          <w:kern w:val="36"/>
          <w:sz w:val="20"/>
          <w:szCs w:val="20"/>
          <w:lang w:eastAsia="lt-LT"/>
          <w14:ligatures w14:val="none"/>
        </w:rPr>
      </w:pPr>
    </w:p>
    <w:p w14:paraId="206C9492" w14:textId="403A7783" w:rsidR="004938C3" w:rsidRPr="004938C3" w:rsidRDefault="004938C3" w:rsidP="00C50015">
      <w:pPr>
        <w:tabs>
          <w:tab w:val="left" w:pos="851"/>
        </w:tabs>
        <w:spacing w:after="0" w:line="276" w:lineRule="auto"/>
        <w:ind w:firstLine="567"/>
        <w:jc w:val="both"/>
        <w:rPr>
          <w:rFonts w:ascii="Montserrat" w:eastAsia="Times New Roman" w:hAnsi="Montserrat" w:cs="Arial"/>
          <w:kern w:val="0"/>
          <w:sz w:val="20"/>
          <w:szCs w:val="20"/>
          <w14:ligatures w14:val="none"/>
        </w:rPr>
      </w:pPr>
      <w:r w:rsidRPr="004938C3">
        <w:rPr>
          <w:rFonts w:ascii="Montserrat" w:eastAsia="Times New Roman" w:hAnsi="Montserrat" w:cs="Arial"/>
          <w:b/>
          <w:bCs/>
          <w:kern w:val="0"/>
          <w:sz w:val="20"/>
          <w:szCs w:val="20"/>
          <w14:ligatures w14:val="none"/>
        </w:rPr>
        <w:t>Perkančioji organizacija</w:t>
      </w:r>
      <w:r w:rsidRPr="004938C3">
        <w:rPr>
          <w:rFonts w:ascii="Montserrat" w:eastAsia="Times New Roman" w:hAnsi="Montserrat" w:cs="Arial"/>
          <w:kern w:val="0"/>
          <w:sz w:val="20"/>
          <w:szCs w:val="20"/>
          <w14:ligatures w14:val="none"/>
        </w:rPr>
        <w:t xml:space="preserve"> – </w:t>
      </w:r>
      <w:r w:rsidRPr="006841D0">
        <w:rPr>
          <w:rFonts w:ascii="Montserrat" w:eastAsia="Times New Roman" w:hAnsi="Montserrat" w:cs="Arial"/>
          <w:kern w:val="0"/>
          <w:sz w:val="20"/>
          <w:szCs w:val="20"/>
          <w14:ligatures w14:val="none"/>
        </w:rPr>
        <w:t>S</w:t>
      </w:r>
      <w:r w:rsidRPr="004938C3">
        <w:rPr>
          <w:rFonts w:ascii="Montserrat" w:eastAsia="Times New Roman" w:hAnsi="Montserrat" w:cs="Arial"/>
          <w:kern w:val="0"/>
          <w:sz w:val="20"/>
          <w:szCs w:val="20"/>
          <w14:ligatures w14:val="none"/>
        </w:rPr>
        <w:t>avivaldybės įmonė „Susisiekimo paslaugos“ (toliau – Užsakovas).</w:t>
      </w:r>
    </w:p>
    <w:p w14:paraId="1D09EF1C" w14:textId="7E8C101B" w:rsidR="00C50015" w:rsidRPr="006841D0" w:rsidRDefault="004938C3" w:rsidP="00C50015">
      <w:pPr>
        <w:tabs>
          <w:tab w:val="left" w:pos="851"/>
        </w:tabs>
        <w:spacing w:after="0" w:line="276" w:lineRule="auto"/>
        <w:ind w:firstLine="567"/>
        <w:jc w:val="both"/>
        <w:rPr>
          <w:rFonts w:ascii="Montserrat" w:eastAsia="Times New Roman" w:hAnsi="Montserrat" w:cs="Arial"/>
          <w:color w:val="000000"/>
          <w:kern w:val="0"/>
          <w:sz w:val="20"/>
          <w:szCs w:val="20"/>
          <w14:ligatures w14:val="none"/>
        </w:rPr>
      </w:pPr>
      <w:r w:rsidRPr="004938C3">
        <w:rPr>
          <w:rFonts w:ascii="Montserrat" w:eastAsia="Times New Roman" w:hAnsi="Montserrat" w:cs="Arial"/>
          <w:b/>
          <w:bCs/>
          <w:kern w:val="0"/>
          <w:sz w:val="20"/>
          <w:szCs w:val="20"/>
          <w14:ligatures w14:val="none"/>
        </w:rPr>
        <w:t>Pirkimo objektas</w:t>
      </w:r>
      <w:r w:rsidRPr="004938C3">
        <w:rPr>
          <w:rFonts w:ascii="Montserrat" w:eastAsia="Times New Roman" w:hAnsi="Montserrat" w:cs="Arial"/>
          <w:kern w:val="0"/>
          <w:sz w:val="20"/>
          <w:szCs w:val="20"/>
          <w14:ligatures w14:val="none"/>
        </w:rPr>
        <w:t xml:space="preserve"> </w:t>
      </w:r>
      <w:r w:rsidRPr="004938C3">
        <w:rPr>
          <w:rFonts w:ascii="Montserrat" w:eastAsia="Times New Roman" w:hAnsi="Montserrat" w:cs="Arial"/>
          <w:b/>
          <w:bCs/>
          <w:kern w:val="0"/>
          <w:sz w:val="20"/>
          <w:szCs w:val="20"/>
          <w14:ligatures w14:val="none"/>
        </w:rPr>
        <w:t xml:space="preserve">– </w:t>
      </w:r>
      <w:r w:rsidRPr="006841D0">
        <w:rPr>
          <w:rFonts w:ascii="Montserrat" w:eastAsia="Times New Roman" w:hAnsi="Montserrat" w:cs="Arial"/>
          <w:kern w:val="0"/>
          <w:sz w:val="20"/>
          <w:szCs w:val="20"/>
          <w14:ligatures w14:val="none"/>
        </w:rPr>
        <w:t>Vaizdo stebėjimo sistemos darbo stočių atnaujinimas</w:t>
      </w:r>
      <w:r w:rsidRPr="004938C3">
        <w:rPr>
          <w:rFonts w:ascii="Montserrat" w:eastAsia="Times New Roman" w:hAnsi="Montserrat" w:cs="Arial"/>
          <w:b/>
          <w:bCs/>
          <w:kern w:val="0"/>
          <w:sz w:val="20"/>
          <w:szCs w:val="20"/>
          <w14:ligatures w14:val="none"/>
        </w:rPr>
        <w:t xml:space="preserve"> </w:t>
      </w:r>
      <w:r w:rsidRPr="004938C3">
        <w:rPr>
          <w:rFonts w:ascii="Montserrat" w:eastAsia="Times New Roman" w:hAnsi="Montserrat" w:cs="Arial"/>
          <w:kern w:val="0"/>
          <w:sz w:val="20"/>
          <w:szCs w:val="20"/>
          <w14:ligatures w14:val="none"/>
        </w:rPr>
        <w:t xml:space="preserve">(toliau – </w:t>
      </w:r>
      <w:r w:rsidRPr="006841D0">
        <w:rPr>
          <w:rFonts w:ascii="Montserrat" w:eastAsia="Times New Roman" w:hAnsi="Montserrat" w:cs="Arial"/>
          <w:kern w:val="0"/>
          <w:sz w:val="20"/>
          <w:szCs w:val="20"/>
          <w14:ligatures w14:val="none"/>
        </w:rPr>
        <w:t>prekės</w:t>
      </w:r>
      <w:r w:rsidRPr="004938C3">
        <w:rPr>
          <w:rFonts w:ascii="Montserrat" w:eastAsia="Times New Roman" w:hAnsi="Montserrat" w:cs="Arial"/>
          <w:kern w:val="0"/>
          <w:sz w:val="20"/>
          <w:szCs w:val="20"/>
          <w14:ligatures w14:val="none"/>
        </w:rPr>
        <w:t xml:space="preserve">). </w:t>
      </w:r>
      <w:r w:rsidRPr="006841D0">
        <w:rPr>
          <w:rFonts w:ascii="Montserrat" w:eastAsia="Times New Roman" w:hAnsi="Montserrat" w:cs="Arial"/>
          <w:color w:val="000000"/>
          <w:kern w:val="0"/>
          <w:sz w:val="20"/>
          <w:szCs w:val="20"/>
          <w14:ligatures w14:val="none"/>
        </w:rPr>
        <w:t xml:space="preserve">Reikalingų atnaujinti darbo stočių </w:t>
      </w:r>
      <w:r w:rsidRPr="004938C3">
        <w:rPr>
          <w:rFonts w:ascii="Montserrat" w:eastAsia="Times New Roman" w:hAnsi="Montserrat" w:cs="Arial"/>
          <w:color w:val="000000"/>
          <w:kern w:val="0"/>
          <w:sz w:val="20"/>
          <w:szCs w:val="20"/>
          <w14:ligatures w14:val="none"/>
        </w:rPr>
        <w:t xml:space="preserve">kiekis – </w:t>
      </w:r>
      <w:r w:rsidRPr="006841D0">
        <w:rPr>
          <w:rFonts w:ascii="Montserrat" w:eastAsia="Times New Roman" w:hAnsi="Montserrat" w:cs="Arial"/>
          <w:color w:val="000000"/>
          <w:kern w:val="0"/>
          <w:sz w:val="20"/>
          <w:szCs w:val="20"/>
          <w:lang w:val="en-US"/>
          <w14:ligatures w14:val="none"/>
        </w:rPr>
        <w:t>2</w:t>
      </w:r>
      <w:r w:rsidRPr="004938C3">
        <w:rPr>
          <w:rFonts w:ascii="Montserrat" w:eastAsia="Times New Roman" w:hAnsi="Montserrat" w:cs="Arial"/>
          <w:color w:val="000000"/>
          <w:kern w:val="0"/>
          <w:sz w:val="20"/>
          <w:szCs w:val="20"/>
          <w14:ligatures w14:val="none"/>
        </w:rPr>
        <w:t xml:space="preserve"> vnt.</w:t>
      </w:r>
    </w:p>
    <w:p w14:paraId="2E79CA33" w14:textId="3DE1DDE2" w:rsidR="00C50015" w:rsidRPr="006841D0" w:rsidRDefault="00C50015" w:rsidP="00C50015">
      <w:pPr>
        <w:tabs>
          <w:tab w:val="left" w:pos="851"/>
        </w:tabs>
        <w:spacing w:after="0" w:line="276" w:lineRule="auto"/>
        <w:ind w:firstLine="567"/>
        <w:jc w:val="both"/>
        <w:rPr>
          <w:rFonts w:ascii="Montserrat" w:eastAsia="Times New Roman" w:hAnsi="Montserrat" w:cs="Arial"/>
          <w:color w:val="000000"/>
          <w:kern w:val="0"/>
          <w:sz w:val="20"/>
          <w:szCs w:val="20"/>
          <w14:ligatures w14:val="none"/>
        </w:rPr>
      </w:pPr>
      <w:r w:rsidRPr="00C50015">
        <w:rPr>
          <w:rFonts w:ascii="Montserrat" w:eastAsia="Calibri" w:hAnsi="Montserrat" w:cs="Arial"/>
          <w:b/>
          <w:bCs/>
          <w:kern w:val="0"/>
          <w:sz w:val="20"/>
          <w:szCs w:val="20"/>
          <w14:ligatures w14:val="none"/>
        </w:rPr>
        <w:t>Aplinkos apsaugos vadybos sistemos reikalavimai (</w:t>
      </w:r>
      <w:bookmarkStart w:id="0" w:name="_Hlk100229907"/>
      <w:r w:rsidRPr="00C50015">
        <w:rPr>
          <w:rFonts w:ascii="Montserrat" w:eastAsia="Calibri" w:hAnsi="Montserrat" w:cs="Arial"/>
          <w:b/>
          <w:bCs/>
          <w:kern w:val="0"/>
          <w:sz w:val="20"/>
          <w:szCs w:val="20"/>
          <w14:ligatures w14:val="none"/>
        </w:rPr>
        <w:t xml:space="preserve">Žaliųjų viešųjų pirkimų </w:t>
      </w:r>
    </w:p>
    <w:p w14:paraId="20884CEE" w14:textId="3B35192A" w:rsidR="005F6F4B" w:rsidRDefault="00C50015" w:rsidP="00C50015">
      <w:pPr>
        <w:tabs>
          <w:tab w:val="left" w:pos="426"/>
          <w:tab w:val="left" w:pos="851"/>
        </w:tabs>
        <w:spacing w:after="0" w:line="276" w:lineRule="auto"/>
        <w:jc w:val="both"/>
        <w:rPr>
          <w:rFonts w:ascii="Montserrat" w:eastAsia="Times New Roman" w:hAnsi="Montserrat" w:cs="Times New Roman"/>
          <w:kern w:val="0"/>
          <w:sz w:val="20"/>
          <w:szCs w:val="20"/>
          <w:lang w:eastAsia="lt-LT"/>
          <w14:ligatures w14:val="none"/>
        </w:rPr>
      </w:pPr>
      <w:r w:rsidRPr="00C50015">
        <w:rPr>
          <w:rFonts w:ascii="Montserrat" w:eastAsia="Calibri" w:hAnsi="Montserrat" w:cs="Arial"/>
          <w:b/>
          <w:bCs/>
          <w:kern w:val="0"/>
          <w:sz w:val="20"/>
          <w:szCs w:val="20"/>
          <w14:ligatures w14:val="none"/>
        </w:rPr>
        <w:t>reikalavima</w:t>
      </w:r>
      <w:bookmarkEnd w:id="0"/>
      <w:r w:rsidRPr="00C50015">
        <w:rPr>
          <w:rFonts w:ascii="Montserrat" w:eastAsia="Calibri" w:hAnsi="Montserrat" w:cs="Arial"/>
          <w:b/>
          <w:bCs/>
          <w:kern w:val="0"/>
          <w:sz w:val="20"/>
          <w:szCs w:val="20"/>
          <w14:ligatures w14:val="none"/>
        </w:rPr>
        <w:t>i)</w:t>
      </w:r>
      <w:r w:rsidRPr="006841D0">
        <w:rPr>
          <w:rFonts w:ascii="Montserrat" w:eastAsia="Calibri" w:hAnsi="Montserrat" w:cs="Arial"/>
          <w:b/>
          <w:bCs/>
          <w:kern w:val="0"/>
          <w:sz w:val="20"/>
          <w:szCs w:val="20"/>
          <w14:ligatures w14:val="none"/>
        </w:rPr>
        <w:t xml:space="preserve"> – </w:t>
      </w:r>
      <w:r w:rsidRPr="00C50015">
        <w:rPr>
          <w:rFonts w:ascii="Montserrat" w:eastAsia="Calibri" w:hAnsi="Montserrat" w:cs="Arial"/>
          <w:kern w:val="0"/>
          <w:sz w:val="20"/>
          <w:szCs w:val="20"/>
          <w14:ligatures w14:val="none"/>
        </w:rPr>
        <w:t>Aplinkos apsaugos kriterijai nustatyti pagal Lietuvos Respublikos aplinkos ministro 2022 m. gruodžio 13 d. įsakymu Nr. D1-401 patvirtintą „Aplinkos apsaugos kriterijų taikymo, vykdant žaliuosius pirkimus, tvarkos aprašo“</w:t>
      </w:r>
      <w:r w:rsidRPr="006841D0">
        <w:rPr>
          <w:rFonts w:ascii="Montserrat" w:eastAsia="Calibri" w:hAnsi="Montserrat" w:cs="Arial"/>
          <w:kern w:val="0"/>
          <w:sz w:val="20"/>
          <w:szCs w:val="20"/>
          <w14:ligatures w14:val="none"/>
        </w:rPr>
        <w:t xml:space="preserve"> </w:t>
      </w:r>
      <w:r w:rsidR="005342AB" w:rsidRPr="006841D0">
        <w:rPr>
          <w:rFonts w:ascii="Montserrat" w:eastAsia="Calibri" w:hAnsi="Montserrat" w:cs="Arial"/>
          <w:kern w:val="0"/>
          <w:sz w:val="20"/>
          <w:szCs w:val="20"/>
          <w14:ligatures w14:val="none"/>
        </w:rPr>
        <w:t xml:space="preserve">4.2 papunktį, </w:t>
      </w:r>
      <w:r w:rsidR="006841D0" w:rsidRPr="006841D0">
        <w:rPr>
          <w:rFonts w:ascii="Montserrat" w:eastAsia="Calibri" w:hAnsi="Montserrat" w:cs="Arial"/>
          <w:kern w:val="0"/>
          <w:sz w:val="20"/>
          <w:szCs w:val="20"/>
          <w14:ligatures w14:val="none"/>
        </w:rPr>
        <w:t xml:space="preserve">prekė turi atitikti </w:t>
      </w:r>
      <w:r w:rsidR="005342AB" w:rsidRPr="006841D0">
        <w:rPr>
          <w:rFonts w:ascii="Montserrat" w:eastAsia="Times New Roman" w:hAnsi="Montserrat" w:cs="Times New Roman"/>
          <w:kern w:val="0"/>
          <w:sz w:val="20"/>
          <w:szCs w:val="20"/>
          <w:lang w:val="lt" w:eastAsia="lt-LT"/>
          <w14:ligatures w14:val="none"/>
        </w:rPr>
        <w:t xml:space="preserve">jam nustatytus I tipo ekologinio ženklo reikalavimus pagal standartą LST EN ISO 14024 „Aplinkosauginiai ženklai ir aplinkosauginės deklaracijos. I tipo aplinkosauginis ženklinimas. Principai ir procedūros“ ir </w:t>
      </w:r>
      <w:r w:rsidR="006841D0" w:rsidRPr="006841D0">
        <w:rPr>
          <w:rFonts w:ascii="Montserrat" w:eastAsia="Times New Roman" w:hAnsi="Montserrat" w:cs="Times New Roman"/>
          <w:kern w:val="0"/>
          <w:sz w:val="20"/>
          <w:szCs w:val="20"/>
          <w:lang w:val="lt" w:eastAsia="lt-LT"/>
          <w14:ligatures w14:val="none"/>
        </w:rPr>
        <w:t>būti</w:t>
      </w:r>
      <w:r w:rsidR="005342AB" w:rsidRPr="006841D0">
        <w:rPr>
          <w:rFonts w:ascii="Montserrat" w:eastAsia="Times New Roman" w:hAnsi="Montserrat" w:cs="Times New Roman"/>
          <w:kern w:val="0"/>
          <w:sz w:val="20"/>
          <w:szCs w:val="20"/>
          <w:lang w:val="lt" w:eastAsia="lt-LT"/>
          <w14:ligatures w14:val="none"/>
        </w:rPr>
        <w:t xml:space="preserve"> paženklinta I tipo ekologiniu ženklu arba kitu tiekėjo pateiktu lygiaverčiu įrodymu (pvz., EU Ecolabel, Nordic Swan, Blue Angel, El Distintiu, Milieukeur, Österreichisches Umweltzeichen, NF Environnement, The Hungarian Eco-label, Polish Eco Mark-Znak EKO arba kitu I tipo ekologiniu ženklu</w:t>
      </w:r>
      <w:r w:rsidR="005342AB" w:rsidRPr="006841D0">
        <w:rPr>
          <w:rFonts w:ascii="Montserrat" w:eastAsia="Times New Roman" w:hAnsi="Montserrat" w:cs="Times New Roman"/>
          <w:kern w:val="0"/>
          <w:sz w:val="20"/>
          <w:szCs w:val="20"/>
          <w:lang w:eastAsia="lt-LT"/>
          <w14:ligatures w14:val="none"/>
        </w:rPr>
        <w:t>)</w:t>
      </w:r>
      <w:r w:rsidR="006841D0">
        <w:rPr>
          <w:rFonts w:ascii="Montserrat" w:eastAsia="Times New Roman" w:hAnsi="Montserrat" w:cs="Times New Roman"/>
          <w:kern w:val="0"/>
          <w:sz w:val="20"/>
          <w:szCs w:val="20"/>
          <w:lang w:eastAsia="lt-LT"/>
          <w14:ligatures w14:val="none"/>
        </w:rPr>
        <w:t>.</w:t>
      </w:r>
    </w:p>
    <w:p w14:paraId="31521F12" w14:textId="77777777" w:rsidR="005F6F4B" w:rsidRPr="00C50015" w:rsidRDefault="006841D0" w:rsidP="00C50015">
      <w:pPr>
        <w:tabs>
          <w:tab w:val="left" w:pos="426"/>
          <w:tab w:val="left" w:pos="851"/>
        </w:tabs>
        <w:spacing w:after="0" w:line="276" w:lineRule="auto"/>
        <w:jc w:val="both"/>
        <w:rPr>
          <w:rFonts w:ascii="Montserrat" w:eastAsia="Calibri" w:hAnsi="Montserrat" w:cs="Arial"/>
          <w:kern w:val="0"/>
          <w:sz w:val="20"/>
          <w:szCs w:val="20"/>
          <w14:ligatures w14:val="none"/>
        </w:rPr>
      </w:pPr>
      <w:r>
        <w:rPr>
          <w:rFonts w:ascii="Montserrat" w:eastAsia="Times New Roman" w:hAnsi="Montserrat" w:cs="Times New Roman"/>
          <w:kern w:val="0"/>
          <w:sz w:val="20"/>
          <w:szCs w:val="20"/>
          <w:lang w:eastAsia="lt-LT"/>
          <w14:ligatures w14:val="none"/>
        </w:rPr>
        <w:tab/>
      </w:r>
    </w:p>
    <w:tbl>
      <w:tblPr>
        <w:tblStyle w:val="TableGrid1"/>
        <w:tblW w:w="9498" w:type="dxa"/>
        <w:tblInd w:w="-289" w:type="dxa"/>
        <w:tblLook w:val="04A0" w:firstRow="1" w:lastRow="0" w:firstColumn="1" w:lastColumn="0" w:noHBand="0" w:noVBand="1"/>
      </w:tblPr>
      <w:tblGrid>
        <w:gridCol w:w="1086"/>
        <w:gridCol w:w="2493"/>
        <w:gridCol w:w="5919"/>
      </w:tblGrid>
      <w:tr w:rsidR="005F6F4B" w:rsidRPr="005F6F4B" w14:paraId="7AAF1151" w14:textId="77777777" w:rsidTr="00E737D9">
        <w:trPr>
          <w:trHeight w:val="663"/>
        </w:trPr>
        <w:tc>
          <w:tcPr>
            <w:tcW w:w="1046" w:type="dxa"/>
            <w:vAlign w:val="center"/>
            <w:hideMark/>
          </w:tcPr>
          <w:p w14:paraId="367EC9FC" w14:textId="77777777" w:rsidR="005F6F4B" w:rsidRPr="005F6F4B" w:rsidRDefault="005F6F4B" w:rsidP="00E737D9">
            <w:pPr>
              <w:spacing w:after="160" w:line="259" w:lineRule="auto"/>
              <w:jc w:val="center"/>
              <w:rPr>
                <w:rFonts w:ascii="Montserrat" w:hAnsi="Montserrat"/>
                <w:b/>
                <w:bCs/>
                <w:sz w:val="20"/>
                <w:szCs w:val="20"/>
              </w:rPr>
            </w:pPr>
            <w:r w:rsidRPr="005F6F4B">
              <w:rPr>
                <w:rFonts w:ascii="Montserrat" w:hAnsi="Montserrat"/>
                <w:b/>
                <w:bCs/>
                <w:sz w:val="20"/>
                <w:szCs w:val="20"/>
              </w:rPr>
              <w:t>Punktas</w:t>
            </w:r>
          </w:p>
        </w:tc>
        <w:tc>
          <w:tcPr>
            <w:tcW w:w="2499" w:type="dxa"/>
            <w:vAlign w:val="center"/>
            <w:hideMark/>
          </w:tcPr>
          <w:p w14:paraId="39179739" w14:textId="77777777" w:rsidR="005F6F4B" w:rsidRPr="005F6F4B" w:rsidRDefault="005F6F4B" w:rsidP="00E737D9">
            <w:pPr>
              <w:spacing w:after="160" w:line="259" w:lineRule="auto"/>
              <w:jc w:val="center"/>
              <w:rPr>
                <w:rFonts w:ascii="Montserrat" w:hAnsi="Montserrat"/>
                <w:b/>
                <w:bCs/>
                <w:sz w:val="20"/>
                <w:szCs w:val="20"/>
              </w:rPr>
            </w:pPr>
            <w:r w:rsidRPr="005F6F4B">
              <w:rPr>
                <w:rFonts w:ascii="Montserrat" w:hAnsi="Montserrat"/>
                <w:b/>
                <w:bCs/>
                <w:sz w:val="20"/>
                <w:szCs w:val="20"/>
              </w:rPr>
              <w:t>Parametras</w:t>
            </w:r>
          </w:p>
        </w:tc>
        <w:tc>
          <w:tcPr>
            <w:tcW w:w="5953" w:type="dxa"/>
            <w:vAlign w:val="center"/>
            <w:hideMark/>
          </w:tcPr>
          <w:p w14:paraId="591134E8" w14:textId="492C7811" w:rsidR="005F6F4B" w:rsidRPr="005F6F4B" w:rsidRDefault="00181353" w:rsidP="00E737D9">
            <w:pPr>
              <w:spacing w:after="160" w:line="360" w:lineRule="auto"/>
              <w:jc w:val="center"/>
              <w:rPr>
                <w:rFonts w:ascii="Montserrat" w:hAnsi="Montserrat"/>
                <w:b/>
                <w:bCs/>
                <w:sz w:val="20"/>
                <w:szCs w:val="20"/>
              </w:rPr>
            </w:pPr>
            <w:r>
              <w:rPr>
                <w:rFonts w:ascii="Montserrat" w:hAnsi="Montserrat"/>
                <w:b/>
                <w:bCs/>
                <w:sz w:val="20"/>
                <w:szCs w:val="20"/>
              </w:rPr>
              <w:t>R</w:t>
            </w:r>
            <w:r w:rsidR="005F6F4B" w:rsidRPr="005F6F4B">
              <w:rPr>
                <w:rFonts w:ascii="Montserrat" w:hAnsi="Montserrat"/>
                <w:b/>
                <w:bCs/>
                <w:sz w:val="20"/>
                <w:szCs w:val="20"/>
              </w:rPr>
              <w:t>eikalaujamos techninių charakteristikų / parametrų reikšmės</w:t>
            </w:r>
          </w:p>
        </w:tc>
      </w:tr>
      <w:tr w:rsidR="005F6F4B" w:rsidRPr="005F6F4B" w14:paraId="10E30CF6" w14:textId="77777777" w:rsidTr="00E737D9">
        <w:trPr>
          <w:trHeight w:val="743"/>
        </w:trPr>
        <w:tc>
          <w:tcPr>
            <w:tcW w:w="1046" w:type="dxa"/>
            <w:vAlign w:val="center"/>
            <w:hideMark/>
          </w:tcPr>
          <w:p w14:paraId="29385C8B" w14:textId="77777777" w:rsidR="005F6F4B" w:rsidRPr="005F6F4B" w:rsidRDefault="005F6F4B" w:rsidP="00E737D9">
            <w:pPr>
              <w:spacing w:after="160" w:line="259" w:lineRule="auto"/>
              <w:jc w:val="center"/>
              <w:rPr>
                <w:rFonts w:ascii="Montserrat" w:hAnsi="Montserrat"/>
                <w:sz w:val="20"/>
                <w:szCs w:val="20"/>
              </w:rPr>
            </w:pPr>
            <w:r w:rsidRPr="005F6F4B">
              <w:rPr>
                <w:rFonts w:ascii="Montserrat" w:hAnsi="Montserrat"/>
                <w:sz w:val="20"/>
                <w:szCs w:val="20"/>
              </w:rPr>
              <w:t>1.</w:t>
            </w:r>
          </w:p>
        </w:tc>
        <w:tc>
          <w:tcPr>
            <w:tcW w:w="2499" w:type="dxa"/>
            <w:vAlign w:val="center"/>
            <w:hideMark/>
          </w:tcPr>
          <w:p w14:paraId="72430DBF" w14:textId="77777777" w:rsidR="005F6F4B" w:rsidRPr="005F6F4B" w:rsidRDefault="005F6F4B" w:rsidP="00E737D9">
            <w:pPr>
              <w:spacing w:after="160" w:line="259" w:lineRule="auto"/>
              <w:jc w:val="center"/>
              <w:rPr>
                <w:rFonts w:ascii="Montserrat" w:hAnsi="Montserrat"/>
                <w:sz w:val="20"/>
                <w:szCs w:val="20"/>
              </w:rPr>
            </w:pPr>
            <w:r w:rsidRPr="005F6F4B">
              <w:rPr>
                <w:rFonts w:ascii="Montserrat" w:hAnsi="Montserrat"/>
                <w:sz w:val="20"/>
                <w:szCs w:val="20"/>
              </w:rPr>
              <w:t>Gamintojas, pavadinimas / modelis</w:t>
            </w:r>
          </w:p>
        </w:tc>
        <w:tc>
          <w:tcPr>
            <w:tcW w:w="5953" w:type="dxa"/>
            <w:hideMark/>
          </w:tcPr>
          <w:p w14:paraId="11733CA5"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Tiekėjas, teikdamas pasiūlymą, turi nurodyti gamintoją, pavadinimą ir modelį.</w:t>
            </w:r>
          </w:p>
        </w:tc>
      </w:tr>
      <w:tr w:rsidR="005F6F4B" w:rsidRPr="005F6F4B" w14:paraId="738F96C8" w14:textId="77777777" w:rsidTr="00E737D9">
        <w:trPr>
          <w:trHeight w:val="2858"/>
        </w:trPr>
        <w:tc>
          <w:tcPr>
            <w:tcW w:w="1046" w:type="dxa"/>
            <w:vAlign w:val="center"/>
            <w:hideMark/>
          </w:tcPr>
          <w:p w14:paraId="7174E6B2" w14:textId="77777777" w:rsidR="005F6F4B" w:rsidRPr="005F6F4B" w:rsidRDefault="005F6F4B" w:rsidP="00E737D9">
            <w:pPr>
              <w:spacing w:after="160" w:line="259" w:lineRule="auto"/>
              <w:jc w:val="center"/>
              <w:rPr>
                <w:rFonts w:ascii="Montserrat" w:hAnsi="Montserrat"/>
                <w:sz w:val="20"/>
                <w:szCs w:val="20"/>
              </w:rPr>
            </w:pPr>
            <w:r w:rsidRPr="005F6F4B">
              <w:rPr>
                <w:rFonts w:ascii="Montserrat" w:hAnsi="Montserrat"/>
                <w:sz w:val="20"/>
                <w:szCs w:val="20"/>
              </w:rPr>
              <w:t>2.</w:t>
            </w:r>
          </w:p>
        </w:tc>
        <w:tc>
          <w:tcPr>
            <w:tcW w:w="2499" w:type="dxa"/>
            <w:vAlign w:val="center"/>
            <w:hideMark/>
          </w:tcPr>
          <w:p w14:paraId="2CC336BF" w14:textId="77777777" w:rsidR="005F6F4B" w:rsidRPr="005F6F4B" w:rsidRDefault="005F6F4B" w:rsidP="00E737D9">
            <w:pPr>
              <w:spacing w:after="160" w:line="259" w:lineRule="auto"/>
              <w:jc w:val="center"/>
              <w:rPr>
                <w:rFonts w:ascii="Montserrat" w:hAnsi="Montserrat"/>
                <w:sz w:val="20"/>
                <w:szCs w:val="20"/>
              </w:rPr>
            </w:pPr>
            <w:r w:rsidRPr="005F6F4B">
              <w:rPr>
                <w:rFonts w:ascii="Montserrat" w:hAnsi="Montserrat"/>
                <w:sz w:val="20"/>
                <w:szCs w:val="20"/>
              </w:rPr>
              <w:t>Procesorius</w:t>
            </w:r>
          </w:p>
        </w:tc>
        <w:tc>
          <w:tcPr>
            <w:tcW w:w="5953" w:type="dxa"/>
            <w:hideMark/>
          </w:tcPr>
          <w:p w14:paraId="58180F6F"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 xml:space="preserve">Turi būti ne mažiau kaip 1 procesorius x86-64 tipo. Procesoriaus anonsavimo data ne senesnė nei 2022 m. Turintis ne mažiau nei 256MB L3 spartinančiosios atminties, ne mžiau nei 32 fizinių  branduolių bei ne mažiau kaip 12 atminties kanalų viename procesoriuje. Procesoriau bazinis dažnis ne mažesnis nei 3.25 GHz, ir maksimalus dažnis ne mažesnis nei 3.8 GHz. </w:t>
            </w:r>
          </w:p>
        </w:tc>
      </w:tr>
      <w:tr w:rsidR="005F6F4B" w:rsidRPr="005F6F4B" w14:paraId="6BB6C98B" w14:textId="77777777" w:rsidTr="00E737D9">
        <w:trPr>
          <w:trHeight w:val="4243"/>
        </w:trPr>
        <w:tc>
          <w:tcPr>
            <w:tcW w:w="1046" w:type="dxa"/>
            <w:hideMark/>
          </w:tcPr>
          <w:p w14:paraId="66986AA5"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lastRenderedPageBreak/>
              <w:t>3.</w:t>
            </w:r>
          </w:p>
        </w:tc>
        <w:tc>
          <w:tcPr>
            <w:tcW w:w="2499" w:type="dxa"/>
            <w:hideMark/>
          </w:tcPr>
          <w:p w14:paraId="00401CAE"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Procesoriaus našumas</w:t>
            </w:r>
          </w:p>
        </w:tc>
        <w:tc>
          <w:tcPr>
            <w:tcW w:w="5953" w:type="dxa"/>
            <w:hideMark/>
          </w:tcPr>
          <w:p w14:paraId="3698DF6E"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 xml:space="preserve">Testo rezultatai pateikiami 1 procesoriaus sistemoje. Siūlomų procesorių našumo parametrai turi būti viešai skelbiami oficialiame tinklalapyje www.spec.org. Procesoriaus testai turi atitikti siūlomos tarnybinės stoties gamintojo modelyje. Privaloma pateikti internetines nuorodas į testų bazinio našumo (angl. Baseline) rezultatus. Publikuojami rezultatai turi būti ne mažesni nei: </w:t>
            </w:r>
            <w:r w:rsidRPr="005F6F4B">
              <w:rPr>
                <w:rFonts w:ascii="Montserrat" w:hAnsi="Montserrat"/>
                <w:sz w:val="20"/>
                <w:szCs w:val="20"/>
              </w:rPr>
              <w:br/>
              <w:t>·      „SPEC CPU® 2017 Integer Rate“ (SPECrate2017_int_base = 372)</w:t>
            </w:r>
            <w:r w:rsidRPr="005F6F4B">
              <w:rPr>
                <w:rFonts w:ascii="Montserrat" w:hAnsi="Montserrat"/>
                <w:sz w:val="20"/>
                <w:szCs w:val="20"/>
              </w:rPr>
              <w:br/>
              <w:t>·      „SPEC CPU® 2017 Floating Point“ (SPECrate2017_fp_peak = 447)</w:t>
            </w:r>
          </w:p>
        </w:tc>
      </w:tr>
      <w:tr w:rsidR="005F6F4B" w:rsidRPr="005F6F4B" w14:paraId="04A80A97" w14:textId="77777777" w:rsidTr="00E737D9">
        <w:trPr>
          <w:trHeight w:val="2250"/>
        </w:trPr>
        <w:tc>
          <w:tcPr>
            <w:tcW w:w="1046" w:type="dxa"/>
            <w:hideMark/>
          </w:tcPr>
          <w:p w14:paraId="5E5EDC18"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4.</w:t>
            </w:r>
          </w:p>
        </w:tc>
        <w:tc>
          <w:tcPr>
            <w:tcW w:w="2499" w:type="dxa"/>
            <w:hideMark/>
          </w:tcPr>
          <w:p w14:paraId="782E75A2"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Operatyvioji atmintis</w:t>
            </w:r>
          </w:p>
        </w:tc>
        <w:tc>
          <w:tcPr>
            <w:tcW w:w="5953" w:type="dxa"/>
            <w:hideMark/>
          </w:tcPr>
          <w:p w14:paraId="2963BDCA"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 xml:space="preserve">Serveris turi turėti ne mažiau nei 64 GB, ir palaikyti ne prasčiau nei, DDR5 ECC, Registered DIMM (RDIMM) ir Advanced ECC technologijas. Atminties plečiamumas turi būti ne mažesnis nei 6TB vienam procesoriui. Tarnybinė stotis turi palaikyti ne mažiau nei 24 atminties lizdus vieno procesoriaus sistemoje. </w:t>
            </w:r>
          </w:p>
        </w:tc>
      </w:tr>
      <w:tr w:rsidR="005F6F4B" w:rsidRPr="005F6F4B" w14:paraId="26E38D23" w14:textId="77777777" w:rsidTr="00E737D9">
        <w:trPr>
          <w:trHeight w:val="1115"/>
        </w:trPr>
        <w:tc>
          <w:tcPr>
            <w:tcW w:w="1046" w:type="dxa"/>
            <w:hideMark/>
          </w:tcPr>
          <w:p w14:paraId="3DAAFC07"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5.</w:t>
            </w:r>
          </w:p>
        </w:tc>
        <w:tc>
          <w:tcPr>
            <w:tcW w:w="2499" w:type="dxa"/>
            <w:hideMark/>
          </w:tcPr>
          <w:p w14:paraId="639362B8" w14:textId="77777777" w:rsidR="005F6F4B" w:rsidRPr="005F6F4B" w:rsidRDefault="005F6F4B" w:rsidP="000A53E8">
            <w:pPr>
              <w:spacing w:after="160" w:line="360" w:lineRule="auto"/>
              <w:rPr>
                <w:rFonts w:ascii="Montserrat" w:hAnsi="Montserrat"/>
                <w:sz w:val="20"/>
                <w:szCs w:val="20"/>
              </w:rPr>
            </w:pPr>
            <w:r w:rsidRPr="005F6F4B">
              <w:rPr>
                <w:rFonts w:ascii="Montserrat" w:hAnsi="Montserrat"/>
                <w:sz w:val="20"/>
                <w:szCs w:val="20"/>
              </w:rPr>
              <w:t>Vidinė įkrovos atmintis</w:t>
            </w:r>
          </w:p>
        </w:tc>
        <w:tc>
          <w:tcPr>
            <w:tcW w:w="5953" w:type="dxa"/>
            <w:hideMark/>
          </w:tcPr>
          <w:p w14:paraId="283F264E" w14:textId="77777777" w:rsidR="005F6F4B" w:rsidRPr="005F6F4B" w:rsidRDefault="005F6F4B" w:rsidP="000A53E8">
            <w:pPr>
              <w:spacing w:after="160" w:line="360" w:lineRule="auto"/>
              <w:rPr>
                <w:rFonts w:ascii="Montserrat" w:hAnsi="Montserrat"/>
                <w:sz w:val="20"/>
                <w:szCs w:val="20"/>
              </w:rPr>
            </w:pPr>
            <w:r w:rsidRPr="005F6F4B">
              <w:rPr>
                <w:rFonts w:ascii="Montserrat" w:hAnsi="Montserrat"/>
                <w:sz w:val="20"/>
                <w:szCs w:val="20"/>
              </w:rPr>
              <w:t>Sistema turi palaikyti ne mažiau kaip 2 vnt. SSD karšto keitimo tipo laikmenų, apjungtų į aparatinį RAID 1 masyvą.</w:t>
            </w:r>
          </w:p>
        </w:tc>
      </w:tr>
      <w:tr w:rsidR="005F6F4B" w:rsidRPr="005F6F4B" w14:paraId="37F5409C" w14:textId="77777777" w:rsidTr="00E737D9">
        <w:trPr>
          <w:trHeight w:val="1905"/>
        </w:trPr>
        <w:tc>
          <w:tcPr>
            <w:tcW w:w="1046" w:type="dxa"/>
            <w:hideMark/>
          </w:tcPr>
          <w:p w14:paraId="02AA4A97"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6.</w:t>
            </w:r>
          </w:p>
        </w:tc>
        <w:tc>
          <w:tcPr>
            <w:tcW w:w="2499" w:type="dxa"/>
            <w:hideMark/>
          </w:tcPr>
          <w:p w14:paraId="59FC3249"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Vidiniai diskai</w:t>
            </w:r>
          </w:p>
        </w:tc>
        <w:tc>
          <w:tcPr>
            <w:tcW w:w="5953" w:type="dxa"/>
            <w:hideMark/>
          </w:tcPr>
          <w:p w14:paraId="3B21F38A"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Tarnybinė stotis turi palaikyti ne mažiau kaip 8 vnt. 2,5“ Hot- swap tipo diskus. Privalomas SED arba lygiaverčių diskų palaikymas („Self Encrypting Drives/ Savaime Užsikoduojantys Diskai“). Tarnybinėje sotyje turi būti nemažesnės talpos ir nemažiau kaip:</w:t>
            </w:r>
            <w:r w:rsidRPr="005F6F4B">
              <w:rPr>
                <w:rFonts w:ascii="Montserrat" w:hAnsi="Montserrat"/>
                <w:sz w:val="20"/>
                <w:szCs w:val="20"/>
              </w:rPr>
              <w:br/>
              <w:t>·      2vnt. 960GB SSD Hot-plug diskai;</w:t>
            </w:r>
            <w:r w:rsidRPr="005F6F4B">
              <w:rPr>
                <w:rFonts w:ascii="Montserrat" w:hAnsi="Montserrat"/>
                <w:sz w:val="20"/>
                <w:szCs w:val="20"/>
              </w:rPr>
              <w:br/>
              <w:t>·      1 vnt. DWPD (Drive Writes Per Day) .</w:t>
            </w:r>
          </w:p>
        </w:tc>
      </w:tr>
      <w:tr w:rsidR="005F6F4B" w:rsidRPr="005F6F4B" w14:paraId="78579E37" w14:textId="77777777" w:rsidTr="00E737D9">
        <w:trPr>
          <w:trHeight w:val="855"/>
        </w:trPr>
        <w:tc>
          <w:tcPr>
            <w:tcW w:w="1046" w:type="dxa"/>
            <w:hideMark/>
          </w:tcPr>
          <w:p w14:paraId="56BC6B99"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7.</w:t>
            </w:r>
          </w:p>
        </w:tc>
        <w:tc>
          <w:tcPr>
            <w:tcW w:w="2499" w:type="dxa"/>
            <w:hideMark/>
          </w:tcPr>
          <w:p w14:paraId="1578BF00"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Tinklo plokštė</w:t>
            </w:r>
          </w:p>
        </w:tc>
        <w:tc>
          <w:tcPr>
            <w:tcW w:w="5953" w:type="dxa"/>
            <w:hideMark/>
          </w:tcPr>
          <w:p w14:paraId="5444247D"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Ne mažiau kaip:</w:t>
            </w:r>
            <w:r w:rsidRPr="005F6F4B">
              <w:rPr>
                <w:rFonts w:ascii="Montserrat" w:hAnsi="Montserrat"/>
                <w:sz w:val="20"/>
                <w:szCs w:val="20"/>
              </w:rPr>
              <w:br/>
              <w:t>·      2 vnt. 1GB Base-T tipo prievadų;</w:t>
            </w:r>
            <w:r w:rsidRPr="005F6F4B">
              <w:rPr>
                <w:rFonts w:ascii="Montserrat" w:hAnsi="Montserrat"/>
                <w:sz w:val="20"/>
                <w:szCs w:val="20"/>
              </w:rPr>
              <w:br/>
              <w:t>·      2 vnt. 25GB SFP28 tipo prievadų</w:t>
            </w:r>
          </w:p>
        </w:tc>
      </w:tr>
      <w:tr w:rsidR="005F6F4B" w:rsidRPr="005F6F4B" w14:paraId="65354C3C" w14:textId="77777777" w:rsidTr="00E737D9">
        <w:trPr>
          <w:trHeight w:val="1212"/>
        </w:trPr>
        <w:tc>
          <w:tcPr>
            <w:tcW w:w="1046" w:type="dxa"/>
            <w:hideMark/>
          </w:tcPr>
          <w:p w14:paraId="545D91E6"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8.</w:t>
            </w:r>
          </w:p>
        </w:tc>
        <w:tc>
          <w:tcPr>
            <w:tcW w:w="2499" w:type="dxa"/>
            <w:hideMark/>
          </w:tcPr>
          <w:p w14:paraId="24B31061"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Kitos išorinės jungtys</w:t>
            </w:r>
          </w:p>
        </w:tc>
        <w:tc>
          <w:tcPr>
            <w:tcW w:w="5953" w:type="dxa"/>
            <w:hideMark/>
          </w:tcPr>
          <w:p w14:paraId="04881B54"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 xml:space="preserve">Ne mažiau kaip: </w:t>
            </w:r>
            <w:r w:rsidRPr="005F6F4B">
              <w:rPr>
                <w:rFonts w:ascii="Montserrat" w:hAnsi="Montserrat"/>
                <w:sz w:val="20"/>
                <w:szCs w:val="20"/>
              </w:rPr>
              <w:br/>
              <w:t>4 vnt. USB jungčių tolygiai išskaidytų priekinėje ir nugarinėje tarnybinės stoties dalyse</w:t>
            </w:r>
            <w:r w:rsidRPr="005F6F4B">
              <w:rPr>
                <w:rFonts w:ascii="Montserrat" w:hAnsi="Montserrat"/>
                <w:sz w:val="20"/>
                <w:szCs w:val="20"/>
              </w:rPr>
              <w:br/>
              <w:t>1 vnt. VGA jungčių</w:t>
            </w:r>
          </w:p>
        </w:tc>
      </w:tr>
      <w:tr w:rsidR="005F6F4B" w:rsidRPr="005F6F4B" w14:paraId="0C76696D" w14:textId="77777777" w:rsidTr="00E737D9">
        <w:trPr>
          <w:trHeight w:val="510"/>
        </w:trPr>
        <w:tc>
          <w:tcPr>
            <w:tcW w:w="1046" w:type="dxa"/>
            <w:hideMark/>
          </w:tcPr>
          <w:p w14:paraId="48BA8AB7"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lastRenderedPageBreak/>
              <w:t>9.</w:t>
            </w:r>
          </w:p>
        </w:tc>
        <w:tc>
          <w:tcPr>
            <w:tcW w:w="2499" w:type="dxa"/>
            <w:hideMark/>
          </w:tcPr>
          <w:p w14:paraId="37685E0E"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Video kontroleris</w:t>
            </w:r>
          </w:p>
        </w:tc>
        <w:tc>
          <w:tcPr>
            <w:tcW w:w="5953" w:type="dxa"/>
            <w:hideMark/>
          </w:tcPr>
          <w:p w14:paraId="39ED152E"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Turi būti integruotas, palaikantis ne mažiau kaip Full HD rezoliuciją.</w:t>
            </w:r>
          </w:p>
        </w:tc>
      </w:tr>
      <w:tr w:rsidR="005F6F4B" w:rsidRPr="005F6F4B" w14:paraId="078495B2" w14:textId="77777777" w:rsidTr="00E737D9">
        <w:trPr>
          <w:trHeight w:val="803"/>
        </w:trPr>
        <w:tc>
          <w:tcPr>
            <w:tcW w:w="1046" w:type="dxa"/>
            <w:hideMark/>
          </w:tcPr>
          <w:p w14:paraId="35B73617"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10.</w:t>
            </w:r>
          </w:p>
        </w:tc>
        <w:tc>
          <w:tcPr>
            <w:tcW w:w="2499" w:type="dxa"/>
            <w:hideMark/>
          </w:tcPr>
          <w:p w14:paraId="50A2F2BC"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PCI jungtys</w:t>
            </w:r>
          </w:p>
        </w:tc>
        <w:tc>
          <w:tcPr>
            <w:tcW w:w="5953" w:type="dxa"/>
            <w:hideMark/>
          </w:tcPr>
          <w:p w14:paraId="16470318"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Ne mažiau kaip 3 vnt. jungčių su PCI-E 5.0 tipo lizdais.</w:t>
            </w:r>
          </w:p>
        </w:tc>
      </w:tr>
      <w:tr w:rsidR="005F6F4B" w:rsidRPr="005F6F4B" w14:paraId="6CDA92D2" w14:textId="77777777" w:rsidTr="00E737D9">
        <w:trPr>
          <w:trHeight w:val="1065"/>
        </w:trPr>
        <w:tc>
          <w:tcPr>
            <w:tcW w:w="1046" w:type="dxa"/>
            <w:hideMark/>
          </w:tcPr>
          <w:p w14:paraId="046F8796"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w:t>
            </w:r>
            <w:r w:rsidRPr="005F6F4B">
              <w:rPr>
                <w:rFonts w:ascii="Montserrat" w:hAnsi="Montserrat"/>
                <w:sz w:val="20"/>
                <w:szCs w:val="20"/>
                <w:lang w:val="en-US"/>
              </w:rPr>
              <w:t>1</w:t>
            </w:r>
            <w:r w:rsidRPr="005F6F4B">
              <w:rPr>
                <w:rFonts w:ascii="Montserrat" w:hAnsi="Montserrat"/>
                <w:sz w:val="20"/>
                <w:szCs w:val="20"/>
              </w:rPr>
              <w:t>.</w:t>
            </w:r>
          </w:p>
        </w:tc>
        <w:tc>
          <w:tcPr>
            <w:tcW w:w="2499" w:type="dxa"/>
            <w:hideMark/>
          </w:tcPr>
          <w:p w14:paraId="45B148A1"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Konstrukcija</w:t>
            </w:r>
          </w:p>
        </w:tc>
        <w:tc>
          <w:tcPr>
            <w:tcW w:w="5953" w:type="dxa"/>
            <w:hideMark/>
          </w:tcPr>
          <w:p w14:paraId="3D3C18BD" w14:textId="2520590C"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Tarnybinė stotis turi būti montuojamas į standartinę 19“ spintą. Bėgiai turi būti pritaikyti greitam montavimui bei tarnybinės stoties ištraukimui („</w:t>
            </w:r>
            <w:r w:rsidR="000A53E8">
              <w:rPr>
                <w:rFonts w:ascii="Montserrat" w:hAnsi="Montserrat"/>
                <w:sz w:val="20"/>
                <w:szCs w:val="20"/>
              </w:rPr>
              <w:t>S</w:t>
            </w:r>
            <w:r w:rsidRPr="005F6F4B">
              <w:rPr>
                <w:rFonts w:ascii="Montserrat" w:hAnsi="Montserrat"/>
                <w:sz w:val="20"/>
                <w:szCs w:val="20"/>
              </w:rPr>
              <w:t xml:space="preserve">liding rails“). Korpuso aukštis neturi viršyti 1U. </w:t>
            </w:r>
          </w:p>
        </w:tc>
      </w:tr>
      <w:tr w:rsidR="005F6F4B" w:rsidRPr="005F6F4B" w14:paraId="04A07425" w14:textId="77777777" w:rsidTr="00E737D9">
        <w:trPr>
          <w:trHeight w:val="1065"/>
        </w:trPr>
        <w:tc>
          <w:tcPr>
            <w:tcW w:w="1046" w:type="dxa"/>
            <w:hideMark/>
          </w:tcPr>
          <w:p w14:paraId="183F6D4A"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12.</w:t>
            </w:r>
          </w:p>
        </w:tc>
        <w:tc>
          <w:tcPr>
            <w:tcW w:w="2499" w:type="dxa"/>
            <w:hideMark/>
          </w:tcPr>
          <w:p w14:paraId="5450720B"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Tarnybinės stoties būsenos indikacija</w:t>
            </w:r>
          </w:p>
        </w:tc>
        <w:tc>
          <w:tcPr>
            <w:tcW w:w="5953" w:type="dxa"/>
            <w:hideMark/>
          </w:tcPr>
          <w:p w14:paraId="2D33F8BF" w14:textId="7AA59672"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Sistema korpuso išorėje (priekinėje tarnybinės stoties panelėje) leidžianti identifikuoti serverį, LED ar lygiaver</w:t>
            </w:r>
            <w:r w:rsidR="000A53E8">
              <w:rPr>
                <w:rFonts w:ascii="Montserrat" w:hAnsi="Montserrat"/>
                <w:sz w:val="20"/>
                <w:szCs w:val="20"/>
              </w:rPr>
              <w:t>tė</w:t>
            </w:r>
            <w:r w:rsidRPr="005F6F4B">
              <w:rPr>
                <w:rFonts w:ascii="Montserrat" w:hAnsi="Montserrat"/>
                <w:sz w:val="20"/>
                <w:szCs w:val="20"/>
              </w:rPr>
              <w:t xml:space="preserve"> technologija identifikuojanti serverio gedimus.</w:t>
            </w:r>
          </w:p>
        </w:tc>
      </w:tr>
      <w:tr w:rsidR="005F6F4B" w:rsidRPr="005F6F4B" w14:paraId="1E8AD1A9" w14:textId="77777777" w:rsidTr="00E737D9">
        <w:trPr>
          <w:trHeight w:val="968"/>
        </w:trPr>
        <w:tc>
          <w:tcPr>
            <w:tcW w:w="1046" w:type="dxa"/>
            <w:hideMark/>
          </w:tcPr>
          <w:p w14:paraId="1A945522"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13.</w:t>
            </w:r>
          </w:p>
        </w:tc>
        <w:tc>
          <w:tcPr>
            <w:tcW w:w="2499" w:type="dxa"/>
            <w:hideMark/>
          </w:tcPr>
          <w:p w14:paraId="4792BAD7"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Maitinimo šaltiniai</w:t>
            </w:r>
          </w:p>
        </w:tc>
        <w:tc>
          <w:tcPr>
            <w:tcW w:w="5953" w:type="dxa"/>
            <w:hideMark/>
          </w:tcPr>
          <w:p w14:paraId="63169A80" w14:textId="5E1F921D"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Ne mažiau kaip du nepriklausomi „</w:t>
            </w:r>
            <w:r w:rsidR="000A53E8">
              <w:rPr>
                <w:rFonts w:ascii="Montserrat" w:hAnsi="Montserrat"/>
                <w:sz w:val="20"/>
                <w:szCs w:val="20"/>
              </w:rPr>
              <w:t>K</w:t>
            </w:r>
            <w:r w:rsidRPr="005F6F4B">
              <w:rPr>
                <w:rFonts w:ascii="Montserrat" w:hAnsi="Montserrat"/>
                <w:sz w:val="20"/>
                <w:szCs w:val="20"/>
              </w:rPr>
              <w:t>aršto keitimo“ (angl.</w:t>
            </w:r>
            <w:r w:rsidRPr="005F6F4B">
              <w:rPr>
                <w:rFonts w:ascii="Montserrat" w:hAnsi="Montserrat"/>
                <w:i/>
                <w:iCs/>
                <w:sz w:val="20"/>
                <w:szCs w:val="20"/>
              </w:rPr>
              <w:t xml:space="preserve">Hot- plug) </w:t>
            </w:r>
            <w:r w:rsidRPr="005F6F4B">
              <w:rPr>
                <w:rFonts w:ascii="Montserrat" w:hAnsi="Montserrat"/>
                <w:sz w:val="20"/>
                <w:szCs w:val="20"/>
              </w:rPr>
              <w:t>~230 V 50 Hz įrenginiai, ne mažesnio kaip 900 W galingumo su atskirais įvadais.</w:t>
            </w:r>
          </w:p>
        </w:tc>
      </w:tr>
      <w:tr w:rsidR="005F6F4B" w:rsidRPr="005F6F4B" w14:paraId="474D0951" w14:textId="77777777" w:rsidTr="00E737D9">
        <w:trPr>
          <w:trHeight w:val="1113"/>
        </w:trPr>
        <w:tc>
          <w:tcPr>
            <w:tcW w:w="1046" w:type="dxa"/>
            <w:hideMark/>
          </w:tcPr>
          <w:p w14:paraId="4E9A05DA"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14.</w:t>
            </w:r>
          </w:p>
        </w:tc>
        <w:tc>
          <w:tcPr>
            <w:tcW w:w="2499" w:type="dxa"/>
            <w:hideMark/>
          </w:tcPr>
          <w:p w14:paraId="05DF64A6"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Aušinimas</w:t>
            </w:r>
          </w:p>
        </w:tc>
        <w:tc>
          <w:tcPr>
            <w:tcW w:w="5953" w:type="dxa"/>
            <w:hideMark/>
          </w:tcPr>
          <w:p w14:paraId="6624EFB9" w14:textId="1EE8DC40"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Dubliuoti aušinimo moduliai, ne mažiau nei gamintojo numatyta rezervavimui užtikrinti, „karšto keitimo“ („Hot-plug“) tipo</w:t>
            </w:r>
            <w:r w:rsidR="00E737D9">
              <w:rPr>
                <w:rFonts w:ascii="Montserrat" w:hAnsi="Montserrat"/>
                <w:sz w:val="20"/>
                <w:szCs w:val="20"/>
              </w:rPr>
              <w:t>.</w:t>
            </w:r>
          </w:p>
        </w:tc>
      </w:tr>
      <w:tr w:rsidR="005F6F4B" w:rsidRPr="005F6F4B" w14:paraId="0D41EC8E" w14:textId="77777777" w:rsidTr="00AD7CED">
        <w:trPr>
          <w:trHeight w:val="983"/>
        </w:trPr>
        <w:tc>
          <w:tcPr>
            <w:tcW w:w="1046" w:type="dxa"/>
            <w:hideMark/>
          </w:tcPr>
          <w:p w14:paraId="716B37FF"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15.</w:t>
            </w:r>
          </w:p>
        </w:tc>
        <w:tc>
          <w:tcPr>
            <w:tcW w:w="2499" w:type="dxa"/>
            <w:hideMark/>
          </w:tcPr>
          <w:p w14:paraId="39502E18"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Valdymo sistema</w:t>
            </w:r>
          </w:p>
        </w:tc>
        <w:tc>
          <w:tcPr>
            <w:tcW w:w="5953" w:type="dxa"/>
            <w:hideMark/>
          </w:tcPr>
          <w:p w14:paraId="54051D51"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 xml:space="preserve">Yra  dedikuotas valdymo kontroleris, nepriklausantis nuo OS, turintis dedikuotą valdymo tinklo jungtį 10/100/1000baseT Ethernet RJ-45 bei galimybę prisijungti per USB/micro_USB. Ethernet ryšys yra apsaugotas 128 bitų raktu (SSL). Valdymo kontroleris palaiko nutolusią valdymo konsolę su ODD. Valdymo kontroleris gauna ir registruoja pranešimus apie procesoriaus, atminties, diskų valdiklio, diskų ir kitų serverinės sistemos dalių darbo parametrų nukrypimus nuo normos. Valdymo kontroleris gauna ir registruoja pranešimus apie procesoriaus, atminties, diskų valdiklio, diskų ir kitų serverinės sistemos dalių darbo parametrų nukrypimus nuo normos. Yra palaikymas automatinio informavimo apie sistemos sutrikimus siuntimą elektroniniu paštu (SMTP), siunčiami duomenis į monitoringo sistemą ( SNMP V2 arba aukštesne versija), integracija su Active Directory. Valdymo kontroleris palaiko serverio komponentų sisteminio kodo (firmware) </w:t>
            </w:r>
            <w:r w:rsidRPr="005F6F4B">
              <w:rPr>
                <w:rFonts w:ascii="Montserrat" w:hAnsi="Montserrat"/>
                <w:sz w:val="20"/>
                <w:szCs w:val="20"/>
              </w:rPr>
              <w:lastRenderedPageBreak/>
              <w:t>atnaujinimus. Yra pateiktos visos licencijos reikalingos pilnaverčiam serverio nuotolinio valdymo funkcionalumui užtikrintam neribotam laikui.</w:t>
            </w:r>
          </w:p>
        </w:tc>
      </w:tr>
      <w:tr w:rsidR="005F6F4B" w:rsidRPr="005F6F4B" w14:paraId="7BF0D820" w14:textId="77777777" w:rsidTr="00E737D9">
        <w:trPr>
          <w:trHeight w:val="4234"/>
        </w:trPr>
        <w:tc>
          <w:tcPr>
            <w:tcW w:w="1046" w:type="dxa"/>
            <w:hideMark/>
          </w:tcPr>
          <w:p w14:paraId="351CBFFB"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lastRenderedPageBreak/>
              <w:t>16.</w:t>
            </w:r>
          </w:p>
        </w:tc>
        <w:tc>
          <w:tcPr>
            <w:tcW w:w="2499" w:type="dxa"/>
            <w:hideMark/>
          </w:tcPr>
          <w:p w14:paraId="2AFDC319"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Išplėstinės priežiūros sistema</w:t>
            </w:r>
          </w:p>
        </w:tc>
        <w:tc>
          <w:tcPr>
            <w:tcW w:w="5953" w:type="dxa"/>
            <w:hideMark/>
          </w:tcPr>
          <w:p w14:paraId="796A970A" w14:textId="6C5655AA"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Kartu su įrenginiu pateikiama programinė įranga užtikrinanti:</w:t>
            </w:r>
          </w:p>
          <w:p w14:paraId="09314FAD"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 xml:space="preserve">Vieningą sąsają leidžianti stebėti naujų serverių infrastuktūrą per kelis duomenų centrus. </w:t>
            </w:r>
          </w:p>
          <w:p w14:paraId="43CA48D5"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Automatiškai aptikti naujus mazgus ir tinklo sąsajas.</w:t>
            </w:r>
          </w:p>
          <w:p w14:paraId="4258FAEE"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 xml:space="preserve">Tikrinti „firmware“ ir tvarkyklių versijas bei jas automatiškai naujinti. Užtikrinti, kad sistema naudotų naujausią „firmware“. </w:t>
            </w:r>
          </w:p>
          <w:p w14:paraId="6A9F5759"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Fiksuoti vartotojų veiksmus, įskaitant prieitų resursų duomenis, paskirties vietas, šaltinio adresus, laiko žymas ir vartotojų prisijungimo informaciją.</w:t>
            </w:r>
          </w:p>
          <w:p w14:paraId="7DE6D7D5"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 xml:space="preserve">Stebėti infrastruktūros komponentų našumą, padedanti identifikuoti silpnąsias vietas ir užtikrinti, kad ištekliai būtų naudojami optimaliai. </w:t>
            </w:r>
          </w:p>
          <w:p w14:paraId="1BF2F2CD"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Pateikti tikslius įspėjimus, kai mazgų resursų panaudojimas pasiekia nustatytas ribas.</w:t>
            </w:r>
          </w:p>
          <w:p w14:paraId="52597604"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Sekti parametrus: temperatūros, procesoriaus panaudojimo ir energijos suvartojimo kiekvienam mazgui, užtikrinant kad jie būtų apibrėžtose ribose.</w:t>
            </w:r>
          </w:p>
          <w:p w14:paraId="4D116599" w14:textId="77777777" w:rsidR="005F6F4B" w:rsidRPr="005F6F4B" w:rsidRDefault="005F6F4B" w:rsidP="005F6F4B">
            <w:pPr>
              <w:numPr>
                <w:ilvl w:val="0"/>
                <w:numId w:val="1"/>
              </w:numPr>
              <w:spacing w:after="160" w:line="259" w:lineRule="auto"/>
              <w:contextualSpacing/>
              <w:rPr>
                <w:rFonts w:ascii="Montserrat" w:hAnsi="Montserrat"/>
                <w:sz w:val="20"/>
                <w:szCs w:val="20"/>
              </w:rPr>
            </w:pPr>
            <w:r w:rsidRPr="005F6F4B">
              <w:rPr>
                <w:rFonts w:ascii="Montserrat" w:hAnsi="Montserrat"/>
                <w:sz w:val="20"/>
                <w:szCs w:val="20"/>
              </w:rPr>
              <w:t>Surinkti informaciją apie stebimus mazgus, tokią kaip serijos numeriai ir firmware versijos. Surinkta inventoriaus informacija gali būti eksportuota CSV formatu.</w:t>
            </w:r>
          </w:p>
        </w:tc>
      </w:tr>
      <w:tr w:rsidR="005F6F4B" w:rsidRPr="005F6F4B" w14:paraId="25D65BED" w14:textId="77777777" w:rsidTr="00E737D9">
        <w:trPr>
          <w:trHeight w:val="4215"/>
        </w:trPr>
        <w:tc>
          <w:tcPr>
            <w:tcW w:w="1046" w:type="dxa"/>
            <w:hideMark/>
          </w:tcPr>
          <w:p w14:paraId="61A05103"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17.</w:t>
            </w:r>
          </w:p>
        </w:tc>
        <w:tc>
          <w:tcPr>
            <w:tcW w:w="2499" w:type="dxa"/>
            <w:hideMark/>
          </w:tcPr>
          <w:p w14:paraId="5E50D700"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Komplektacija</w:t>
            </w:r>
          </w:p>
        </w:tc>
        <w:tc>
          <w:tcPr>
            <w:tcW w:w="5953" w:type="dxa"/>
            <w:hideMark/>
          </w:tcPr>
          <w:p w14:paraId="5E54FEF4"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Pvz: Turi būti pateikiama:</w:t>
            </w:r>
            <w:r w:rsidRPr="005F6F4B">
              <w:rPr>
                <w:rFonts w:ascii="Montserrat" w:hAnsi="Montserrat"/>
                <w:sz w:val="20"/>
                <w:szCs w:val="20"/>
              </w:rPr>
              <w:br/>
              <w:t xml:space="preserve">·        ne mažiau 2 vnt. elektros jungiamųjų kabelių C13 standarto netrumpesnių nei 2 m. </w:t>
            </w:r>
            <w:r w:rsidRPr="005F6F4B">
              <w:rPr>
                <w:rFonts w:ascii="Montserrat" w:hAnsi="Montserrat"/>
                <w:sz w:val="20"/>
                <w:szCs w:val="20"/>
              </w:rPr>
              <w:br/>
              <w:t xml:space="preserve">·        ne mažiau nei 1 vnt. komplektas jungiamųjų bėgelių su kabelių montavimo alkūne. </w:t>
            </w:r>
            <w:r w:rsidRPr="005F6F4B">
              <w:rPr>
                <w:rFonts w:ascii="Montserrat" w:hAnsi="Montserrat"/>
                <w:sz w:val="20"/>
                <w:szCs w:val="20"/>
              </w:rPr>
              <w:br/>
              <w:t>·        ne mažiau nei 2 vnt. ir netrumpesnių nei 5 m. jungiamųjų tinklo kabelių RJ45/RJ45 jungtimis.</w:t>
            </w:r>
            <w:r w:rsidRPr="005F6F4B">
              <w:rPr>
                <w:rFonts w:ascii="Montserrat" w:hAnsi="Montserrat"/>
                <w:sz w:val="20"/>
                <w:szCs w:val="20"/>
              </w:rPr>
              <w:br/>
              <w:t>·        ne mažiau nei 2 vnt. ir netrumpesnių nei 5 m. jungiamųjų tinklo DAC kabelių ir suderinamų su tinklo įranga DellEMC S4128F-ON</w:t>
            </w:r>
          </w:p>
        </w:tc>
      </w:tr>
      <w:tr w:rsidR="005F6F4B" w:rsidRPr="005F6F4B" w14:paraId="3E3DAC88" w14:textId="77777777" w:rsidTr="00E737D9">
        <w:trPr>
          <w:trHeight w:val="2826"/>
        </w:trPr>
        <w:tc>
          <w:tcPr>
            <w:tcW w:w="1046" w:type="dxa"/>
            <w:hideMark/>
          </w:tcPr>
          <w:p w14:paraId="2B91472D"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lastRenderedPageBreak/>
              <w:t>18.</w:t>
            </w:r>
          </w:p>
        </w:tc>
        <w:tc>
          <w:tcPr>
            <w:tcW w:w="2499" w:type="dxa"/>
            <w:hideMark/>
          </w:tcPr>
          <w:p w14:paraId="7F644609"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Suderinamumas</w:t>
            </w:r>
          </w:p>
        </w:tc>
        <w:tc>
          <w:tcPr>
            <w:tcW w:w="5953" w:type="dxa"/>
            <w:hideMark/>
          </w:tcPr>
          <w:p w14:paraId="44DFCC6B" w14:textId="6F5FBDD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Siūlomas tarnybinės stoties modelis privalo būti sertifikuotas darbui su operacinėmis sistemomis:</w:t>
            </w:r>
            <w:r w:rsidRPr="005F6F4B">
              <w:rPr>
                <w:rFonts w:ascii="Montserrat" w:hAnsi="Montserrat"/>
                <w:sz w:val="20"/>
                <w:szCs w:val="20"/>
              </w:rPr>
              <w:br/>
              <w:t>·      Microsoft Windows Server;</w:t>
            </w:r>
            <w:r w:rsidRPr="005F6F4B">
              <w:rPr>
                <w:rFonts w:ascii="Montserrat" w:hAnsi="Montserrat"/>
                <w:sz w:val="20"/>
                <w:szCs w:val="20"/>
              </w:rPr>
              <w:br/>
              <w:t>·      Red Hat Enterprise;</w:t>
            </w:r>
            <w:r w:rsidRPr="005F6F4B">
              <w:rPr>
                <w:rFonts w:ascii="Montserrat" w:hAnsi="Montserrat"/>
                <w:sz w:val="20"/>
                <w:szCs w:val="20"/>
              </w:rPr>
              <w:br/>
              <w:t>·      SUSE LINUX Enterprise Server;</w:t>
            </w:r>
            <w:r w:rsidRPr="005F6F4B">
              <w:rPr>
                <w:rFonts w:ascii="Montserrat" w:hAnsi="Montserrat"/>
                <w:sz w:val="20"/>
                <w:szCs w:val="20"/>
              </w:rPr>
              <w:br/>
              <w:t>·      VMware vSphere.</w:t>
            </w:r>
            <w:r w:rsidRPr="005F6F4B">
              <w:rPr>
                <w:rFonts w:ascii="Montserrat" w:hAnsi="Montserrat"/>
                <w:sz w:val="20"/>
                <w:szCs w:val="20"/>
              </w:rPr>
              <w:br/>
              <w:t>Informacija apie sertifikavimą turi būti pateikta oficialiame gamintojo tinklapyje</w:t>
            </w:r>
            <w:r w:rsidR="00AD7CED">
              <w:rPr>
                <w:rFonts w:ascii="Montserrat" w:hAnsi="Montserrat"/>
                <w:sz w:val="20"/>
                <w:szCs w:val="20"/>
              </w:rPr>
              <w:t>.</w:t>
            </w:r>
          </w:p>
        </w:tc>
      </w:tr>
      <w:tr w:rsidR="005F6F4B" w:rsidRPr="005F6F4B" w14:paraId="0179366A" w14:textId="77777777" w:rsidTr="00AD7CED">
        <w:trPr>
          <w:trHeight w:val="2854"/>
        </w:trPr>
        <w:tc>
          <w:tcPr>
            <w:tcW w:w="1046" w:type="dxa"/>
            <w:hideMark/>
          </w:tcPr>
          <w:p w14:paraId="5F10C03C"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19.</w:t>
            </w:r>
          </w:p>
        </w:tc>
        <w:tc>
          <w:tcPr>
            <w:tcW w:w="2499" w:type="dxa"/>
            <w:hideMark/>
          </w:tcPr>
          <w:p w14:paraId="20ABAE0B"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Garantinė ir techninė priežiūra</w:t>
            </w:r>
          </w:p>
        </w:tc>
        <w:tc>
          <w:tcPr>
            <w:tcW w:w="5953" w:type="dxa"/>
            <w:hideMark/>
          </w:tcPr>
          <w:p w14:paraId="75409337" w14:textId="45567D5F"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Garantinio aptarnavimo trukmė ne mažiau kaip 5 metai. Garantinis aptarnavimas teikiamas įrangos eksploatavimo vietoje. Garantinis aptarnavimas suteikiamas ir atliekamas paties įrangos gamintojo arba jo autorizuoto aptarnavimo atstovo. Reakcijos laikas ne daugiau 4 valandos, gamintojo serviso linija pasiekiama 24x7x365, techniko atvykimas į vietą ne vėliau kaip kitą darbo dieną nuo pranešimo apie gedimą.</w:t>
            </w:r>
          </w:p>
        </w:tc>
      </w:tr>
      <w:tr w:rsidR="005F6F4B" w:rsidRPr="005F6F4B" w14:paraId="4A4A8DB4" w14:textId="77777777" w:rsidTr="00AD7CED">
        <w:trPr>
          <w:trHeight w:val="1736"/>
        </w:trPr>
        <w:tc>
          <w:tcPr>
            <w:tcW w:w="1046" w:type="dxa"/>
            <w:hideMark/>
          </w:tcPr>
          <w:p w14:paraId="22293B1B"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20.</w:t>
            </w:r>
          </w:p>
        </w:tc>
        <w:tc>
          <w:tcPr>
            <w:tcW w:w="2499" w:type="dxa"/>
            <w:hideMark/>
          </w:tcPr>
          <w:p w14:paraId="22CD2FF0"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Komplektavimas</w:t>
            </w:r>
          </w:p>
        </w:tc>
        <w:tc>
          <w:tcPr>
            <w:tcW w:w="5953" w:type="dxa"/>
            <w:hideMark/>
          </w:tcPr>
          <w:p w14:paraId="34B4C0D9" w14:textId="77777777" w:rsidR="005F6F4B" w:rsidRPr="005F6F4B" w:rsidRDefault="005F6F4B" w:rsidP="00E737D9">
            <w:pPr>
              <w:spacing w:after="160" w:line="360" w:lineRule="auto"/>
              <w:rPr>
                <w:rFonts w:ascii="Montserrat" w:hAnsi="Montserrat"/>
                <w:sz w:val="20"/>
                <w:szCs w:val="20"/>
              </w:rPr>
            </w:pPr>
            <w:r w:rsidRPr="005F6F4B">
              <w:rPr>
                <w:rFonts w:ascii="Montserrat" w:hAnsi="Montserrat"/>
                <w:sz w:val="20"/>
                <w:szCs w:val="20"/>
              </w:rPr>
              <w:t xml:space="preserve">Siūloma įranga turi būti nauja ir anksčiau nenaudota. Atnaujinti (angl. „Renew“, „Refurbished“, „Remarketed“) komponentai neleistini. Visos komplektuojančios serverio dalys turi būti    komplektuojamos paties gamintojo ir pažymėtos gamintojo gamykliniais kodais. </w:t>
            </w:r>
          </w:p>
        </w:tc>
      </w:tr>
      <w:tr w:rsidR="005F6F4B" w:rsidRPr="005F6F4B" w14:paraId="7A0E6FA0" w14:textId="77777777" w:rsidTr="00AD7CED">
        <w:trPr>
          <w:trHeight w:val="1013"/>
        </w:trPr>
        <w:tc>
          <w:tcPr>
            <w:tcW w:w="1046" w:type="dxa"/>
            <w:hideMark/>
          </w:tcPr>
          <w:p w14:paraId="292B108A"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21.</w:t>
            </w:r>
          </w:p>
        </w:tc>
        <w:tc>
          <w:tcPr>
            <w:tcW w:w="2499" w:type="dxa"/>
            <w:hideMark/>
          </w:tcPr>
          <w:p w14:paraId="74264DB4"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RAID valdiklis</w:t>
            </w:r>
          </w:p>
        </w:tc>
        <w:tc>
          <w:tcPr>
            <w:tcW w:w="5953" w:type="dxa"/>
            <w:hideMark/>
          </w:tcPr>
          <w:p w14:paraId="7C7FEED8"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Serial-Attached SCSI (SAS), 12 Gbps RAID 0, 1, 10, 5, 50. RAID diskų masyvo valdiklis turi turėti ne mažesnės kaip 8 GB  talpos spartinančiąją atmintinę (angl. Cache).</w:t>
            </w:r>
          </w:p>
        </w:tc>
      </w:tr>
      <w:tr w:rsidR="005F6F4B" w:rsidRPr="005F6F4B" w14:paraId="4AB738DB" w14:textId="77777777" w:rsidTr="00E737D9">
        <w:trPr>
          <w:trHeight w:val="1935"/>
        </w:trPr>
        <w:tc>
          <w:tcPr>
            <w:tcW w:w="1046" w:type="dxa"/>
            <w:hideMark/>
          </w:tcPr>
          <w:p w14:paraId="16DD5832"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22.</w:t>
            </w:r>
          </w:p>
        </w:tc>
        <w:tc>
          <w:tcPr>
            <w:tcW w:w="2499" w:type="dxa"/>
            <w:hideMark/>
          </w:tcPr>
          <w:p w14:paraId="448D2E6F"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Gamintojo atitiktis</w:t>
            </w:r>
          </w:p>
        </w:tc>
        <w:tc>
          <w:tcPr>
            <w:tcW w:w="5953" w:type="dxa"/>
            <w:hideMark/>
          </w:tcPr>
          <w:p w14:paraId="773B41F8"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Įrangos gamintojas privalo atitikti ISO 9001:2015 arba lygiavertį gaminto jo gamybos kokybės standartą. Atitiktį patvirtinantys dokumentai pateikiami kartu su pasiūlymu.</w:t>
            </w:r>
          </w:p>
        </w:tc>
      </w:tr>
      <w:tr w:rsidR="005F6F4B" w:rsidRPr="005F6F4B" w14:paraId="49E1544B" w14:textId="77777777" w:rsidTr="0008329A">
        <w:trPr>
          <w:trHeight w:val="558"/>
        </w:trPr>
        <w:tc>
          <w:tcPr>
            <w:tcW w:w="1046" w:type="dxa"/>
            <w:hideMark/>
          </w:tcPr>
          <w:p w14:paraId="720D0112"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23.</w:t>
            </w:r>
          </w:p>
        </w:tc>
        <w:tc>
          <w:tcPr>
            <w:tcW w:w="2499" w:type="dxa"/>
            <w:hideMark/>
          </w:tcPr>
          <w:p w14:paraId="77EF15BC"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Produkcijos atitiktis</w:t>
            </w:r>
          </w:p>
        </w:tc>
        <w:tc>
          <w:tcPr>
            <w:tcW w:w="5953" w:type="dxa"/>
            <w:hideMark/>
          </w:tcPr>
          <w:p w14:paraId="2A21B36D" w14:textId="72EDD43D"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Tiekėjo siūloma produkcija turi atitikti Europos Sąjungos RoHS direktyvą arba lygiavertės direktyvos nuostatas. Kartu su pasiūlymu pateikiamas siūlomos įrangos gamintojo patvirtintas raštas arba kiti techniniai gamintojo dokument</w:t>
            </w:r>
            <w:r w:rsidR="00040D66">
              <w:rPr>
                <w:rFonts w:ascii="Montserrat" w:hAnsi="Montserrat"/>
                <w:sz w:val="20"/>
                <w:szCs w:val="20"/>
              </w:rPr>
              <w:t>ai</w:t>
            </w:r>
            <w:r w:rsidRPr="005F6F4B">
              <w:rPr>
                <w:rFonts w:ascii="Montserrat" w:hAnsi="Montserrat"/>
                <w:sz w:val="20"/>
                <w:szCs w:val="20"/>
              </w:rPr>
              <w:t>,</w:t>
            </w:r>
            <w:r w:rsidR="00040D66">
              <w:rPr>
                <w:rFonts w:ascii="Montserrat" w:hAnsi="Montserrat"/>
                <w:sz w:val="20"/>
                <w:szCs w:val="20"/>
              </w:rPr>
              <w:t xml:space="preserve"> patvirtinantys, </w:t>
            </w:r>
            <w:r w:rsidRPr="005F6F4B">
              <w:rPr>
                <w:rFonts w:ascii="Montserrat" w:hAnsi="Montserrat"/>
                <w:sz w:val="20"/>
                <w:szCs w:val="20"/>
              </w:rPr>
              <w:t xml:space="preserve"> kad siūloma </w:t>
            </w:r>
            <w:r w:rsidRPr="005F6F4B">
              <w:rPr>
                <w:rFonts w:ascii="Montserrat" w:hAnsi="Montserrat"/>
                <w:sz w:val="20"/>
                <w:szCs w:val="20"/>
              </w:rPr>
              <w:lastRenderedPageBreak/>
              <w:t xml:space="preserve">įranga atitinka Europos Sąjungos RoHS </w:t>
            </w:r>
            <w:r w:rsidR="00040D66">
              <w:rPr>
                <w:rFonts w:ascii="Montserrat" w:hAnsi="Montserrat"/>
                <w:sz w:val="20"/>
                <w:szCs w:val="20"/>
              </w:rPr>
              <w:t xml:space="preserve"> </w:t>
            </w:r>
            <w:r w:rsidRPr="005F6F4B">
              <w:rPr>
                <w:rFonts w:ascii="Montserrat" w:hAnsi="Montserrat"/>
                <w:sz w:val="20"/>
                <w:szCs w:val="20"/>
              </w:rPr>
              <w:t>direktyvos nuostatas.</w:t>
            </w:r>
          </w:p>
        </w:tc>
      </w:tr>
      <w:tr w:rsidR="005F6F4B" w:rsidRPr="005F6F4B" w14:paraId="6EE637F8" w14:textId="77777777" w:rsidTr="00E737D9">
        <w:trPr>
          <w:trHeight w:val="3375"/>
        </w:trPr>
        <w:tc>
          <w:tcPr>
            <w:tcW w:w="1046" w:type="dxa"/>
            <w:hideMark/>
          </w:tcPr>
          <w:p w14:paraId="646BA26D"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lastRenderedPageBreak/>
              <w:t>24.</w:t>
            </w:r>
          </w:p>
        </w:tc>
        <w:tc>
          <w:tcPr>
            <w:tcW w:w="2499" w:type="dxa"/>
            <w:hideMark/>
          </w:tcPr>
          <w:p w14:paraId="10431FFE"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Suderinamumas</w:t>
            </w:r>
          </w:p>
        </w:tc>
        <w:tc>
          <w:tcPr>
            <w:tcW w:w="5953" w:type="dxa"/>
            <w:hideMark/>
          </w:tcPr>
          <w:p w14:paraId="7A2F186E"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 xml:space="preserve">Tarnybinė stotis jungiama su „Dell ME5012 Storage Array“. Sujungimas su saugykla yra užtikrinamas Ethernet ISCSI įgalintu 10/25G SFP28 jungtimis. Tiekėjas teikdamas pasiūlymą, turi suteikti. </w:t>
            </w:r>
            <w:r w:rsidRPr="005F6F4B">
              <w:rPr>
                <w:rFonts w:ascii="Montserrat" w:hAnsi="Montserrat"/>
                <w:sz w:val="20"/>
                <w:szCs w:val="20"/>
              </w:rPr>
              <w:br/>
              <w:t xml:space="preserve">Tarnybinės stoties tinklo plokštė turi palaikyt „RoCEv2/RDMA“ protokolus, bei „Storage Over Ethernet“ - iSCSI, NFS protkolus. Su pasiūlymu privaloma pateikti tinklo plokštės gamintojo svetainę nurodančią protokolų palaikymą.   </w:t>
            </w:r>
          </w:p>
        </w:tc>
      </w:tr>
      <w:tr w:rsidR="005F6F4B" w:rsidRPr="005F6F4B" w14:paraId="5013D222" w14:textId="77777777" w:rsidTr="00E737D9">
        <w:trPr>
          <w:trHeight w:val="3863"/>
        </w:trPr>
        <w:tc>
          <w:tcPr>
            <w:tcW w:w="1046" w:type="dxa"/>
            <w:hideMark/>
          </w:tcPr>
          <w:p w14:paraId="10FE0D06"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25.</w:t>
            </w:r>
          </w:p>
        </w:tc>
        <w:tc>
          <w:tcPr>
            <w:tcW w:w="2499" w:type="dxa"/>
            <w:hideMark/>
          </w:tcPr>
          <w:p w14:paraId="7D465041"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Komponentų suderinamumas</w:t>
            </w:r>
          </w:p>
        </w:tc>
        <w:tc>
          <w:tcPr>
            <w:tcW w:w="5953" w:type="dxa"/>
            <w:hideMark/>
          </w:tcPr>
          <w:p w14:paraId="0D81CCD8"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 xml:space="preserve">Serverių komponentės turi būti komponuojamos serverio gamintojo ir pažymėtos gamintojo produkto kodais, išskyrus periferinė įranga kaip maitinimo kabeliai, tinklo kabeliai ir optiniai keitikliai. </w:t>
            </w:r>
          </w:p>
        </w:tc>
      </w:tr>
      <w:tr w:rsidR="005F6F4B" w:rsidRPr="005F6F4B" w14:paraId="0BF746DD" w14:textId="77777777" w:rsidTr="00E737D9">
        <w:trPr>
          <w:trHeight w:val="855"/>
        </w:trPr>
        <w:tc>
          <w:tcPr>
            <w:tcW w:w="1046" w:type="dxa"/>
            <w:hideMark/>
          </w:tcPr>
          <w:p w14:paraId="237149D4"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26.</w:t>
            </w:r>
          </w:p>
        </w:tc>
        <w:tc>
          <w:tcPr>
            <w:tcW w:w="2499" w:type="dxa"/>
            <w:hideMark/>
          </w:tcPr>
          <w:p w14:paraId="4C2A1DEF"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Elektros maitinimo reikalavimai</w:t>
            </w:r>
          </w:p>
        </w:tc>
        <w:tc>
          <w:tcPr>
            <w:tcW w:w="5953" w:type="dxa"/>
            <w:hideMark/>
          </w:tcPr>
          <w:p w14:paraId="06CB4473"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Įrangos elektros maitinimas turi būti pritaikytas ~230V, 50 Hz maitinimo įtampai. Maitinimo kabeliai turi būti suderinami su Lietuvoje naudojamais kištukiniais lizdais.</w:t>
            </w:r>
          </w:p>
        </w:tc>
      </w:tr>
      <w:tr w:rsidR="005F6F4B" w:rsidRPr="005F6F4B" w14:paraId="5A49EEDE" w14:textId="77777777" w:rsidTr="00E737D9">
        <w:trPr>
          <w:trHeight w:val="645"/>
        </w:trPr>
        <w:tc>
          <w:tcPr>
            <w:tcW w:w="1046" w:type="dxa"/>
            <w:hideMark/>
          </w:tcPr>
          <w:p w14:paraId="28663B58"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27.</w:t>
            </w:r>
          </w:p>
        </w:tc>
        <w:tc>
          <w:tcPr>
            <w:tcW w:w="2499" w:type="dxa"/>
            <w:hideMark/>
          </w:tcPr>
          <w:p w14:paraId="74FF5524"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Įrangos kiekis</w:t>
            </w:r>
          </w:p>
        </w:tc>
        <w:tc>
          <w:tcPr>
            <w:tcW w:w="5953" w:type="dxa"/>
            <w:hideMark/>
          </w:tcPr>
          <w:p w14:paraId="02722C6F"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Tiekėjas negali siūlyti vietoj pageidaujamo įrenginio du ar kelis įrenginius, pakeičiančius jo funkcionalumą.</w:t>
            </w:r>
          </w:p>
        </w:tc>
      </w:tr>
      <w:tr w:rsidR="005F6F4B" w:rsidRPr="005F6F4B" w14:paraId="448CBCCD" w14:textId="77777777" w:rsidTr="00A466C1">
        <w:trPr>
          <w:trHeight w:val="1833"/>
        </w:trPr>
        <w:tc>
          <w:tcPr>
            <w:tcW w:w="1046" w:type="dxa"/>
            <w:hideMark/>
          </w:tcPr>
          <w:p w14:paraId="615DAFE9"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28.</w:t>
            </w:r>
          </w:p>
        </w:tc>
        <w:tc>
          <w:tcPr>
            <w:tcW w:w="2499" w:type="dxa"/>
            <w:hideMark/>
          </w:tcPr>
          <w:p w14:paraId="623261BF"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Aptarnavimo centrai</w:t>
            </w:r>
          </w:p>
        </w:tc>
        <w:tc>
          <w:tcPr>
            <w:tcW w:w="5953" w:type="dxa"/>
            <w:hideMark/>
          </w:tcPr>
          <w:p w14:paraId="41DCD000" w14:textId="41E68C1A"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Įrangos gamintojas turi turėti bent du sertifikuotus gamintojo įrangos aptarnavimo centrus Lietuvoje. Įrangos tiekėjas privalo turėti teisę atlikti siūlomos įrangos garantinę techninę priežiūrą. Kartu su pasiūlymu pateikiamas siūlomos įrangos gamintojo raštas, kad tiekėjas turi teisę atlikti siūlomos įrangos garantinę techninę priežiūrą.</w:t>
            </w:r>
          </w:p>
        </w:tc>
      </w:tr>
      <w:tr w:rsidR="005F6F4B" w:rsidRPr="005F6F4B" w14:paraId="215D2374" w14:textId="77777777" w:rsidTr="00A466C1">
        <w:trPr>
          <w:trHeight w:val="1975"/>
        </w:trPr>
        <w:tc>
          <w:tcPr>
            <w:tcW w:w="1046" w:type="dxa"/>
            <w:hideMark/>
          </w:tcPr>
          <w:p w14:paraId="6633E07C"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lastRenderedPageBreak/>
              <w:t>29.</w:t>
            </w:r>
          </w:p>
        </w:tc>
        <w:tc>
          <w:tcPr>
            <w:tcW w:w="2499" w:type="dxa"/>
            <w:hideMark/>
          </w:tcPr>
          <w:p w14:paraId="6F37D0FB"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Gamintojo garantija</w:t>
            </w:r>
          </w:p>
        </w:tc>
        <w:tc>
          <w:tcPr>
            <w:tcW w:w="5953" w:type="dxa"/>
            <w:hideMark/>
          </w:tcPr>
          <w:p w14:paraId="4B592884"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 xml:space="preserve">Visi garantinės techninės priežiūros reikalavimai privalo būti garantuojami gamintojo. Kartu su pasiūlymu turi būti pateiktas siūlomos įrangos gamintojo patvirtintas raštas, kad siūloma įranga yra skirta perkančiajai organizacijai i gamintojas užtikrins prekių gamintojo garantinį aptarnavimą, pats arba per savo įgaliotus partnerius. </w:t>
            </w:r>
          </w:p>
        </w:tc>
      </w:tr>
      <w:tr w:rsidR="005F6F4B" w:rsidRPr="005F6F4B" w14:paraId="00F122D7" w14:textId="77777777" w:rsidTr="00A466C1">
        <w:trPr>
          <w:trHeight w:val="1257"/>
        </w:trPr>
        <w:tc>
          <w:tcPr>
            <w:tcW w:w="1046" w:type="dxa"/>
            <w:hideMark/>
          </w:tcPr>
          <w:p w14:paraId="0D25ED23"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30.</w:t>
            </w:r>
          </w:p>
        </w:tc>
        <w:tc>
          <w:tcPr>
            <w:tcW w:w="2499" w:type="dxa"/>
            <w:hideMark/>
          </w:tcPr>
          <w:p w14:paraId="030722F2"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Garantinė techninė priežiūra</w:t>
            </w:r>
          </w:p>
        </w:tc>
        <w:tc>
          <w:tcPr>
            <w:tcW w:w="5953" w:type="dxa"/>
            <w:vAlign w:val="center"/>
            <w:hideMark/>
          </w:tcPr>
          <w:p w14:paraId="43D45F7A" w14:textId="1130D6B8" w:rsidR="005F6F4B" w:rsidRPr="005F6F4B" w:rsidRDefault="005F6F4B" w:rsidP="0087555F">
            <w:pPr>
              <w:spacing w:after="160" w:line="360" w:lineRule="auto"/>
              <w:rPr>
                <w:rFonts w:ascii="Montserrat" w:hAnsi="Montserrat"/>
                <w:sz w:val="20"/>
                <w:szCs w:val="20"/>
              </w:rPr>
            </w:pPr>
            <w:r w:rsidRPr="005F6F4B">
              <w:rPr>
                <w:rFonts w:ascii="Montserrat" w:hAnsi="Montserrat"/>
                <w:sz w:val="20"/>
                <w:szCs w:val="20"/>
              </w:rPr>
              <w:t>Visa  įranga  turi  būti  nauja,  nenaudota,  pristatoma originaliame  gamykliniame  įpakavime  „brand  new“."</w:t>
            </w:r>
          </w:p>
        </w:tc>
      </w:tr>
      <w:tr w:rsidR="005F6F4B" w:rsidRPr="005F6F4B" w14:paraId="7FB339B3" w14:textId="77777777" w:rsidTr="00E737D9">
        <w:trPr>
          <w:trHeight w:val="1980"/>
        </w:trPr>
        <w:tc>
          <w:tcPr>
            <w:tcW w:w="1046" w:type="dxa"/>
          </w:tcPr>
          <w:p w14:paraId="3DD250F9" w14:textId="77777777" w:rsidR="005F6F4B" w:rsidRPr="005F6F4B" w:rsidRDefault="005F6F4B" w:rsidP="005F6F4B">
            <w:pPr>
              <w:spacing w:after="160" w:line="259" w:lineRule="auto"/>
              <w:rPr>
                <w:rFonts w:ascii="Montserrat" w:hAnsi="Montserrat"/>
                <w:sz w:val="20"/>
                <w:szCs w:val="20"/>
              </w:rPr>
            </w:pPr>
            <w:r w:rsidRPr="005F6F4B">
              <w:rPr>
                <w:rFonts w:ascii="Montserrat" w:hAnsi="Montserrat"/>
                <w:sz w:val="20"/>
                <w:szCs w:val="20"/>
              </w:rPr>
              <w:t>31.</w:t>
            </w:r>
          </w:p>
        </w:tc>
        <w:tc>
          <w:tcPr>
            <w:tcW w:w="2499" w:type="dxa"/>
          </w:tcPr>
          <w:p w14:paraId="48792325"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Operacinė sistema</w:t>
            </w:r>
          </w:p>
        </w:tc>
        <w:tc>
          <w:tcPr>
            <w:tcW w:w="5953" w:type="dxa"/>
          </w:tcPr>
          <w:p w14:paraId="6A461AB4" w14:textId="77777777" w:rsidR="005F6F4B" w:rsidRPr="005F6F4B" w:rsidRDefault="005F6F4B" w:rsidP="00A466C1">
            <w:pPr>
              <w:spacing w:after="160" w:line="360" w:lineRule="auto"/>
              <w:rPr>
                <w:rFonts w:ascii="Montserrat" w:hAnsi="Montserrat"/>
                <w:sz w:val="20"/>
                <w:szCs w:val="20"/>
              </w:rPr>
            </w:pPr>
            <w:r w:rsidRPr="005F6F4B">
              <w:rPr>
                <w:rFonts w:ascii="Montserrat" w:hAnsi="Montserrat"/>
                <w:sz w:val="20"/>
                <w:szCs w:val="20"/>
              </w:rPr>
              <w:t>Tarnybinė stotis turi būti komplektuojama su Microsoft Windows Server 2022 Standard arba lygiaverte. Licencija turi padengti siūlomos tarnybinės stoties procesorių visus branduolius.</w:t>
            </w:r>
          </w:p>
        </w:tc>
      </w:tr>
    </w:tbl>
    <w:p w14:paraId="391FB9F6" w14:textId="2BFA0302" w:rsidR="006841D0" w:rsidRPr="00C50015" w:rsidRDefault="006841D0" w:rsidP="00C50015">
      <w:pPr>
        <w:tabs>
          <w:tab w:val="left" w:pos="426"/>
          <w:tab w:val="left" w:pos="851"/>
        </w:tabs>
        <w:spacing w:after="0" w:line="276" w:lineRule="auto"/>
        <w:jc w:val="both"/>
        <w:rPr>
          <w:rFonts w:ascii="Montserrat" w:eastAsia="Calibri" w:hAnsi="Montserrat" w:cs="Arial"/>
          <w:kern w:val="0"/>
          <w:sz w:val="20"/>
          <w:szCs w:val="20"/>
          <w14:ligatures w14:val="none"/>
        </w:rPr>
      </w:pPr>
    </w:p>
    <w:p w14:paraId="4EAD3733" w14:textId="77777777" w:rsidR="00C50015" w:rsidRPr="00C50015" w:rsidRDefault="00C50015" w:rsidP="00C50015">
      <w:pPr>
        <w:tabs>
          <w:tab w:val="left" w:pos="426"/>
          <w:tab w:val="left" w:pos="851"/>
        </w:tabs>
        <w:spacing w:after="0" w:line="240" w:lineRule="auto"/>
        <w:jc w:val="both"/>
        <w:rPr>
          <w:rFonts w:ascii="Montserrat" w:eastAsia="Calibri" w:hAnsi="Montserrat" w:cs="Arial"/>
          <w:kern w:val="0"/>
          <w:sz w:val="20"/>
          <w:szCs w:val="20"/>
          <w14:ligatures w14:val="none"/>
        </w:rPr>
      </w:pPr>
    </w:p>
    <w:p w14:paraId="560A6934" w14:textId="77777777" w:rsidR="00C50015" w:rsidRPr="004938C3" w:rsidRDefault="00C50015" w:rsidP="004938C3">
      <w:pPr>
        <w:tabs>
          <w:tab w:val="left" w:pos="851"/>
        </w:tabs>
        <w:spacing w:after="0" w:line="240" w:lineRule="auto"/>
        <w:ind w:firstLine="567"/>
        <w:jc w:val="both"/>
        <w:rPr>
          <w:rFonts w:ascii="Montserrat" w:eastAsia="Times New Roman" w:hAnsi="Montserrat" w:cs="Arial"/>
          <w:kern w:val="0"/>
          <w:sz w:val="20"/>
          <w:szCs w:val="20"/>
          <w14:ligatures w14:val="none"/>
        </w:rPr>
      </w:pPr>
    </w:p>
    <w:p w14:paraId="24AC5881" w14:textId="77777777" w:rsidR="004938C3" w:rsidRPr="004938C3" w:rsidRDefault="004938C3" w:rsidP="004938C3">
      <w:pPr>
        <w:tabs>
          <w:tab w:val="left" w:pos="851"/>
        </w:tabs>
        <w:spacing w:after="0" w:line="240" w:lineRule="auto"/>
        <w:rPr>
          <w:rFonts w:ascii="Montserrat" w:eastAsia="Times New Roman" w:hAnsi="Montserrat" w:cs="Arial"/>
          <w:kern w:val="0"/>
          <w:sz w:val="20"/>
          <w:szCs w:val="20"/>
          <w14:ligatures w14:val="none"/>
        </w:rPr>
      </w:pPr>
    </w:p>
    <w:p w14:paraId="3E255A4F" w14:textId="55901201" w:rsidR="00327AA9" w:rsidRDefault="00C50015">
      <w:r>
        <w:tab/>
      </w:r>
    </w:p>
    <w:p w14:paraId="4262CBF2" w14:textId="77777777" w:rsidR="004938C3" w:rsidRDefault="004938C3"/>
    <w:sectPr w:rsidR="004938C3">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panose1 w:val="00000000000000000000"/>
    <w:charset w:val="00"/>
    <w:family w:val="auto"/>
    <w:pitch w:val="variable"/>
    <w:sig w:usb0="A00002FF" w:usb1="4000247B"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AB294F"/>
    <w:multiLevelType w:val="hybridMultilevel"/>
    <w:tmpl w:val="FDEC0F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244545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8C3"/>
    <w:rsid w:val="00040D66"/>
    <w:rsid w:val="000565A5"/>
    <w:rsid w:val="0008329A"/>
    <w:rsid w:val="000A53E8"/>
    <w:rsid w:val="00150685"/>
    <w:rsid w:val="00181353"/>
    <w:rsid w:val="00327AA9"/>
    <w:rsid w:val="004938C3"/>
    <w:rsid w:val="00513F9C"/>
    <w:rsid w:val="005342AB"/>
    <w:rsid w:val="00583B30"/>
    <w:rsid w:val="00584E65"/>
    <w:rsid w:val="005A13F8"/>
    <w:rsid w:val="005F6F4B"/>
    <w:rsid w:val="006841D0"/>
    <w:rsid w:val="007B7007"/>
    <w:rsid w:val="007C4282"/>
    <w:rsid w:val="0087555F"/>
    <w:rsid w:val="00A466C1"/>
    <w:rsid w:val="00AD7CED"/>
    <w:rsid w:val="00B07EAF"/>
    <w:rsid w:val="00C05E3F"/>
    <w:rsid w:val="00C50015"/>
    <w:rsid w:val="00CF515B"/>
    <w:rsid w:val="00E356CF"/>
    <w:rsid w:val="00E737D9"/>
    <w:rsid w:val="00EF7263"/>
    <w:rsid w:val="00F00FD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C9B28"/>
  <w15:chartTrackingRefBased/>
  <w15:docId w15:val="{30F52538-811A-476D-8847-20B6E356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938C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938C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938C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938C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938C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938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8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8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8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8C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938C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938C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938C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938C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938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8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8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8C3"/>
    <w:rPr>
      <w:rFonts w:eastAsiaTheme="majorEastAsia" w:cstheme="majorBidi"/>
      <w:color w:val="272727" w:themeColor="text1" w:themeTint="D8"/>
    </w:rPr>
  </w:style>
  <w:style w:type="paragraph" w:styleId="Title">
    <w:name w:val="Title"/>
    <w:basedOn w:val="Normal"/>
    <w:next w:val="Normal"/>
    <w:link w:val="TitleChar"/>
    <w:uiPriority w:val="10"/>
    <w:qFormat/>
    <w:rsid w:val="004938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8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8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8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8C3"/>
    <w:pPr>
      <w:spacing w:before="160"/>
      <w:jc w:val="center"/>
    </w:pPr>
    <w:rPr>
      <w:i/>
      <w:iCs/>
      <w:color w:val="404040" w:themeColor="text1" w:themeTint="BF"/>
    </w:rPr>
  </w:style>
  <w:style w:type="character" w:customStyle="1" w:styleId="QuoteChar">
    <w:name w:val="Quote Char"/>
    <w:basedOn w:val="DefaultParagraphFont"/>
    <w:link w:val="Quote"/>
    <w:uiPriority w:val="29"/>
    <w:rsid w:val="004938C3"/>
    <w:rPr>
      <w:i/>
      <w:iCs/>
      <w:color w:val="404040" w:themeColor="text1" w:themeTint="BF"/>
    </w:rPr>
  </w:style>
  <w:style w:type="paragraph" w:styleId="ListParagraph">
    <w:name w:val="List Paragraph"/>
    <w:basedOn w:val="Normal"/>
    <w:uiPriority w:val="34"/>
    <w:qFormat/>
    <w:rsid w:val="004938C3"/>
    <w:pPr>
      <w:ind w:left="720"/>
      <w:contextualSpacing/>
    </w:pPr>
  </w:style>
  <w:style w:type="character" w:styleId="IntenseEmphasis">
    <w:name w:val="Intense Emphasis"/>
    <w:basedOn w:val="DefaultParagraphFont"/>
    <w:uiPriority w:val="21"/>
    <w:qFormat/>
    <w:rsid w:val="004938C3"/>
    <w:rPr>
      <w:i/>
      <w:iCs/>
      <w:color w:val="0F4761" w:themeColor="accent1" w:themeShade="BF"/>
    </w:rPr>
  </w:style>
  <w:style w:type="paragraph" w:styleId="IntenseQuote">
    <w:name w:val="Intense Quote"/>
    <w:basedOn w:val="Normal"/>
    <w:next w:val="Normal"/>
    <w:link w:val="IntenseQuoteChar"/>
    <w:uiPriority w:val="30"/>
    <w:qFormat/>
    <w:rsid w:val="004938C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938C3"/>
    <w:rPr>
      <w:i/>
      <w:iCs/>
      <w:color w:val="0F4761" w:themeColor="accent1" w:themeShade="BF"/>
    </w:rPr>
  </w:style>
  <w:style w:type="character" w:styleId="IntenseReference">
    <w:name w:val="Intense Reference"/>
    <w:basedOn w:val="DefaultParagraphFont"/>
    <w:uiPriority w:val="32"/>
    <w:qFormat/>
    <w:rsid w:val="004938C3"/>
    <w:rPr>
      <w:b/>
      <w:bCs/>
      <w:smallCaps/>
      <w:color w:val="0F4761" w:themeColor="accent1" w:themeShade="BF"/>
      <w:spacing w:val="5"/>
    </w:rPr>
  </w:style>
  <w:style w:type="table" w:styleId="TableGrid">
    <w:name w:val="Table Grid"/>
    <w:basedOn w:val="TableNormal"/>
    <w:uiPriority w:val="39"/>
    <w:rsid w:val="005F6F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F6F4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042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B59F11CF1DA54DB1377FAA4CC51862" ma:contentTypeVersion="18" ma:contentTypeDescription="Create a new document." ma:contentTypeScope="" ma:versionID="82d07e98c2f85a41f875521bf13c1713">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ab8f9b7508b17851f732cf090d445080"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2F27B-E7F9-4FF8-8367-8309C0B12AE2}">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customXml/itemProps2.xml><?xml version="1.0" encoding="utf-8"?>
<ds:datastoreItem xmlns:ds="http://schemas.openxmlformats.org/officeDocument/2006/customXml" ds:itemID="{0FB5D4CB-D71D-4200-97E4-9ABEEA8CFCFB}">
  <ds:schemaRefs>
    <ds:schemaRef ds:uri="http://schemas.microsoft.com/sharepoint/v3/contenttype/forms"/>
  </ds:schemaRefs>
</ds:datastoreItem>
</file>

<file path=customXml/itemProps3.xml><?xml version="1.0" encoding="utf-8"?>
<ds:datastoreItem xmlns:ds="http://schemas.openxmlformats.org/officeDocument/2006/customXml" ds:itemID="{C0B2E4BF-FA40-4DD7-A5EE-C6676F6AAF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926ce1-310f-41ae-8385-1ca2b7620943"/>
    <ds:schemaRef ds:uri="d9f5a42a-9903-45e5-95ea-f5f6a7533a1f"/>
    <ds:schemaRef ds:uri="6f14713e-c20f-4bc3-b01e-bfea371dc6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6880</Words>
  <Characters>3922</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Gintarė Bartusevičiūtė</dc:creator>
  <cp:keywords/>
  <dc:description/>
  <cp:lastModifiedBy>Gintarė Bartusevičiūtė</cp:lastModifiedBy>
  <cp:revision>5</cp:revision>
  <dcterms:created xsi:type="dcterms:W3CDTF">2025-02-19T12:31:00Z</dcterms:created>
  <dcterms:modified xsi:type="dcterms:W3CDTF">2025-03-06T07:21:00Z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ies>
</file>