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C3446" w14:textId="77777777" w:rsidR="00D97E96" w:rsidRPr="0095445E" w:rsidRDefault="00D97E96" w:rsidP="00D97E96">
      <w:pPr>
        <w:tabs>
          <w:tab w:val="left" w:pos="720"/>
          <w:tab w:val="left" w:pos="851"/>
          <w:tab w:val="left" w:pos="1134"/>
        </w:tabs>
        <w:overflowPunct w:val="0"/>
        <w:autoSpaceDE w:val="0"/>
        <w:spacing w:after="120" w:line="240" w:lineRule="auto"/>
        <w:ind w:left="567"/>
        <w:jc w:val="both"/>
        <w:rPr>
          <w:rFonts w:ascii="Times New Roman" w:eastAsia="Times New Roman" w:hAnsi="Times New Roman"/>
          <w:sz w:val="24"/>
          <w:szCs w:val="24"/>
          <w:lang w:val="fi-FI" w:eastAsia="lt-LT"/>
        </w:rPr>
      </w:pPr>
      <w:bookmarkStart w:id="0" w:name="_GoBack"/>
      <w:bookmarkEnd w:id="0"/>
    </w:p>
    <w:p w14:paraId="1EAEC6C6" w14:textId="219F8299" w:rsidR="002B3C91" w:rsidRPr="00565EDD" w:rsidRDefault="00C202BB" w:rsidP="00565EDD">
      <w:pPr>
        <w:spacing w:before="120" w:after="0"/>
        <w:jc w:val="center"/>
        <w:rPr>
          <w:rFonts w:ascii="Times New Roman" w:hAnsi="Times New Roman"/>
          <w:b/>
          <w:bCs/>
          <w:sz w:val="24"/>
          <w:szCs w:val="24"/>
          <w:lang w:val="fi-FI"/>
        </w:rPr>
      </w:pPr>
      <w:r w:rsidRPr="00565EDD">
        <w:rPr>
          <w:rFonts w:ascii="Times New Roman" w:hAnsi="Times New Roman"/>
          <w:b/>
          <w:bCs/>
          <w:sz w:val="24"/>
          <w:szCs w:val="24"/>
          <w:lang w:val="fi-FI"/>
        </w:rPr>
        <w:t xml:space="preserve">MĖSOS SUBPRODUKTŲ </w:t>
      </w:r>
      <w:r w:rsidR="004027C6" w:rsidRPr="00565EDD">
        <w:rPr>
          <w:rFonts w:ascii="Times New Roman" w:hAnsi="Times New Roman"/>
          <w:b/>
          <w:bCs/>
          <w:sz w:val="24"/>
          <w:szCs w:val="24"/>
          <w:lang w:val="fi-FI"/>
        </w:rPr>
        <w:t>– GALVIJŲ ŠIRDŽI</w:t>
      </w:r>
      <w:r w:rsidR="001A521D" w:rsidRPr="00565EDD">
        <w:rPr>
          <w:rFonts w:ascii="Times New Roman" w:hAnsi="Times New Roman"/>
          <w:b/>
          <w:bCs/>
          <w:sz w:val="24"/>
          <w:szCs w:val="24"/>
          <w:lang w:val="fi-FI"/>
        </w:rPr>
        <w:t xml:space="preserve">Ų </w:t>
      </w:r>
      <w:r w:rsidRPr="00565EDD">
        <w:rPr>
          <w:rFonts w:ascii="Times New Roman" w:hAnsi="Times New Roman"/>
          <w:b/>
          <w:bCs/>
          <w:sz w:val="24"/>
          <w:szCs w:val="24"/>
          <w:lang w:val="fi-FI"/>
        </w:rPr>
        <w:t>TECHNINĖ SPECIFIKACIJA</w:t>
      </w:r>
    </w:p>
    <w:p w14:paraId="2756AC01" w14:textId="77777777" w:rsidR="002B3C91" w:rsidRPr="00565EDD" w:rsidRDefault="002B3C91" w:rsidP="002B3C91">
      <w:pPr>
        <w:spacing w:before="120" w:after="0"/>
        <w:rPr>
          <w:rFonts w:ascii="Times New Roman" w:hAnsi="Times New Roman"/>
          <w:b/>
          <w:bCs/>
          <w:sz w:val="24"/>
          <w:szCs w:val="24"/>
          <w:lang w:val="fi-FI"/>
        </w:rPr>
      </w:pPr>
    </w:p>
    <w:tbl>
      <w:tblPr>
        <w:tblW w:w="15021" w:type="dxa"/>
        <w:jc w:val="center"/>
        <w:tblLayout w:type="fixed"/>
        <w:tblCellMar>
          <w:left w:w="10" w:type="dxa"/>
          <w:right w:w="10" w:type="dxa"/>
        </w:tblCellMar>
        <w:tblLook w:val="04A0" w:firstRow="1" w:lastRow="0" w:firstColumn="1" w:lastColumn="0" w:noHBand="0" w:noVBand="1"/>
      </w:tblPr>
      <w:tblGrid>
        <w:gridCol w:w="562"/>
        <w:gridCol w:w="1847"/>
        <w:gridCol w:w="5666"/>
        <w:gridCol w:w="2268"/>
        <w:gridCol w:w="2552"/>
        <w:gridCol w:w="708"/>
        <w:gridCol w:w="1418"/>
      </w:tblGrid>
      <w:tr w:rsidR="00407B85" w:rsidRPr="00565EDD" w14:paraId="15E324AA" w14:textId="77777777" w:rsidTr="00FB6E5C">
        <w:trPr>
          <w:trHeight w:val="41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B09C6" w14:textId="77777777" w:rsidR="00407B85" w:rsidRPr="00565EDD" w:rsidRDefault="00407B85" w:rsidP="00DE7D2B">
            <w:pPr>
              <w:spacing w:after="0" w:line="240" w:lineRule="auto"/>
              <w:jc w:val="center"/>
              <w:rPr>
                <w:sz w:val="24"/>
                <w:szCs w:val="24"/>
              </w:rPr>
            </w:pPr>
            <w:r w:rsidRPr="00565EDD">
              <w:rPr>
                <w:rFonts w:ascii="Times New Roman" w:hAnsi="Times New Roman"/>
                <w:b/>
                <w:sz w:val="24"/>
                <w:szCs w:val="24"/>
                <w:lang w:val="lt-LT"/>
              </w:rPr>
              <w:t>Eil. Nr.</w:t>
            </w:r>
          </w:p>
        </w:tc>
        <w:tc>
          <w:tcPr>
            <w:tcW w:w="184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02B364" w14:textId="77777777" w:rsidR="00407B85" w:rsidRPr="00565EDD" w:rsidRDefault="00407B85" w:rsidP="00DE7D2B">
            <w:pPr>
              <w:spacing w:after="0" w:line="240" w:lineRule="auto"/>
              <w:jc w:val="center"/>
              <w:rPr>
                <w:sz w:val="24"/>
                <w:szCs w:val="24"/>
              </w:rPr>
            </w:pPr>
            <w:r w:rsidRPr="00565EDD">
              <w:rPr>
                <w:rFonts w:ascii="Times New Roman" w:hAnsi="Times New Roman"/>
                <w:b/>
                <w:sz w:val="24"/>
                <w:szCs w:val="24"/>
                <w:lang w:val="lt-LT"/>
              </w:rPr>
              <w:t>Maisto produkto pavadinimas</w:t>
            </w:r>
          </w:p>
        </w:tc>
        <w:tc>
          <w:tcPr>
            <w:tcW w:w="10486"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F91BFE" w14:textId="1281CE93" w:rsidR="00407B85" w:rsidRPr="00565EDD" w:rsidRDefault="00407B85" w:rsidP="00DE7D2B">
            <w:pPr>
              <w:spacing w:after="0" w:line="240" w:lineRule="auto"/>
              <w:jc w:val="center"/>
              <w:rPr>
                <w:rFonts w:ascii="Times New Roman" w:hAnsi="Times New Roman"/>
                <w:b/>
                <w:sz w:val="24"/>
                <w:szCs w:val="24"/>
                <w:lang w:val="lt-LT"/>
              </w:rPr>
            </w:pPr>
            <w:r w:rsidRPr="00565EDD">
              <w:rPr>
                <w:rFonts w:ascii="Times New Roman" w:hAnsi="Times New Roman"/>
                <w:b/>
                <w:sz w:val="24"/>
                <w:szCs w:val="24"/>
                <w:lang w:val="lt-LT"/>
              </w:rPr>
              <w:t>Reikalavimai produktams</w:t>
            </w:r>
          </w:p>
        </w:tc>
        <w:tc>
          <w:tcPr>
            <w:tcW w:w="708" w:type="dxa"/>
            <w:tcBorders>
              <w:top w:val="single" w:sz="4" w:space="0" w:color="000000"/>
              <w:left w:val="single" w:sz="4" w:space="0" w:color="000000"/>
              <w:right w:val="single" w:sz="4" w:space="0" w:color="auto"/>
            </w:tcBorders>
            <w:shd w:val="clear" w:color="auto" w:fill="auto"/>
          </w:tcPr>
          <w:p w14:paraId="5622EF5B" w14:textId="77777777" w:rsidR="00407B85" w:rsidRPr="00565EDD" w:rsidRDefault="00407B85" w:rsidP="00DE7D2B">
            <w:pPr>
              <w:spacing w:after="0" w:line="240" w:lineRule="auto"/>
              <w:jc w:val="center"/>
              <w:rPr>
                <w:rFonts w:ascii="Times New Roman" w:hAnsi="Times New Roman"/>
                <w:b/>
                <w:sz w:val="24"/>
                <w:szCs w:val="24"/>
                <w:lang w:val="lt-LT"/>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A8E197" w14:textId="1634E146" w:rsidR="00407B85" w:rsidRPr="00565EDD" w:rsidRDefault="00AC3E0C" w:rsidP="00DE7D2B">
            <w:pPr>
              <w:spacing w:after="0" w:line="240" w:lineRule="auto"/>
              <w:jc w:val="center"/>
              <w:rPr>
                <w:rFonts w:ascii="Times New Roman" w:hAnsi="Times New Roman"/>
                <w:b/>
                <w:sz w:val="24"/>
                <w:szCs w:val="24"/>
                <w:lang w:val="lt-LT"/>
              </w:rPr>
            </w:pPr>
            <w:r w:rsidRPr="00565EDD">
              <w:rPr>
                <w:rFonts w:ascii="Times New Roman" w:hAnsi="Times New Roman"/>
                <w:b/>
                <w:sz w:val="24"/>
                <w:szCs w:val="24"/>
                <w:lang w:val="lt-LT"/>
              </w:rPr>
              <w:t xml:space="preserve">Preliminarus </w:t>
            </w:r>
            <w:r w:rsidR="00407B85" w:rsidRPr="00565EDD">
              <w:rPr>
                <w:rFonts w:ascii="Times New Roman" w:hAnsi="Times New Roman"/>
                <w:b/>
                <w:sz w:val="24"/>
                <w:szCs w:val="24"/>
                <w:lang w:val="lt-LT"/>
              </w:rPr>
              <w:t>kiekis</w:t>
            </w:r>
            <w:r w:rsidR="00C31AA5" w:rsidRPr="00565EDD">
              <w:rPr>
                <w:rFonts w:ascii="Times New Roman" w:hAnsi="Times New Roman"/>
                <w:b/>
                <w:sz w:val="24"/>
                <w:szCs w:val="24"/>
                <w:lang w:val="lt-LT"/>
              </w:rPr>
              <w:t xml:space="preserve"> </w:t>
            </w:r>
            <w:r w:rsidR="00DE7D2B" w:rsidRPr="00565EDD">
              <w:rPr>
                <w:rFonts w:ascii="Times New Roman" w:hAnsi="Times New Roman"/>
                <w:b/>
                <w:sz w:val="24"/>
                <w:szCs w:val="24"/>
                <w:lang w:val="lt-LT"/>
              </w:rPr>
              <w:t xml:space="preserve">24 </w:t>
            </w:r>
            <w:r w:rsidR="00C31AA5" w:rsidRPr="00565EDD">
              <w:rPr>
                <w:rFonts w:ascii="Times New Roman" w:hAnsi="Times New Roman"/>
                <w:b/>
                <w:sz w:val="24"/>
                <w:szCs w:val="24"/>
                <w:lang w:val="lt-LT"/>
              </w:rPr>
              <w:t>mėn.</w:t>
            </w:r>
          </w:p>
        </w:tc>
      </w:tr>
      <w:tr w:rsidR="00407B85" w:rsidRPr="00565EDD" w14:paraId="25361A8B" w14:textId="77777777" w:rsidTr="00FB6E5C">
        <w:trPr>
          <w:trHeight w:val="60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25A2F" w14:textId="77777777" w:rsidR="00407B85" w:rsidRPr="00565EDD" w:rsidRDefault="00407B85" w:rsidP="00DE7D2B">
            <w:pPr>
              <w:spacing w:after="0" w:line="240" w:lineRule="auto"/>
              <w:jc w:val="both"/>
              <w:rPr>
                <w:rFonts w:ascii="Times New Roman" w:hAnsi="Times New Roman"/>
                <w:b/>
                <w:sz w:val="24"/>
                <w:szCs w:val="24"/>
                <w:lang w:val="lt-LT"/>
              </w:rPr>
            </w:pPr>
          </w:p>
        </w:tc>
        <w:tc>
          <w:tcPr>
            <w:tcW w:w="1847"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4AA167" w14:textId="77777777" w:rsidR="00407B85" w:rsidRPr="00565EDD" w:rsidRDefault="00407B85" w:rsidP="00DE7D2B">
            <w:pPr>
              <w:spacing w:after="0" w:line="240" w:lineRule="auto"/>
              <w:jc w:val="both"/>
              <w:rPr>
                <w:rFonts w:ascii="Times New Roman" w:hAnsi="Times New Roman"/>
                <w:b/>
                <w:sz w:val="24"/>
                <w:szCs w:val="24"/>
                <w:lang w:val="lt-LT"/>
              </w:rPr>
            </w:pP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ECE93" w14:textId="77777777" w:rsidR="00407B85" w:rsidRPr="00565EDD" w:rsidRDefault="00407B85" w:rsidP="00DE7D2B">
            <w:pPr>
              <w:spacing w:after="0" w:line="240" w:lineRule="auto"/>
              <w:jc w:val="center"/>
              <w:rPr>
                <w:rFonts w:ascii="Times New Roman" w:hAnsi="Times New Roman"/>
                <w:b/>
                <w:sz w:val="24"/>
                <w:szCs w:val="24"/>
                <w:lang w:val="lt-LT"/>
              </w:rPr>
            </w:pPr>
            <w:r w:rsidRPr="00565EDD">
              <w:rPr>
                <w:rFonts w:ascii="Times New Roman" w:hAnsi="Times New Roman"/>
                <w:b/>
                <w:sz w:val="24"/>
                <w:szCs w:val="24"/>
                <w:lang w:val="lt-LT"/>
              </w:rPr>
              <w:t>Reikalavimų aprašymas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7B54B" w14:textId="77777777" w:rsidR="00407B85" w:rsidRPr="00565EDD" w:rsidRDefault="00407B85" w:rsidP="00DE7D2B">
            <w:pPr>
              <w:spacing w:after="0" w:line="240" w:lineRule="auto"/>
              <w:jc w:val="center"/>
              <w:rPr>
                <w:rFonts w:ascii="Times New Roman" w:hAnsi="Times New Roman"/>
                <w:b/>
                <w:sz w:val="24"/>
                <w:szCs w:val="24"/>
                <w:lang w:val="lt-LT"/>
              </w:rPr>
            </w:pPr>
            <w:r w:rsidRPr="00565EDD">
              <w:rPr>
                <w:rFonts w:ascii="Times New Roman" w:hAnsi="Times New Roman"/>
                <w:b/>
                <w:sz w:val="24"/>
                <w:szCs w:val="24"/>
                <w:lang w:val="lt-LT"/>
              </w:rPr>
              <w:t>Išfasavimas</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2DA8F" w14:textId="77777777" w:rsidR="00407B85" w:rsidRPr="00565EDD" w:rsidRDefault="00407B85" w:rsidP="00DE7D2B">
            <w:pPr>
              <w:spacing w:after="0" w:line="240" w:lineRule="auto"/>
              <w:jc w:val="center"/>
              <w:rPr>
                <w:rFonts w:ascii="Times New Roman" w:hAnsi="Times New Roman"/>
                <w:b/>
                <w:sz w:val="24"/>
                <w:szCs w:val="24"/>
                <w:lang w:val="lt-LT"/>
              </w:rPr>
            </w:pPr>
            <w:r w:rsidRPr="00565EDD">
              <w:rPr>
                <w:rFonts w:ascii="Times New Roman" w:hAnsi="Times New Roman"/>
                <w:b/>
                <w:sz w:val="24"/>
                <w:szCs w:val="24"/>
                <w:lang w:val="lt-LT"/>
              </w:rPr>
              <w:t>Produkto galiojimo laikas</w:t>
            </w:r>
          </w:p>
        </w:tc>
        <w:tc>
          <w:tcPr>
            <w:tcW w:w="708" w:type="dxa"/>
            <w:tcBorders>
              <w:left w:val="single" w:sz="4" w:space="0" w:color="000000"/>
              <w:bottom w:val="single" w:sz="4" w:space="0" w:color="000000"/>
              <w:right w:val="single" w:sz="4" w:space="0" w:color="auto"/>
            </w:tcBorders>
            <w:shd w:val="clear" w:color="auto" w:fill="auto"/>
          </w:tcPr>
          <w:p w14:paraId="2153027E" w14:textId="3FF65BDC" w:rsidR="00407B85" w:rsidRPr="00565EDD" w:rsidRDefault="00407B85" w:rsidP="00DE7D2B">
            <w:pPr>
              <w:spacing w:after="0" w:line="240" w:lineRule="auto"/>
              <w:jc w:val="center"/>
              <w:rPr>
                <w:rFonts w:ascii="Times New Roman" w:hAnsi="Times New Roman"/>
                <w:b/>
                <w:sz w:val="24"/>
                <w:szCs w:val="24"/>
                <w:lang w:val="lt-LT"/>
              </w:rPr>
            </w:pPr>
            <w:r w:rsidRPr="00565EDD">
              <w:rPr>
                <w:rFonts w:ascii="Times New Roman" w:hAnsi="Times New Roman"/>
                <w:b/>
                <w:sz w:val="24"/>
                <w:szCs w:val="24"/>
                <w:lang w:val="lt-LT"/>
              </w:rPr>
              <w:t>Mato vnt.</w:t>
            </w:r>
          </w:p>
        </w:tc>
        <w:tc>
          <w:tcPr>
            <w:tcW w:w="141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277166" w14:textId="15455ED0" w:rsidR="00407B85" w:rsidRPr="00565EDD" w:rsidRDefault="00407B85" w:rsidP="00DE7D2B">
            <w:pPr>
              <w:spacing w:after="0" w:line="240" w:lineRule="auto"/>
              <w:jc w:val="center"/>
              <w:rPr>
                <w:rFonts w:ascii="Times New Roman" w:hAnsi="Times New Roman"/>
                <w:b/>
                <w:sz w:val="24"/>
                <w:szCs w:val="24"/>
                <w:lang w:val="lt-LT"/>
              </w:rPr>
            </w:pPr>
          </w:p>
        </w:tc>
      </w:tr>
      <w:tr w:rsidR="00407B85" w:rsidRPr="00565EDD" w14:paraId="32771F3C" w14:textId="77777777" w:rsidTr="00FB6E5C">
        <w:trPr>
          <w:trHeight w:val="326"/>
          <w:jc w:val="center"/>
        </w:trPr>
        <w:tc>
          <w:tcPr>
            <w:tcW w:w="15021" w:type="dxa"/>
            <w:gridSpan w:val="7"/>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vAlign w:val="center"/>
          </w:tcPr>
          <w:p w14:paraId="7193141A" w14:textId="10B52B2B" w:rsidR="00407B85" w:rsidRPr="0095445E" w:rsidRDefault="005E2225" w:rsidP="00DE7D2B">
            <w:pPr>
              <w:suppressAutoHyphens w:val="0"/>
              <w:autoSpaceDN/>
              <w:spacing w:after="0" w:line="240" w:lineRule="auto"/>
              <w:jc w:val="center"/>
              <w:textAlignment w:val="auto"/>
              <w:rPr>
                <w:rFonts w:ascii="Times New Roman" w:hAnsi="Times New Roman"/>
                <w:b/>
                <w:sz w:val="24"/>
                <w:szCs w:val="24"/>
              </w:rPr>
            </w:pPr>
            <w:r w:rsidRPr="0095445E">
              <w:rPr>
                <w:rFonts w:ascii="Times New Roman" w:eastAsiaTheme="minorHAnsi" w:hAnsi="Times New Roman"/>
                <w:b/>
                <w:caps/>
                <w:sz w:val="24"/>
                <w:szCs w:val="24"/>
                <w:lang w:val="lt-LT"/>
              </w:rPr>
              <w:t xml:space="preserve">MĖSOS </w:t>
            </w:r>
            <w:r w:rsidR="00407B85" w:rsidRPr="0095445E">
              <w:rPr>
                <w:rFonts w:ascii="Times New Roman" w:eastAsiaTheme="minorHAnsi" w:hAnsi="Times New Roman"/>
                <w:b/>
                <w:caps/>
                <w:sz w:val="24"/>
                <w:szCs w:val="24"/>
                <w:lang w:val="lt-LT"/>
              </w:rPr>
              <w:t>Subproduktai</w:t>
            </w:r>
          </w:p>
        </w:tc>
      </w:tr>
      <w:tr w:rsidR="000A7CD3" w:rsidRPr="00565EDD" w14:paraId="6B0DEDB6" w14:textId="77777777" w:rsidTr="00FB6E5C">
        <w:trPr>
          <w:trHeight w:val="1565"/>
          <w:jc w:val="center"/>
        </w:trPr>
        <w:tc>
          <w:tcPr>
            <w:tcW w:w="562"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1EF608F5" w14:textId="77777777" w:rsidR="000A7CD3" w:rsidRPr="00565EDD" w:rsidRDefault="000A7CD3" w:rsidP="00DE7D2B">
            <w:pPr>
              <w:spacing w:after="0" w:line="240" w:lineRule="auto"/>
              <w:jc w:val="center"/>
              <w:rPr>
                <w:rFonts w:ascii="Times New Roman" w:eastAsia="Times New Roman" w:hAnsi="Times New Roman"/>
                <w:color w:val="000000"/>
                <w:sz w:val="24"/>
                <w:szCs w:val="24"/>
                <w:lang w:eastAsia="lt-LT"/>
              </w:rPr>
            </w:pPr>
            <w:r w:rsidRPr="00565EDD">
              <w:rPr>
                <w:rFonts w:ascii="Times New Roman" w:eastAsia="Times New Roman" w:hAnsi="Times New Roman"/>
                <w:color w:val="000000"/>
                <w:sz w:val="24"/>
                <w:szCs w:val="24"/>
                <w:lang w:eastAsia="lt-LT"/>
              </w:rPr>
              <w:t>1.</w:t>
            </w:r>
          </w:p>
        </w:tc>
        <w:tc>
          <w:tcPr>
            <w:tcW w:w="184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FC24F68" w14:textId="77777777" w:rsidR="000A7CD3" w:rsidRPr="00E90F74" w:rsidRDefault="000A7CD3" w:rsidP="00DE7D2B">
            <w:pPr>
              <w:spacing w:after="0" w:line="240" w:lineRule="auto"/>
              <w:rPr>
                <w:sz w:val="24"/>
                <w:szCs w:val="24"/>
                <w:lang w:val="lt-LT"/>
              </w:rPr>
            </w:pPr>
            <w:r w:rsidRPr="00E90F74">
              <w:rPr>
                <w:rFonts w:ascii="Times New Roman" w:hAnsi="Times New Roman"/>
                <w:color w:val="000000"/>
                <w:sz w:val="24"/>
                <w:szCs w:val="24"/>
                <w:lang w:val="lt-LT" w:eastAsia="lt-LT"/>
              </w:rPr>
              <w:t>Galvijų širdys</w:t>
            </w:r>
          </w:p>
        </w:tc>
        <w:tc>
          <w:tcPr>
            <w:tcW w:w="566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C6D2FA9" w14:textId="59455F22" w:rsidR="000A7CD3" w:rsidRPr="00565EDD" w:rsidRDefault="000A7CD3" w:rsidP="00DE7D2B">
            <w:pPr>
              <w:widowControl w:val="0"/>
              <w:autoSpaceDE w:val="0"/>
              <w:adjustRightInd w:val="0"/>
              <w:spacing w:after="0" w:line="240" w:lineRule="auto"/>
              <w:jc w:val="both"/>
              <w:rPr>
                <w:rFonts w:ascii="Times New Roman" w:hAnsi="Times New Roman"/>
                <w:sz w:val="24"/>
                <w:szCs w:val="24"/>
                <w:lang w:val="lt-LT"/>
              </w:rPr>
            </w:pPr>
            <w:bookmarkStart w:id="1" w:name="_Hlk67062647"/>
            <w:r w:rsidRPr="00565EDD">
              <w:rPr>
                <w:rFonts w:ascii="Times New Roman" w:hAnsi="Times New Roman"/>
                <w:sz w:val="24"/>
                <w:szCs w:val="24"/>
                <w:lang w:val="lt-LT" w:eastAsia="lt-LT"/>
              </w:rPr>
              <w:t>Sušaldytos galvijų širdys, išvalytos nuo kraujo ir lajaus</w:t>
            </w:r>
            <w:bookmarkEnd w:id="1"/>
            <w:r w:rsidRPr="00565EDD">
              <w:rPr>
                <w:rFonts w:ascii="Times New Roman" w:hAnsi="Times New Roman"/>
                <w:sz w:val="24"/>
                <w:szCs w:val="24"/>
                <w:lang w:val="lt-LT" w:eastAsia="lt-LT"/>
              </w:rPr>
              <w:t xml:space="preserve">. </w:t>
            </w:r>
            <w:r w:rsidRPr="00565EDD">
              <w:rPr>
                <w:rFonts w:ascii="Times New Roman" w:hAnsi="Times New Roman"/>
                <w:sz w:val="24"/>
                <w:szCs w:val="24"/>
                <w:lang w:val="lt-LT"/>
              </w:rPr>
              <w:t xml:space="preserve">Prekių pristatymo dažnumas – 1-2 kartai per mėnesį, atsižvelgiant į Kauno kalėjimo poreikį, per 2 (dvi) darbo dienas atskiruose  užsakymuose nurodytus Prekių kiekius. Valandos, kuriomis turi būti pristatomos prekės – nuo </w:t>
            </w:r>
            <w:r w:rsidRPr="00565EDD">
              <w:rPr>
                <w:rFonts w:ascii="Times New Roman" w:eastAsia="Times New Roman" w:hAnsi="Times New Roman"/>
                <w:sz w:val="24"/>
                <w:szCs w:val="24"/>
                <w:lang w:val="lt-LT"/>
              </w:rPr>
              <w:t>6</w:t>
            </w:r>
            <w:r w:rsidR="007640F3" w:rsidRPr="00565EDD">
              <w:rPr>
                <w:rFonts w:ascii="Times New Roman" w:eastAsia="Times New Roman" w:hAnsi="Times New Roman"/>
                <w:sz w:val="24"/>
                <w:szCs w:val="24"/>
                <w:lang w:val="lt-LT"/>
              </w:rPr>
              <w:t>:</w:t>
            </w:r>
            <w:r w:rsidRPr="00565EDD">
              <w:rPr>
                <w:rFonts w:ascii="Times New Roman" w:eastAsia="Times New Roman" w:hAnsi="Times New Roman"/>
                <w:sz w:val="24"/>
                <w:szCs w:val="24"/>
                <w:lang w:val="lt-LT"/>
              </w:rPr>
              <w:t>00 iki 14</w:t>
            </w:r>
            <w:r w:rsidR="007640F3" w:rsidRPr="00565EDD">
              <w:rPr>
                <w:rFonts w:ascii="Times New Roman" w:eastAsia="Times New Roman" w:hAnsi="Times New Roman"/>
                <w:sz w:val="24"/>
                <w:szCs w:val="24"/>
                <w:lang w:val="lt-LT"/>
              </w:rPr>
              <w:t>:00</w:t>
            </w:r>
            <w:r w:rsidRPr="00565EDD">
              <w:rPr>
                <w:rFonts w:ascii="Times New Roman" w:eastAsia="Times New Roman" w:hAnsi="Times New Roman"/>
                <w:sz w:val="24"/>
                <w:szCs w:val="24"/>
                <w:lang w:val="lt-LT"/>
              </w:rPr>
              <w:t xml:space="preserve"> val.</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3CA28EE" w14:textId="20366F76" w:rsidR="000A7CD3" w:rsidRPr="00565EDD" w:rsidRDefault="000A7CD3" w:rsidP="00DE7D2B">
            <w:pPr>
              <w:spacing w:after="0" w:line="240" w:lineRule="auto"/>
              <w:jc w:val="both"/>
              <w:rPr>
                <w:sz w:val="24"/>
                <w:szCs w:val="24"/>
                <w:lang w:val="fi-FI"/>
              </w:rPr>
            </w:pPr>
            <w:r w:rsidRPr="00565EDD">
              <w:rPr>
                <w:rFonts w:ascii="Times New Roman" w:hAnsi="Times New Roman"/>
                <w:color w:val="000000"/>
                <w:sz w:val="24"/>
                <w:szCs w:val="24"/>
                <w:lang w:val="fi-FI" w:eastAsia="lt-LT"/>
              </w:rPr>
              <w:t>Supakuota plastikinėje pakuotėje, ne daugiau kaip 5 kg pakuotėje.</w:t>
            </w:r>
          </w:p>
        </w:tc>
        <w:tc>
          <w:tcPr>
            <w:tcW w:w="255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D9117B1" w14:textId="555F7125" w:rsidR="000A7CD3" w:rsidRPr="00565EDD" w:rsidRDefault="000A7CD3" w:rsidP="00DE7D2B">
            <w:pPr>
              <w:spacing w:after="0" w:line="240" w:lineRule="auto"/>
              <w:rPr>
                <w:rFonts w:ascii="Times New Roman" w:hAnsi="Times New Roman"/>
                <w:color w:val="000000"/>
                <w:sz w:val="24"/>
                <w:szCs w:val="24"/>
                <w:lang w:val="fi-FI" w:eastAsia="lt-LT"/>
              </w:rPr>
            </w:pPr>
            <w:r w:rsidRPr="00565EDD">
              <w:rPr>
                <w:rFonts w:ascii="Times New Roman" w:hAnsi="Times New Roman"/>
                <w:color w:val="000000"/>
                <w:sz w:val="24"/>
                <w:szCs w:val="24"/>
                <w:lang w:val="fi-FI" w:eastAsia="lt-LT"/>
              </w:rPr>
              <w:t xml:space="preserve">Pristatymo dieną tinkamumo vartoti terminas ne mažiau kaip 90 </w:t>
            </w:r>
            <w:r w:rsidR="008435CF" w:rsidRPr="00565EDD">
              <w:rPr>
                <w:rFonts w:ascii="Times New Roman" w:hAnsi="Times New Roman"/>
                <w:color w:val="000000"/>
                <w:sz w:val="24"/>
                <w:szCs w:val="24"/>
                <w:lang w:val="fi-FI" w:eastAsia="lt-LT"/>
              </w:rPr>
              <w:t>dienų</w:t>
            </w:r>
          </w:p>
        </w:tc>
        <w:tc>
          <w:tcPr>
            <w:tcW w:w="708" w:type="dxa"/>
            <w:tcBorders>
              <w:top w:val="single" w:sz="4" w:space="0" w:color="000000"/>
              <w:left w:val="single" w:sz="4" w:space="0" w:color="000000"/>
              <w:right w:val="single" w:sz="4" w:space="0" w:color="auto"/>
            </w:tcBorders>
            <w:shd w:val="clear" w:color="auto" w:fill="auto"/>
            <w:vAlign w:val="center"/>
          </w:tcPr>
          <w:p w14:paraId="7105D750" w14:textId="468419A2" w:rsidR="000A7CD3" w:rsidRPr="00565EDD" w:rsidRDefault="000A7CD3" w:rsidP="00DE7D2B">
            <w:pPr>
              <w:spacing w:after="0" w:line="480" w:lineRule="auto"/>
              <w:jc w:val="center"/>
              <w:rPr>
                <w:rFonts w:ascii="Times New Roman" w:hAnsi="Times New Roman"/>
                <w:color w:val="000000"/>
                <w:sz w:val="24"/>
                <w:szCs w:val="24"/>
                <w:lang w:eastAsia="lt-LT"/>
              </w:rPr>
            </w:pPr>
            <w:r w:rsidRPr="00565EDD">
              <w:rPr>
                <w:rFonts w:ascii="Times New Roman" w:hAnsi="Times New Roman"/>
                <w:color w:val="000000"/>
                <w:sz w:val="24"/>
                <w:szCs w:val="24"/>
                <w:lang w:eastAsia="lt-LT"/>
              </w:rPr>
              <w:t>kg</w:t>
            </w:r>
          </w:p>
        </w:tc>
        <w:tc>
          <w:tcPr>
            <w:tcW w:w="1418"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0246A3FE" w14:textId="05B2F507" w:rsidR="000A7CD3" w:rsidRPr="00565EDD" w:rsidRDefault="00DE7D2B" w:rsidP="00DE7D2B">
            <w:pPr>
              <w:spacing w:after="0" w:line="240" w:lineRule="auto"/>
              <w:jc w:val="center"/>
              <w:rPr>
                <w:sz w:val="24"/>
                <w:szCs w:val="24"/>
              </w:rPr>
            </w:pPr>
            <w:r w:rsidRPr="00565EDD">
              <w:rPr>
                <w:rFonts w:ascii="Times New Roman" w:hAnsi="Times New Roman"/>
                <w:color w:val="000000"/>
                <w:sz w:val="24"/>
                <w:szCs w:val="24"/>
                <w:lang w:eastAsia="lt-LT"/>
              </w:rPr>
              <w:t>7000,00</w:t>
            </w:r>
          </w:p>
        </w:tc>
      </w:tr>
      <w:tr w:rsidR="00407B85" w:rsidRPr="00565EDD" w14:paraId="65D31200" w14:textId="77777777" w:rsidTr="00FB6E5C">
        <w:trPr>
          <w:trHeight w:val="565"/>
          <w:jc w:val="center"/>
        </w:trPr>
        <w:tc>
          <w:tcPr>
            <w:tcW w:w="15021" w:type="dxa"/>
            <w:gridSpan w:val="7"/>
            <w:tcBorders>
              <w:top w:val="single" w:sz="4" w:space="0" w:color="000000"/>
              <w:left w:val="single" w:sz="4" w:space="0" w:color="000000"/>
              <w:bottom w:val="single" w:sz="4" w:space="0" w:color="000000"/>
              <w:right w:val="single" w:sz="4" w:space="0" w:color="000000"/>
            </w:tcBorders>
            <w:shd w:val="clear" w:color="auto" w:fill="auto"/>
          </w:tcPr>
          <w:p w14:paraId="6F76C7CA" w14:textId="77777777" w:rsidR="00407B85" w:rsidRPr="0095445E" w:rsidRDefault="00407B85" w:rsidP="00DE7D2B">
            <w:pPr>
              <w:spacing w:after="120" w:line="240" w:lineRule="auto"/>
              <w:rPr>
                <w:rFonts w:ascii="Times New Roman" w:hAnsi="Times New Roman"/>
                <w:b/>
                <w:sz w:val="24"/>
                <w:szCs w:val="24"/>
                <w:lang w:val="lt-LT"/>
              </w:rPr>
            </w:pPr>
          </w:p>
          <w:p w14:paraId="3ADB7E27" w14:textId="77777777" w:rsidR="00407B85" w:rsidRPr="00565EDD" w:rsidRDefault="00407B85" w:rsidP="00DE7D2B">
            <w:pPr>
              <w:spacing w:after="120" w:line="240" w:lineRule="auto"/>
              <w:ind w:left="127" w:right="132"/>
              <w:rPr>
                <w:rFonts w:ascii="Times New Roman" w:hAnsi="Times New Roman"/>
                <w:b/>
                <w:sz w:val="24"/>
                <w:szCs w:val="24"/>
                <w:lang w:val="lt-LT"/>
              </w:rPr>
            </w:pPr>
            <w:r w:rsidRPr="00565EDD">
              <w:rPr>
                <w:rFonts w:ascii="Times New Roman" w:hAnsi="Times New Roman"/>
                <w:b/>
                <w:sz w:val="24"/>
                <w:szCs w:val="24"/>
                <w:lang w:val="lt-LT"/>
              </w:rPr>
              <w:t xml:space="preserve">1. Bendrieji reikalavimai: </w:t>
            </w:r>
          </w:p>
          <w:p w14:paraId="11837C0E" w14:textId="77777777" w:rsidR="00407B85" w:rsidRPr="00565EDD" w:rsidRDefault="00407B85" w:rsidP="00DE7D2B">
            <w:pPr>
              <w:numPr>
                <w:ilvl w:val="0"/>
                <w:numId w:val="1"/>
              </w:numPr>
              <w:tabs>
                <w:tab w:val="left" w:pos="709"/>
              </w:tabs>
              <w:spacing w:after="120" w:line="240" w:lineRule="auto"/>
              <w:ind w:left="127" w:right="132" w:firstLine="426"/>
              <w:jc w:val="both"/>
              <w:rPr>
                <w:rFonts w:ascii="Times New Roman" w:hAnsi="Times New Roman"/>
                <w:sz w:val="24"/>
                <w:szCs w:val="24"/>
                <w:lang w:val="lt-LT"/>
              </w:rPr>
            </w:pPr>
            <w:r w:rsidRPr="00565EDD">
              <w:rPr>
                <w:rFonts w:ascii="Times New Roman" w:hAnsi="Times New Roman"/>
                <w:sz w:val="24"/>
                <w:szCs w:val="24"/>
                <w:lang w:val="lt-LT"/>
              </w:rPr>
              <w:t xml:space="preserve">Tiekėjas privalo pateikti gamintojo kokybės pažymėjimą arba lygiavertį pažymėjimui dokumentą originalia kalba (jei importuojama) kartu su lietuvišku vertimu. Šis dokumentas turi būti pateiktas pirmai siuntai bei tuo atveju, kai pareiškiamos pretenzijos dėl produkcijos kokybės. </w:t>
            </w:r>
          </w:p>
          <w:p w14:paraId="7C3AEF69" w14:textId="76FB0500" w:rsidR="00407B85" w:rsidRPr="00565EDD" w:rsidRDefault="00407B85" w:rsidP="00DE7D2B">
            <w:pPr>
              <w:numPr>
                <w:ilvl w:val="0"/>
                <w:numId w:val="1"/>
              </w:numPr>
              <w:tabs>
                <w:tab w:val="left" w:pos="709"/>
                <w:tab w:val="left" w:pos="993"/>
                <w:tab w:val="left" w:pos="1843"/>
              </w:tabs>
              <w:spacing w:after="120" w:line="240" w:lineRule="auto"/>
              <w:ind w:left="127" w:right="132" w:firstLine="426"/>
              <w:jc w:val="both"/>
              <w:rPr>
                <w:rFonts w:ascii="Times New Roman" w:hAnsi="Times New Roman"/>
                <w:sz w:val="24"/>
                <w:szCs w:val="24"/>
                <w:lang w:val="lt-LT"/>
              </w:rPr>
            </w:pPr>
            <w:r w:rsidRPr="00565EDD">
              <w:rPr>
                <w:rFonts w:ascii="Times New Roman" w:hAnsi="Times New Roman"/>
                <w:sz w:val="24"/>
                <w:szCs w:val="24"/>
                <w:lang w:val="lt-LT"/>
              </w:rPr>
              <w:t>Specifikacijoje nurodytas preliminarus</w:t>
            </w:r>
            <w:r w:rsidR="00186571" w:rsidRPr="00565EDD">
              <w:rPr>
                <w:rFonts w:ascii="Times New Roman" w:hAnsi="Times New Roman"/>
                <w:sz w:val="24"/>
                <w:szCs w:val="24"/>
                <w:lang w:val="lt-LT"/>
              </w:rPr>
              <w:t xml:space="preserve"> </w:t>
            </w:r>
            <w:r w:rsidR="00C14352" w:rsidRPr="00565EDD">
              <w:rPr>
                <w:rFonts w:ascii="Times New Roman" w:hAnsi="Times New Roman"/>
                <w:sz w:val="24"/>
                <w:szCs w:val="24"/>
                <w:lang w:val="lt-LT"/>
              </w:rPr>
              <w:t>24</w:t>
            </w:r>
            <w:r w:rsidRPr="00565EDD">
              <w:rPr>
                <w:rFonts w:ascii="Times New Roman" w:hAnsi="Times New Roman"/>
                <w:sz w:val="24"/>
                <w:szCs w:val="24"/>
                <w:lang w:val="lt-LT"/>
              </w:rPr>
              <w:t xml:space="preserve"> mėnesių produktų kiekis. Perkančioji organizacija neįsipareigoja nupirkti vis</w:t>
            </w:r>
            <w:r w:rsidR="0046488C" w:rsidRPr="00565EDD">
              <w:rPr>
                <w:rFonts w:ascii="Times New Roman" w:hAnsi="Times New Roman"/>
                <w:sz w:val="24"/>
                <w:szCs w:val="24"/>
                <w:lang w:val="lt-LT"/>
              </w:rPr>
              <w:t>o</w:t>
            </w:r>
            <w:r w:rsidRPr="00565EDD">
              <w:rPr>
                <w:rFonts w:ascii="Times New Roman" w:hAnsi="Times New Roman"/>
                <w:sz w:val="24"/>
                <w:szCs w:val="24"/>
                <w:lang w:val="lt-LT"/>
              </w:rPr>
              <w:t xml:space="preserve"> lentelėje nurodyt</w:t>
            </w:r>
            <w:r w:rsidR="0046488C" w:rsidRPr="00565EDD">
              <w:rPr>
                <w:rFonts w:ascii="Times New Roman" w:hAnsi="Times New Roman"/>
                <w:sz w:val="24"/>
                <w:szCs w:val="24"/>
                <w:lang w:val="lt-LT"/>
              </w:rPr>
              <w:t>o</w:t>
            </w:r>
            <w:r w:rsidRPr="00565EDD">
              <w:rPr>
                <w:rFonts w:ascii="Times New Roman" w:hAnsi="Times New Roman"/>
                <w:sz w:val="24"/>
                <w:szCs w:val="24"/>
                <w:lang w:val="lt-LT"/>
              </w:rPr>
              <w:t xml:space="preserve"> prekių kieki</w:t>
            </w:r>
            <w:r w:rsidR="0046488C" w:rsidRPr="00565EDD">
              <w:rPr>
                <w:rFonts w:ascii="Times New Roman" w:hAnsi="Times New Roman"/>
                <w:sz w:val="24"/>
                <w:szCs w:val="24"/>
                <w:lang w:val="lt-LT"/>
              </w:rPr>
              <w:t>o</w:t>
            </w:r>
            <w:r w:rsidRPr="00565EDD">
              <w:rPr>
                <w:rFonts w:ascii="Times New Roman" w:hAnsi="Times New Roman"/>
                <w:sz w:val="24"/>
                <w:szCs w:val="24"/>
                <w:lang w:val="lt-LT"/>
              </w:rPr>
              <w:t xml:space="preserve">. Prekės bus užsakomos atskirais užsakymais ir perkamos pagal poreikį. </w:t>
            </w:r>
          </w:p>
          <w:p w14:paraId="7BFF9689" w14:textId="77777777" w:rsidR="00407B85" w:rsidRPr="00565EDD" w:rsidRDefault="00407B85" w:rsidP="00DE7D2B">
            <w:pPr>
              <w:numPr>
                <w:ilvl w:val="0"/>
                <w:numId w:val="1"/>
              </w:numPr>
              <w:tabs>
                <w:tab w:val="left" w:pos="709"/>
                <w:tab w:val="left" w:pos="993"/>
                <w:tab w:val="left" w:pos="1843"/>
              </w:tabs>
              <w:spacing w:after="120" w:line="240" w:lineRule="auto"/>
              <w:ind w:left="127" w:right="132" w:firstLine="426"/>
              <w:jc w:val="both"/>
              <w:rPr>
                <w:rFonts w:ascii="Times New Roman" w:hAnsi="Times New Roman"/>
                <w:sz w:val="24"/>
                <w:szCs w:val="24"/>
                <w:lang w:val="lt-LT"/>
              </w:rPr>
            </w:pPr>
            <w:r w:rsidRPr="00565EDD">
              <w:rPr>
                <w:rFonts w:ascii="Times New Roman" w:hAnsi="Times New Roman"/>
                <w:sz w:val="24"/>
                <w:szCs w:val="24"/>
                <w:lang w:val="lt-LT"/>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173F0EAB" w14:textId="73CB8CC4" w:rsidR="00407B85" w:rsidRPr="00565EDD" w:rsidRDefault="00407B85" w:rsidP="00DE7D2B">
            <w:pPr>
              <w:numPr>
                <w:ilvl w:val="0"/>
                <w:numId w:val="1"/>
              </w:numPr>
              <w:tabs>
                <w:tab w:val="left" w:pos="709"/>
              </w:tabs>
              <w:spacing w:after="120" w:line="240" w:lineRule="auto"/>
              <w:ind w:left="127" w:right="132" w:firstLine="360"/>
              <w:jc w:val="both"/>
              <w:rPr>
                <w:rFonts w:ascii="Times New Roman" w:hAnsi="Times New Roman"/>
                <w:sz w:val="24"/>
                <w:szCs w:val="24"/>
                <w:lang w:val="lt-LT"/>
              </w:rPr>
            </w:pPr>
            <w:r w:rsidRPr="00565EDD">
              <w:rPr>
                <w:rFonts w:ascii="Times New Roman" w:hAnsi="Times New Roman"/>
                <w:sz w:val="24"/>
                <w:szCs w:val="24"/>
                <w:lang w:val="lt-LT"/>
              </w:rPr>
              <w:t>Tiekėja</w:t>
            </w:r>
            <w:r w:rsidR="008A1D5F" w:rsidRPr="00565EDD">
              <w:rPr>
                <w:rFonts w:ascii="Times New Roman" w:hAnsi="Times New Roman"/>
                <w:sz w:val="24"/>
                <w:szCs w:val="24"/>
                <w:lang w:val="lt-LT"/>
              </w:rPr>
              <w:t>s</w:t>
            </w:r>
            <w:r w:rsidRPr="00565EDD">
              <w:rPr>
                <w:rFonts w:ascii="Times New Roman" w:hAnsi="Times New Roman"/>
                <w:sz w:val="24"/>
                <w:szCs w:val="24"/>
                <w:lang w:val="lt-LT"/>
              </w:rPr>
              <w:t xml:space="preserve"> turi užtikrinti žmonių sveikatą ir vartotojų interesų apsaugą maisto atžvilgiu vadovaujantis 2002 m. sausio 28 d. Europos Parlamento ir Tarybos reglamente (EB) Nr. 178/2002 (arba jam lygiaverčiu </w:t>
            </w:r>
            <w:proofErr w:type="spellStart"/>
            <w:r w:rsidRPr="00565EDD">
              <w:rPr>
                <w:rFonts w:ascii="Times New Roman" w:hAnsi="Times New Roman"/>
                <w:sz w:val="24"/>
                <w:szCs w:val="24"/>
                <w:lang w:val="lt-LT"/>
              </w:rPr>
              <w:t>Codex</w:t>
            </w:r>
            <w:proofErr w:type="spellEnd"/>
            <w:r w:rsidRPr="00565EDD">
              <w:rPr>
                <w:rFonts w:ascii="Times New Roman" w:hAnsi="Times New Roman"/>
                <w:sz w:val="24"/>
                <w:szCs w:val="24"/>
                <w:lang w:val="lt-LT"/>
              </w:rPr>
              <w:t xml:space="preserve"> </w:t>
            </w:r>
            <w:proofErr w:type="spellStart"/>
            <w:r w:rsidRPr="00565EDD">
              <w:rPr>
                <w:rFonts w:ascii="Times New Roman" w:hAnsi="Times New Roman"/>
                <w:sz w:val="24"/>
                <w:szCs w:val="24"/>
                <w:lang w:val="lt-LT"/>
              </w:rPr>
              <w:t>Alimentarius</w:t>
            </w:r>
            <w:proofErr w:type="spellEnd"/>
            <w:r w:rsidRPr="00565EDD">
              <w:rPr>
                <w:rFonts w:ascii="Times New Roman" w:hAnsi="Times New Roman"/>
                <w:sz w:val="24"/>
                <w:szCs w:val="24"/>
                <w:lang w:val="lt-LT"/>
              </w:rPr>
              <w:t xml:space="preserve"> standartu), bei 2011 m. spalio 25 d. Europos Parlamento ir Tarybos reglamente (ES) Nr. 1169/2011 „Dėl informacijos apie maistą teikimo vartotojams“ nustatytais reikalavimais. </w:t>
            </w:r>
          </w:p>
          <w:p w14:paraId="69226433" w14:textId="77777777" w:rsidR="00407B85" w:rsidRPr="00565EDD" w:rsidRDefault="00407B85" w:rsidP="00DE7D2B">
            <w:pPr>
              <w:numPr>
                <w:ilvl w:val="0"/>
                <w:numId w:val="1"/>
              </w:numPr>
              <w:tabs>
                <w:tab w:val="left" w:pos="709"/>
              </w:tabs>
              <w:spacing w:after="120" w:line="240" w:lineRule="auto"/>
              <w:ind w:left="127" w:right="132" w:firstLine="360"/>
              <w:jc w:val="both"/>
              <w:rPr>
                <w:rFonts w:ascii="Times New Roman" w:hAnsi="Times New Roman"/>
                <w:sz w:val="24"/>
                <w:szCs w:val="24"/>
                <w:lang w:val="lt-LT"/>
              </w:rPr>
            </w:pPr>
            <w:r w:rsidRPr="00565EDD">
              <w:rPr>
                <w:rFonts w:ascii="Times New Roman" w:hAnsi="Times New Roman"/>
                <w:sz w:val="24"/>
                <w:szCs w:val="24"/>
                <w:lang w:val="lt-LT"/>
              </w:rPr>
              <w:t xml:space="preserve">Produktams naudojami maisto priedai turi atitikti 2008 m. gruodžio 16 d. Europos Parlamento ir Tarybos Reglamento (ES) Nr.1333/2008 dėl maisto priedų reikalavimus; </w:t>
            </w:r>
          </w:p>
          <w:p w14:paraId="676AED90" w14:textId="62E42B5E" w:rsidR="00407B85" w:rsidRPr="00565EDD" w:rsidRDefault="00407B85" w:rsidP="00DE7D2B">
            <w:pPr>
              <w:numPr>
                <w:ilvl w:val="0"/>
                <w:numId w:val="1"/>
              </w:numPr>
              <w:tabs>
                <w:tab w:val="left" w:pos="709"/>
              </w:tabs>
              <w:spacing w:after="120" w:line="240" w:lineRule="auto"/>
              <w:ind w:left="127" w:right="132" w:firstLine="360"/>
              <w:jc w:val="both"/>
              <w:rPr>
                <w:rFonts w:ascii="Times New Roman" w:hAnsi="Times New Roman"/>
                <w:sz w:val="24"/>
                <w:szCs w:val="24"/>
                <w:lang w:val="lt-LT"/>
              </w:rPr>
            </w:pPr>
            <w:r w:rsidRPr="00565EDD">
              <w:rPr>
                <w:rFonts w:ascii="Times New Roman" w:hAnsi="Times New Roman"/>
                <w:sz w:val="24"/>
                <w:szCs w:val="24"/>
                <w:lang w:val="lt-LT"/>
              </w:rPr>
              <w:t xml:space="preserve">Fasuotų produktų </w:t>
            </w:r>
            <w:r w:rsidR="00C3604E" w:rsidRPr="00565EDD">
              <w:rPr>
                <w:rFonts w:ascii="Times New Roman" w:hAnsi="Times New Roman"/>
                <w:sz w:val="24"/>
                <w:szCs w:val="24"/>
                <w:lang w:val="lt-LT"/>
              </w:rPr>
              <w:t>pakuotės dydis</w:t>
            </w:r>
            <w:r w:rsidR="00C0184A" w:rsidRPr="00565EDD">
              <w:rPr>
                <w:rFonts w:ascii="Times New Roman" w:hAnsi="Times New Roman"/>
                <w:sz w:val="24"/>
                <w:szCs w:val="24"/>
                <w:lang w:val="lt-LT"/>
              </w:rPr>
              <w:t xml:space="preserve"> ir</w:t>
            </w:r>
            <w:r w:rsidRPr="00565EDD">
              <w:rPr>
                <w:rFonts w:ascii="Times New Roman" w:hAnsi="Times New Roman"/>
                <w:sz w:val="24"/>
                <w:szCs w:val="24"/>
                <w:lang w:val="lt-LT"/>
              </w:rPr>
              <w:t xml:space="preserve"> produktų</w:t>
            </w:r>
            <w:r w:rsidR="00C0184A" w:rsidRPr="00565EDD">
              <w:rPr>
                <w:rFonts w:ascii="Times New Roman" w:hAnsi="Times New Roman"/>
                <w:sz w:val="24"/>
                <w:szCs w:val="24"/>
                <w:lang w:val="lt-LT"/>
              </w:rPr>
              <w:t xml:space="preserve"> skaičius</w:t>
            </w:r>
            <w:r w:rsidRPr="00565EDD">
              <w:rPr>
                <w:rFonts w:ascii="Times New Roman" w:hAnsi="Times New Roman"/>
                <w:sz w:val="24"/>
                <w:szCs w:val="24"/>
                <w:lang w:val="lt-LT"/>
              </w:rPr>
              <w:t xml:space="preserve"> pakuotėje turi atitikti Lietuvos Respublikos ūkio ministro 2015 m. rugsėjo 25 d. įsakymo Nr. 4-594 „Dėl Fasuotų prekių ir matavimo indų techninio reglamento patvirtinimo“ (aktuali redakcija) reikalavimus. </w:t>
            </w:r>
          </w:p>
          <w:p w14:paraId="0C28A2E1" w14:textId="77777777" w:rsidR="00407B85" w:rsidRPr="00565EDD" w:rsidRDefault="00407B85" w:rsidP="00DE7D2B">
            <w:pPr>
              <w:numPr>
                <w:ilvl w:val="0"/>
                <w:numId w:val="1"/>
              </w:numPr>
              <w:tabs>
                <w:tab w:val="left" w:pos="709"/>
              </w:tabs>
              <w:spacing w:after="120" w:line="240" w:lineRule="auto"/>
              <w:ind w:left="127" w:right="132" w:firstLine="360"/>
              <w:jc w:val="both"/>
              <w:rPr>
                <w:rFonts w:ascii="Times New Roman" w:hAnsi="Times New Roman"/>
                <w:sz w:val="24"/>
                <w:szCs w:val="24"/>
                <w:lang w:val="lt-LT"/>
              </w:rPr>
            </w:pPr>
            <w:r w:rsidRPr="00565EDD">
              <w:rPr>
                <w:rFonts w:ascii="Times New Roman" w:hAnsi="Times New Roman"/>
                <w:sz w:val="24"/>
                <w:szCs w:val="24"/>
                <w:lang w:val="lt-LT"/>
              </w:rPr>
              <w:lastRenderedPageBreak/>
              <w:t xml:space="preserve">Didžiausios leidžiamos cheminių teršalų koncentracijos ir leistini užterštumo radioaktyviaisiais izotopais lygiai turi neviršyti nurodytų Lietuvos Respublikos sveikatos apsaugos ministro 2008 m. rugsėjo 15 d. įsakyme Nr. V-884 „dėl Lietuvos higienos normos HN 54:2008 "Maisto produktai. Didžiausios leidžiamos teršalų ir pesticidų likučių koncentracijos“ patvirtinimo“ ir Komisijos reglamente (EB) Nr. 1881/2006, nustatančiame didžiausias leistinas tam tikrų teršalų maisto produktuose koncentracijas, su pakeitimais ir </w:t>
            </w:r>
            <w:proofErr w:type="spellStart"/>
            <w:r w:rsidRPr="00565EDD">
              <w:rPr>
                <w:rFonts w:ascii="Times New Roman" w:hAnsi="Times New Roman"/>
                <w:sz w:val="24"/>
                <w:szCs w:val="24"/>
                <w:lang w:val="lt-LT"/>
              </w:rPr>
              <w:t>papildymais</w:t>
            </w:r>
            <w:proofErr w:type="spellEnd"/>
            <w:r w:rsidRPr="00565EDD">
              <w:rPr>
                <w:rFonts w:ascii="Times New Roman" w:hAnsi="Times New Roman"/>
                <w:sz w:val="24"/>
                <w:szCs w:val="24"/>
                <w:lang w:val="lt-LT"/>
              </w:rPr>
              <w:t xml:space="preserve">. </w:t>
            </w:r>
          </w:p>
          <w:p w14:paraId="0DFD44FE" w14:textId="77777777" w:rsidR="00407B85" w:rsidRPr="00565EDD" w:rsidRDefault="00407B85" w:rsidP="00DE7D2B">
            <w:pPr>
              <w:numPr>
                <w:ilvl w:val="0"/>
                <w:numId w:val="1"/>
              </w:numPr>
              <w:tabs>
                <w:tab w:val="left" w:pos="709"/>
              </w:tabs>
              <w:spacing w:after="120" w:line="240" w:lineRule="auto"/>
              <w:ind w:left="127" w:right="132" w:firstLine="360"/>
              <w:jc w:val="both"/>
              <w:rPr>
                <w:rFonts w:ascii="Times New Roman" w:hAnsi="Times New Roman"/>
                <w:sz w:val="24"/>
                <w:szCs w:val="24"/>
                <w:lang w:val="lt-LT"/>
              </w:rPr>
            </w:pPr>
            <w:r w:rsidRPr="00565EDD">
              <w:rPr>
                <w:rFonts w:ascii="Times New Roman" w:hAnsi="Times New Roman"/>
                <w:sz w:val="24"/>
                <w:szCs w:val="24"/>
                <w:lang w:val="lt-LT"/>
              </w:rPr>
              <w:t xml:space="preserve">Bendrų lakiųjų azoto bazių (LAB-N) kiekis turi neviršyti ribinių verčių, nurodytų Komisijos reglamente (EB) Nr. 2074/2005.  </w:t>
            </w:r>
          </w:p>
          <w:p w14:paraId="484C810A" w14:textId="77777777" w:rsidR="00407B85" w:rsidRPr="00565EDD" w:rsidRDefault="00407B85" w:rsidP="00DE7D2B">
            <w:pPr>
              <w:numPr>
                <w:ilvl w:val="0"/>
                <w:numId w:val="1"/>
              </w:numPr>
              <w:tabs>
                <w:tab w:val="left" w:pos="709"/>
              </w:tabs>
              <w:spacing w:after="120" w:line="240" w:lineRule="auto"/>
              <w:ind w:left="127" w:right="132" w:firstLine="360"/>
              <w:jc w:val="both"/>
              <w:rPr>
                <w:rFonts w:ascii="Times New Roman" w:hAnsi="Times New Roman"/>
                <w:sz w:val="24"/>
                <w:szCs w:val="24"/>
                <w:lang w:val="lt-LT"/>
              </w:rPr>
            </w:pPr>
            <w:r w:rsidRPr="00565EDD">
              <w:rPr>
                <w:rFonts w:ascii="Times New Roman" w:hAnsi="Times New Roman"/>
                <w:sz w:val="24"/>
                <w:szCs w:val="24"/>
                <w:lang w:val="lt-LT"/>
              </w:rPr>
              <w:t>Produktų ženklinimas ir kita informacija skirta vartotojams turi atitikti Lietuvos Respublikos sveikatos apsaugos ministro 2010 m. lapkričio 16 d. įsakymo Nr. V-989 „Dėl Lietuvos Respublikos sveikatos apsaugos ministro 2002 m. gruodžio 24 d. įsakymo Nr. 677 „Dėl Lietuvos higienos normos HN 119:2002 "Maisto produktų ženklinimas“ tvirtinimo“ pakeitimo ir Europos Parlamento ir Tarybos reglamento (ES) Nr. 1169/2011 „Dėl informacijos apie maistą teikimo vartotojams” reikalavimus.</w:t>
            </w:r>
          </w:p>
          <w:p w14:paraId="39FF4263" w14:textId="77777777" w:rsidR="00407B85" w:rsidRPr="00565EDD" w:rsidRDefault="00407B85" w:rsidP="00DE7D2B">
            <w:pPr>
              <w:numPr>
                <w:ilvl w:val="0"/>
                <w:numId w:val="1"/>
              </w:numPr>
              <w:tabs>
                <w:tab w:val="left" w:pos="709"/>
              </w:tabs>
              <w:spacing w:after="120" w:line="240" w:lineRule="auto"/>
              <w:ind w:left="127" w:right="132" w:firstLine="360"/>
              <w:jc w:val="both"/>
              <w:rPr>
                <w:sz w:val="24"/>
                <w:szCs w:val="24"/>
                <w:lang w:val="lt-LT"/>
              </w:rPr>
            </w:pPr>
            <w:r w:rsidRPr="00565EDD">
              <w:rPr>
                <w:rFonts w:ascii="Times New Roman" w:hAnsi="Times New Roman"/>
                <w:sz w:val="24"/>
                <w:szCs w:val="24"/>
                <w:lang w:val="lt-LT"/>
              </w:rPr>
              <w:t xml:space="preserve">Medžiagos ir žaliavos, skirtos liestis su maistu, turi atitikti 2004 m. spalio 27 d. Europos Parlamento ir Tarybos reglamente (EB) </w:t>
            </w:r>
            <w:proofErr w:type="spellStart"/>
            <w:r w:rsidRPr="00565EDD">
              <w:rPr>
                <w:rFonts w:ascii="Times New Roman" w:hAnsi="Times New Roman"/>
                <w:sz w:val="24"/>
                <w:szCs w:val="24"/>
                <w:lang w:val="lt-LT"/>
              </w:rPr>
              <w:t>Nr</w:t>
            </w:r>
            <w:proofErr w:type="spellEnd"/>
            <w:r w:rsidRPr="00565EDD">
              <w:rPr>
                <w:rFonts w:ascii="Times New Roman" w:hAnsi="Times New Roman"/>
                <w:sz w:val="24"/>
                <w:szCs w:val="24"/>
                <w:lang w:val="lt-LT"/>
              </w:rPr>
              <w:t xml:space="preserve"> 1935/2004 „dėl žaliavų ir gaminių, skirtų liestis su maistu“ ir Lietuvos Respublikos sveikatos apsaugos ministro 2011 m. gegužės 2 d. įsakyme Nr. V-417 „Dėl Lietuvos higienos normos HN 16:2011 „Medžiagų ir gaminių, skirtų liestis su maistu, specialieji sveikatos saugos reikalavimai“ nustatytus reikalavimus.</w:t>
            </w:r>
          </w:p>
          <w:p w14:paraId="49706B7E" w14:textId="77777777" w:rsidR="00407B85" w:rsidRPr="00565EDD" w:rsidRDefault="00407B85" w:rsidP="00DE7D2B">
            <w:pPr>
              <w:tabs>
                <w:tab w:val="left" w:pos="851"/>
                <w:tab w:val="left" w:pos="1134"/>
              </w:tabs>
              <w:spacing w:after="120" w:line="240" w:lineRule="auto"/>
              <w:ind w:left="127" w:right="132"/>
              <w:rPr>
                <w:rFonts w:ascii="Times New Roman" w:hAnsi="Times New Roman"/>
                <w:b/>
                <w:caps/>
                <w:sz w:val="24"/>
                <w:szCs w:val="24"/>
                <w:lang w:val="lt-LT"/>
              </w:rPr>
            </w:pPr>
          </w:p>
          <w:p w14:paraId="78D8A433" w14:textId="6660B234" w:rsidR="00407B85" w:rsidRPr="00565EDD" w:rsidRDefault="00407B85" w:rsidP="00DE7D2B">
            <w:pPr>
              <w:tabs>
                <w:tab w:val="left" w:pos="851"/>
                <w:tab w:val="left" w:pos="1134"/>
              </w:tabs>
              <w:spacing w:after="120" w:line="240" w:lineRule="auto"/>
              <w:ind w:left="127" w:right="132" w:hanging="15"/>
              <w:rPr>
                <w:sz w:val="24"/>
                <w:szCs w:val="24"/>
              </w:rPr>
            </w:pPr>
            <w:r w:rsidRPr="00565EDD">
              <w:rPr>
                <w:rFonts w:ascii="Times New Roman" w:hAnsi="Times New Roman"/>
                <w:b/>
                <w:caps/>
                <w:sz w:val="24"/>
                <w:szCs w:val="24"/>
                <w:lang w:val="lt-LT"/>
              </w:rPr>
              <w:t xml:space="preserve">2. </w:t>
            </w:r>
            <w:r w:rsidRPr="00565EDD">
              <w:rPr>
                <w:rFonts w:ascii="Times New Roman" w:hAnsi="Times New Roman"/>
                <w:b/>
                <w:sz w:val="24"/>
                <w:szCs w:val="24"/>
                <w:lang w:val="lt-LT"/>
              </w:rPr>
              <w:t>Specialieji reikalavimai:</w:t>
            </w:r>
          </w:p>
          <w:p w14:paraId="3163CD4D" w14:textId="4480218B" w:rsidR="00407B85" w:rsidRPr="00565EDD" w:rsidRDefault="00087149" w:rsidP="00DE7D2B">
            <w:pPr>
              <w:numPr>
                <w:ilvl w:val="0"/>
                <w:numId w:val="2"/>
              </w:numPr>
              <w:tabs>
                <w:tab w:val="left" w:pos="720"/>
                <w:tab w:val="left" w:pos="851"/>
                <w:tab w:val="left" w:pos="1134"/>
              </w:tabs>
              <w:overflowPunct w:val="0"/>
              <w:autoSpaceDE w:val="0"/>
              <w:spacing w:after="120" w:line="240" w:lineRule="auto"/>
              <w:ind w:left="127" w:right="132" w:firstLine="567"/>
              <w:jc w:val="both"/>
              <w:rPr>
                <w:rFonts w:ascii="Times New Roman" w:eastAsia="Times New Roman" w:hAnsi="Times New Roman"/>
                <w:sz w:val="24"/>
                <w:szCs w:val="24"/>
                <w:lang w:val="lt-LT" w:eastAsia="lt-LT"/>
              </w:rPr>
            </w:pPr>
            <w:r w:rsidRPr="00565EDD">
              <w:rPr>
                <w:rFonts w:ascii="Times New Roman" w:eastAsia="Times New Roman" w:hAnsi="Times New Roman"/>
                <w:sz w:val="24"/>
                <w:szCs w:val="24"/>
                <w:lang w:val="lt-LT" w:eastAsia="lt-LT"/>
              </w:rPr>
              <w:t>A</w:t>
            </w:r>
            <w:r w:rsidR="00407B85" w:rsidRPr="00565EDD">
              <w:rPr>
                <w:rFonts w:ascii="Times New Roman" w:eastAsia="Times New Roman" w:hAnsi="Times New Roman"/>
                <w:sz w:val="24"/>
                <w:szCs w:val="24"/>
                <w:lang w:val="lt-LT" w:eastAsia="lt-LT"/>
              </w:rPr>
              <w:t>pibrėžtys, pavadinimai ir prekiniai pavadinimai  turi atitikti  2013 m. gruodžio 17 d. Europos Parlamento ir Tarybos reglamento (ES) Nr. 1308/2013, kuriuo nustatomas bendras žemės ūkio produktų rinkų organizavimas &lt;...&gt;.;</w:t>
            </w:r>
          </w:p>
          <w:p w14:paraId="5CC7C25C" w14:textId="77777777" w:rsidR="00407B85" w:rsidRPr="00565EDD" w:rsidRDefault="00407B85" w:rsidP="00DE7D2B">
            <w:pPr>
              <w:numPr>
                <w:ilvl w:val="0"/>
                <w:numId w:val="2"/>
              </w:numPr>
              <w:tabs>
                <w:tab w:val="left" w:pos="720"/>
                <w:tab w:val="left" w:pos="851"/>
                <w:tab w:val="left" w:pos="1134"/>
              </w:tabs>
              <w:overflowPunct w:val="0"/>
              <w:autoSpaceDE w:val="0"/>
              <w:spacing w:after="120" w:line="240" w:lineRule="auto"/>
              <w:ind w:left="127" w:right="132" w:firstLine="567"/>
              <w:jc w:val="both"/>
              <w:rPr>
                <w:rFonts w:ascii="Times New Roman" w:eastAsia="Times New Roman" w:hAnsi="Times New Roman"/>
                <w:sz w:val="24"/>
                <w:szCs w:val="24"/>
                <w:lang w:val="lt-LT" w:eastAsia="lt-LT"/>
              </w:rPr>
            </w:pPr>
            <w:r w:rsidRPr="00565EDD">
              <w:rPr>
                <w:rFonts w:ascii="Times New Roman" w:eastAsia="Times New Roman" w:hAnsi="Times New Roman"/>
                <w:sz w:val="24"/>
                <w:szCs w:val="24"/>
                <w:lang w:val="lt-LT" w:eastAsia="lt-LT"/>
              </w:rPr>
              <w:t>Jautiena ir jos produktų ženklinimas turi atitikti 2000 m. liepos 17 d. Europos Parlamento ir Tarybos reglamento (EB) Nr. 1760/2000, nustatančio galvijų identifikavimo ir registravimo sistemą, reglamentuojančio jautienos bei jos produktų ženklinimą ir panaikinančio Tarybos reglamentą (EB) Nr. 820/9 II antraštinėje dalyje nurodytus reikalavimus  ir 2008 m. birželio 26 d. Lietuvos Respublikos žemės ūkio ministro įsakymu Nr. 3D-359 “Dėl dvylikos mėnesių ir jaunesnių galvijų mėsos ženklinimo” (aktuali redakcija) patvirtintus reikalavimus;</w:t>
            </w:r>
          </w:p>
          <w:p w14:paraId="767836E2" w14:textId="77777777" w:rsidR="00407B85" w:rsidRPr="00565EDD" w:rsidRDefault="00407B85" w:rsidP="00DE7D2B">
            <w:pPr>
              <w:numPr>
                <w:ilvl w:val="0"/>
                <w:numId w:val="2"/>
              </w:numPr>
              <w:tabs>
                <w:tab w:val="left" w:pos="720"/>
                <w:tab w:val="left" w:pos="851"/>
                <w:tab w:val="left" w:pos="1134"/>
              </w:tabs>
              <w:overflowPunct w:val="0"/>
              <w:autoSpaceDE w:val="0"/>
              <w:spacing w:after="120" w:line="240" w:lineRule="auto"/>
              <w:ind w:left="127" w:right="132" w:firstLine="567"/>
              <w:jc w:val="both"/>
              <w:rPr>
                <w:rFonts w:ascii="Times New Roman" w:eastAsia="Times New Roman" w:hAnsi="Times New Roman"/>
                <w:sz w:val="24"/>
                <w:szCs w:val="24"/>
                <w:lang w:val="lt-LT" w:eastAsia="lt-LT"/>
              </w:rPr>
            </w:pPr>
            <w:r w:rsidRPr="00565EDD">
              <w:rPr>
                <w:rFonts w:ascii="Times New Roman" w:eastAsia="Times New Roman" w:hAnsi="Times New Roman"/>
                <w:sz w:val="24"/>
                <w:szCs w:val="24"/>
                <w:lang w:val="lt-LT" w:eastAsia="lt-LT"/>
              </w:rPr>
              <w:t>Skerdenų ir jų gabalų apdorojimo nuostoliai turi atitikti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7DCC7415" w14:textId="77777777" w:rsidR="00407B85" w:rsidRPr="00565EDD" w:rsidRDefault="00407B85" w:rsidP="00DE7D2B">
            <w:pPr>
              <w:numPr>
                <w:ilvl w:val="0"/>
                <w:numId w:val="2"/>
              </w:numPr>
              <w:tabs>
                <w:tab w:val="left" w:pos="720"/>
                <w:tab w:val="left" w:pos="851"/>
                <w:tab w:val="left" w:pos="1134"/>
              </w:tabs>
              <w:overflowPunct w:val="0"/>
              <w:autoSpaceDE w:val="0"/>
              <w:spacing w:after="120" w:line="240" w:lineRule="auto"/>
              <w:ind w:left="127" w:right="132" w:firstLine="567"/>
              <w:jc w:val="both"/>
              <w:rPr>
                <w:rFonts w:ascii="Times New Roman" w:eastAsia="Times New Roman" w:hAnsi="Times New Roman"/>
                <w:sz w:val="24"/>
                <w:szCs w:val="24"/>
                <w:lang w:val="lt-LT" w:eastAsia="lt-LT"/>
              </w:rPr>
            </w:pPr>
            <w:r w:rsidRPr="00565EDD">
              <w:rPr>
                <w:rFonts w:ascii="Times New Roman" w:eastAsia="Times New Roman" w:hAnsi="Times New Roman"/>
                <w:sz w:val="24"/>
                <w:szCs w:val="24"/>
                <w:lang w:val="lt-LT" w:eastAsia="lt-LT"/>
              </w:rPr>
              <w:t>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 (aktuali redakcija);</w:t>
            </w:r>
          </w:p>
          <w:p w14:paraId="74F1DA9B" w14:textId="77777777" w:rsidR="00407B85" w:rsidRPr="00565EDD" w:rsidRDefault="00407B85" w:rsidP="00DE7D2B">
            <w:pPr>
              <w:numPr>
                <w:ilvl w:val="0"/>
                <w:numId w:val="2"/>
              </w:numPr>
              <w:tabs>
                <w:tab w:val="left" w:pos="720"/>
                <w:tab w:val="left" w:pos="851"/>
                <w:tab w:val="left" w:pos="1134"/>
              </w:tabs>
              <w:overflowPunct w:val="0"/>
              <w:autoSpaceDE w:val="0"/>
              <w:spacing w:after="120" w:line="240" w:lineRule="auto"/>
              <w:ind w:left="127" w:right="132" w:firstLine="567"/>
              <w:jc w:val="both"/>
              <w:rPr>
                <w:sz w:val="24"/>
                <w:szCs w:val="24"/>
                <w:lang w:val="lt-LT"/>
              </w:rPr>
            </w:pPr>
            <w:r w:rsidRPr="00565EDD">
              <w:rPr>
                <w:rFonts w:ascii="Times New Roman" w:eastAsia="Times New Roman" w:hAnsi="Times New Roman"/>
                <w:sz w:val="24"/>
                <w:szCs w:val="24"/>
                <w:lang w:val="lt-LT" w:eastAsia="lt-LT"/>
              </w:rPr>
              <w:t>Mikrobiologiniai kriterijai turi atitikti reikalavimus, pateiktus 2007 m. gruodžio 5 d. Komisijos Reglamente (EB) Nr. 1441/2007, iš dalies keičiantis Reglamentą (EB) Nr. 2073/2005 dėl maisto produktų mikrobiologinių kriterijų;</w:t>
            </w:r>
          </w:p>
          <w:p w14:paraId="08CA6A54" w14:textId="190232E7" w:rsidR="00291DC9" w:rsidRPr="00565EDD" w:rsidRDefault="00FE5479" w:rsidP="002605C1">
            <w:pPr>
              <w:spacing w:after="0" w:line="240" w:lineRule="auto"/>
              <w:ind w:right="140"/>
              <w:jc w:val="both"/>
              <w:rPr>
                <w:rFonts w:ascii="Times New Roman" w:eastAsia="Times New Roman" w:hAnsi="Times New Roman"/>
                <w:sz w:val="24"/>
                <w:szCs w:val="24"/>
                <w:lang w:val="lt-LT" w:eastAsia="lt-LT"/>
              </w:rPr>
            </w:pPr>
            <w:r w:rsidRPr="0095445E">
              <w:rPr>
                <w:rFonts w:ascii="Times New Roman" w:hAnsi="Times New Roman"/>
                <w:sz w:val="24"/>
                <w:szCs w:val="24"/>
                <w:lang w:val="lt-LT"/>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2605C1">
              <w:rPr>
                <w:rFonts w:ascii="Times New Roman" w:hAnsi="Times New Roman"/>
                <w:sz w:val="24"/>
                <w:szCs w:val="24"/>
                <w:lang w:val="lt-LT"/>
              </w:rPr>
              <w:t xml:space="preserve"> </w:t>
            </w:r>
            <w:r w:rsidR="00291DC9" w:rsidRPr="00565EDD">
              <w:rPr>
                <w:rFonts w:ascii="Times New Roman" w:eastAsia="Times New Roman" w:hAnsi="Times New Roman"/>
                <w:sz w:val="24"/>
                <w:szCs w:val="24"/>
                <w:lang w:val="lt-LT" w:eastAsia="lt-LT"/>
              </w:rPr>
              <w:t xml:space="preserve">4.1. papunkčiu, perkamoms prekėms, kurios įtrauktos į Tvarkos aprašo 1 priedo „Produktų, kurių viešiesiems pirkimams ir pirkimams taikytini </w:t>
            </w:r>
            <w:r w:rsidR="00291DC9" w:rsidRPr="00565EDD">
              <w:rPr>
                <w:rFonts w:ascii="Times New Roman" w:eastAsia="Times New Roman" w:hAnsi="Times New Roman"/>
                <w:sz w:val="24"/>
                <w:szCs w:val="24"/>
                <w:lang w:val="lt-LT" w:eastAsia="lt-LT"/>
              </w:rPr>
              <w:lastRenderedPageBreak/>
              <w:t>minimalūs aplinkos apsaugos kriterijai, sąrašas“ 8 punktą „Maisto produktai ir maitinimo paslaugos“, taikomi Tvarkos aprašo 2 priedo 8 skyriuose jiems nustatyti minimalūs aplinkos apsaugos kriterijai</w:t>
            </w:r>
            <w:r w:rsidR="003A7CC7" w:rsidRPr="00565EDD">
              <w:rPr>
                <w:rFonts w:ascii="Times New Roman" w:eastAsia="Times New Roman" w:hAnsi="Times New Roman"/>
                <w:sz w:val="24"/>
                <w:szCs w:val="24"/>
                <w:lang w:val="lt-LT" w:eastAsia="lt-LT"/>
              </w:rPr>
              <w:t>:</w:t>
            </w:r>
          </w:p>
          <w:p w14:paraId="5F571A00" w14:textId="0E7B3BB7" w:rsidR="00592EDA" w:rsidRPr="00565EDD" w:rsidRDefault="00592EDA" w:rsidP="00DE7D2B">
            <w:pPr>
              <w:overflowPunct w:val="0"/>
              <w:autoSpaceDE w:val="0"/>
              <w:spacing w:after="120" w:line="240" w:lineRule="auto"/>
              <w:ind w:left="839" w:right="132"/>
              <w:rPr>
                <w:rFonts w:ascii="Times New Roman" w:eastAsia="Times New Roman" w:hAnsi="Times New Roman"/>
                <w:sz w:val="24"/>
                <w:szCs w:val="24"/>
                <w:lang w:val="lt-LT" w:eastAsia="lt-LT"/>
              </w:rPr>
            </w:pPr>
          </w:p>
          <w:p w14:paraId="131AB91C" w14:textId="77777777" w:rsidR="00DB1827" w:rsidRPr="0095445E" w:rsidRDefault="00DB1827" w:rsidP="00DB1827">
            <w:pPr>
              <w:suppressAutoHyphens w:val="0"/>
              <w:autoSpaceDN/>
              <w:spacing w:after="0" w:line="240" w:lineRule="auto"/>
              <w:jc w:val="both"/>
              <w:textAlignment w:val="auto"/>
              <w:rPr>
                <w:rFonts w:ascii="Times New Roman" w:hAnsi="Times New Roman"/>
                <w:sz w:val="24"/>
                <w:szCs w:val="24"/>
                <w:lang w:val="lt-LT" w:eastAsia="lt-LT"/>
              </w:rPr>
            </w:pPr>
            <w:r w:rsidRPr="0095445E">
              <w:rPr>
                <w:rFonts w:ascii="Times New Roman" w:hAnsi="Times New Roman"/>
                <w:sz w:val="24"/>
                <w:szCs w:val="24"/>
                <w:lang w:val="lt-LT" w:eastAsia="lt-LT"/>
              </w:rPr>
              <w:t>8.1. ne mažiau kaip 30 proc. perkamų maisto produktų (išskyrus skirtus gyvūnams) kiekio (kilogramais, litrais, vienetais) turi atitikti bent vieną iš šių minimalių aplinkos apsaugos kriterijų:</w:t>
            </w:r>
          </w:p>
          <w:p w14:paraId="033C243E" w14:textId="77777777" w:rsidR="00DB1827" w:rsidRPr="0095445E" w:rsidRDefault="00DB1827" w:rsidP="00DB1827">
            <w:pPr>
              <w:suppressAutoHyphens w:val="0"/>
              <w:autoSpaceDN/>
              <w:spacing w:after="0" w:line="240" w:lineRule="auto"/>
              <w:jc w:val="both"/>
              <w:textAlignment w:val="auto"/>
              <w:rPr>
                <w:rFonts w:ascii="Times New Roman" w:hAnsi="Times New Roman"/>
                <w:sz w:val="24"/>
                <w:szCs w:val="24"/>
                <w:lang w:val="lt-LT" w:eastAsia="lt-LT"/>
              </w:rPr>
            </w:pPr>
            <w:r w:rsidRPr="0095445E">
              <w:rPr>
                <w:rFonts w:ascii="Times New Roman" w:hAnsi="Times New Roman"/>
                <w:sz w:val="24"/>
                <w:szCs w:val="24"/>
                <w:lang w:val="lt-LT" w:eastAsia="lt-LT"/>
              </w:rPr>
              <w:t xml:space="preserve">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95445E">
              <w:rPr>
                <w:rFonts w:ascii="Times New Roman" w:hAnsi="Times New Roman"/>
                <w:sz w:val="24"/>
                <w:szCs w:val="24"/>
                <w:lang w:val="lt-LT" w:eastAsia="lt-LT"/>
              </w:rPr>
              <w:t>papildymais</w:t>
            </w:r>
            <w:proofErr w:type="spellEnd"/>
            <w:r w:rsidRPr="0095445E">
              <w:rPr>
                <w:rFonts w:ascii="Times New Roman" w:hAnsi="Times New Roman"/>
                <w:sz w:val="24"/>
                <w:szCs w:val="24"/>
                <w:lang w:val="lt-LT" w:eastAsia="lt-LT"/>
              </w:rPr>
              <w:t>, reikalavimus;</w:t>
            </w:r>
          </w:p>
          <w:p w14:paraId="3547136C" w14:textId="77777777" w:rsidR="00DB1827" w:rsidRPr="0095445E" w:rsidRDefault="00DB1827" w:rsidP="00DB1827">
            <w:pPr>
              <w:suppressAutoHyphens w:val="0"/>
              <w:autoSpaceDN/>
              <w:spacing w:after="0" w:line="240" w:lineRule="auto"/>
              <w:jc w:val="both"/>
              <w:textAlignment w:val="auto"/>
              <w:rPr>
                <w:rFonts w:ascii="Times New Roman" w:hAnsi="Times New Roman"/>
                <w:sz w:val="24"/>
                <w:szCs w:val="24"/>
                <w:lang w:val="lt-LT" w:eastAsia="lt-LT"/>
              </w:rPr>
            </w:pPr>
            <w:r w:rsidRPr="0095445E">
              <w:rPr>
                <w:rFonts w:ascii="Times New Roman" w:hAnsi="Times New Roman"/>
                <w:sz w:val="24"/>
                <w:szCs w:val="24"/>
                <w:lang w:val="lt-LT" w:eastAsia="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2C0F939" w14:textId="77777777" w:rsidR="00DB1827" w:rsidRPr="0095445E" w:rsidRDefault="00DB1827" w:rsidP="00DB1827">
            <w:pPr>
              <w:suppressAutoHyphens w:val="0"/>
              <w:autoSpaceDN/>
              <w:spacing w:after="0" w:line="240" w:lineRule="auto"/>
              <w:jc w:val="both"/>
              <w:textAlignment w:val="auto"/>
              <w:rPr>
                <w:rFonts w:ascii="Times New Roman" w:hAnsi="Times New Roman"/>
                <w:sz w:val="24"/>
                <w:szCs w:val="24"/>
                <w:lang w:val="lt-LT" w:eastAsia="lt-LT"/>
              </w:rPr>
            </w:pPr>
            <w:r w:rsidRPr="0095445E">
              <w:rPr>
                <w:rFonts w:ascii="Times New Roman" w:hAnsi="Times New Roman"/>
                <w:sz w:val="24"/>
                <w:szCs w:val="24"/>
                <w:lang w:val="lt-LT" w:eastAsia="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3F91025" w14:textId="77777777" w:rsidR="00DB1827" w:rsidRPr="0095445E" w:rsidRDefault="00DB1827" w:rsidP="00DB1827">
            <w:pPr>
              <w:suppressAutoHyphens w:val="0"/>
              <w:autoSpaceDN/>
              <w:spacing w:after="0" w:line="240" w:lineRule="auto"/>
              <w:jc w:val="both"/>
              <w:textAlignment w:val="auto"/>
              <w:rPr>
                <w:rFonts w:ascii="Times New Roman" w:hAnsi="Times New Roman"/>
                <w:sz w:val="24"/>
                <w:szCs w:val="24"/>
                <w:lang w:val="lt-LT" w:eastAsia="lt-LT"/>
              </w:rPr>
            </w:pPr>
          </w:p>
          <w:p w14:paraId="74ED3CC5" w14:textId="1426B4A7" w:rsidR="00DB1827" w:rsidRPr="0095445E" w:rsidRDefault="00DB1827" w:rsidP="00DB1827">
            <w:pPr>
              <w:suppressAutoHyphens w:val="0"/>
              <w:autoSpaceDN/>
              <w:spacing w:after="0" w:line="240" w:lineRule="auto"/>
              <w:jc w:val="both"/>
              <w:textAlignment w:val="auto"/>
              <w:rPr>
                <w:rFonts w:ascii="Times New Roman" w:hAnsi="Times New Roman"/>
                <w:sz w:val="24"/>
                <w:szCs w:val="24"/>
                <w:lang w:val="lt-LT" w:eastAsia="lt-LT"/>
              </w:rPr>
            </w:pPr>
            <w:r w:rsidRPr="0095445E">
              <w:rPr>
                <w:rFonts w:ascii="Times New Roman" w:hAnsi="Times New Roman"/>
                <w:sz w:val="24"/>
                <w:szCs w:val="24"/>
                <w:lang w:val="lt-LT" w:eastAsia="lt-LT"/>
              </w:rPr>
              <w:t>Atitiktį reikalavimams įrodantys dokumentai: (8.1.1–8.1.</w:t>
            </w:r>
            <w:r w:rsidR="00914C7F" w:rsidRPr="0095445E">
              <w:rPr>
                <w:rFonts w:ascii="Times New Roman" w:hAnsi="Times New Roman"/>
                <w:sz w:val="24"/>
                <w:szCs w:val="24"/>
                <w:lang w:val="lt-LT" w:eastAsia="lt-LT"/>
              </w:rPr>
              <w:t>3</w:t>
            </w:r>
            <w:r w:rsidRPr="0095445E">
              <w:rPr>
                <w:rFonts w:ascii="Times New Roman" w:hAnsi="Times New Roman"/>
                <w:sz w:val="24"/>
                <w:szCs w:val="24"/>
                <w:lang w:val="lt-LT" w:eastAsia="lt-LT"/>
              </w:rPr>
              <w:t xml:space="preserve">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p w14:paraId="76A9A95B" w14:textId="76C1C5A5" w:rsidR="00DB1827" w:rsidRPr="00565EDD" w:rsidRDefault="00DB1827" w:rsidP="00DE7D2B">
            <w:pPr>
              <w:overflowPunct w:val="0"/>
              <w:autoSpaceDE w:val="0"/>
              <w:spacing w:after="120" w:line="240" w:lineRule="auto"/>
              <w:ind w:left="839" w:right="132"/>
              <w:rPr>
                <w:rFonts w:ascii="Times New Roman" w:eastAsia="Times New Roman" w:hAnsi="Times New Roman"/>
                <w:sz w:val="24"/>
                <w:szCs w:val="24"/>
                <w:lang w:val="lt-LT" w:eastAsia="lt-LT"/>
              </w:rPr>
            </w:pPr>
          </w:p>
        </w:tc>
      </w:tr>
    </w:tbl>
    <w:p w14:paraId="13DE014A" w14:textId="77777777" w:rsidR="002B3C91" w:rsidRPr="00565EDD" w:rsidRDefault="002B3C91" w:rsidP="00DE7D2B">
      <w:pPr>
        <w:tabs>
          <w:tab w:val="left" w:pos="720"/>
          <w:tab w:val="left" w:pos="851"/>
          <w:tab w:val="left" w:pos="1134"/>
        </w:tabs>
        <w:overflowPunct w:val="0"/>
        <w:autoSpaceDE w:val="0"/>
        <w:spacing w:after="120" w:line="240" w:lineRule="auto"/>
        <w:jc w:val="both"/>
        <w:rPr>
          <w:sz w:val="24"/>
          <w:szCs w:val="24"/>
          <w:lang w:val="lt-LT"/>
        </w:rPr>
      </w:pPr>
    </w:p>
    <w:p w14:paraId="732558D2" w14:textId="77777777" w:rsidR="00F438BC" w:rsidRPr="00565EDD" w:rsidRDefault="00F438BC" w:rsidP="008B6693">
      <w:pPr>
        <w:rPr>
          <w:rFonts w:ascii="Times New Roman" w:hAnsi="Times New Roman"/>
          <w:b/>
          <w:i/>
          <w:sz w:val="24"/>
          <w:szCs w:val="24"/>
          <w:lang w:val="lt-LT"/>
        </w:rPr>
      </w:pPr>
    </w:p>
    <w:sectPr w:rsidR="00F438BC" w:rsidRPr="00565EDD">
      <w:footerReference w:type="default" r:id="rId10"/>
      <w:pgSz w:w="16838" w:h="11906" w:orient="landscape"/>
      <w:pgMar w:top="1002" w:right="820" w:bottom="567" w:left="1134" w:header="567" w:footer="31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A50EC" w14:textId="77777777" w:rsidR="00000BA1" w:rsidRDefault="00000BA1">
      <w:pPr>
        <w:spacing w:after="0" w:line="240" w:lineRule="auto"/>
      </w:pPr>
      <w:r>
        <w:separator/>
      </w:r>
    </w:p>
  </w:endnote>
  <w:endnote w:type="continuationSeparator" w:id="0">
    <w:p w14:paraId="2433AE6C" w14:textId="77777777" w:rsidR="00000BA1" w:rsidRDefault="00000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69C8" w14:textId="4E661015" w:rsidR="00F8107B" w:rsidRDefault="0065633A">
    <w:pPr>
      <w:pStyle w:val="Porat"/>
      <w:jc w:val="center"/>
    </w:pPr>
    <w:r>
      <w:rPr>
        <w:lang w:val="lt-LT"/>
      </w:rPr>
      <w:fldChar w:fldCharType="begin"/>
    </w:r>
    <w:r>
      <w:rPr>
        <w:lang w:val="lt-LT"/>
      </w:rPr>
      <w:instrText xml:space="preserve"> PAGE </w:instrText>
    </w:r>
    <w:r>
      <w:rPr>
        <w:lang w:val="lt-LT"/>
      </w:rPr>
      <w:fldChar w:fldCharType="separate"/>
    </w:r>
    <w:r w:rsidR="00FC7771">
      <w:rPr>
        <w:noProof/>
        <w:lang w:val="lt-LT"/>
      </w:rPr>
      <w:t>3</w:t>
    </w:r>
    <w:r>
      <w:rPr>
        <w:lang w:val="lt-LT"/>
      </w:rPr>
      <w:fldChar w:fldCharType="end"/>
    </w:r>
  </w:p>
  <w:p w14:paraId="05380F1A" w14:textId="77777777" w:rsidR="00F8107B" w:rsidRDefault="00F810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9A0BE" w14:textId="77777777" w:rsidR="00000BA1" w:rsidRDefault="00000BA1">
      <w:pPr>
        <w:spacing w:after="0" w:line="240" w:lineRule="auto"/>
      </w:pPr>
      <w:r>
        <w:rPr>
          <w:color w:val="000000"/>
        </w:rPr>
        <w:separator/>
      </w:r>
    </w:p>
  </w:footnote>
  <w:footnote w:type="continuationSeparator" w:id="0">
    <w:p w14:paraId="47E01063" w14:textId="77777777" w:rsidR="00000BA1" w:rsidRDefault="00000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C3C"/>
    <w:multiLevelType w:val="hybridMultilevel"/>
    <w:tmpl w:val="DBA61A06"/>
    <w:lvl w:ilvl="0" w:tplc="04270001">
      <w:start w:val="1"/>
      <w:numFmt w:val="bullet"/>
      <w:lvlText w:val=""/>
      <w:lvlJc w:val="left"/>
      <w:pPr>
        <w:ind w:left="1559" w:hanging="360"/>
      </w:pPr>
      <w:rPr>
        <w:rFonts w:ascii="Symbol" w:hAnsi="Symbol" w:hint="default"/>
      </w:rPr>
    </w:lvl>
    <w:lvl w:ilvl="1" w:tplc="04270003" w:tentative="1">
      <w:start w:val="1"/>
      <w:numFmt w:val="bullet"/>
      <w:lvlText w:val="o"/>
      <w:lvlJc w:val="left"/>
      <w:pPr>
        <w:ind w:left="2279" w:hanging="360"/>
      </w:pPr>
      <w:rPr>
        <w:rFonts w:ascii="Courier New" w:hAnsi="Courier New" w:cs="Courier New" w:hint="default"/>
      </w:rPr>
    </w:lvl>
    <w:lvl w:ilvl="2" w:tplc="04270005" w:tentative="1">
      <w:start w:val="1"/>
      <w:numFmt w:val="bullet"/>
      <w:lvlText w:val=""/>
      <w:lvlJc w:val="left"/>
      <w:pPr>
        <w:ind w:left="2999" w:hanging="360"/>
      </w:pPr>
      <w:rPr>
        <w:rFonts w:ascii="Wingdings" w:hAnsi="Wingdings" w:hint="default"/>
      </w:rPr>
    </w:lvl>
    <w:lvl w:ilvl="3" w:tplc="04270001" w:tentative="1">
      <w:start w:val="1"/>
      <w:numFmt w:val="bullet"/>
      <w:lvlText w:val=""/>
      <w:lvlJc w:val="left"/>
      <w:pPr>
        <w:ind w:left="3719" w:hanging="360"/>
      </w:pPr>
      <w:rPr>
        <w:rFonts w:ascii="Symbol" w:hAnsi="Symbol" w:hint="default"/>
      </w:rPr>
    </w:lvl>
    <w:lvl w:ilvl="4" w:tplc="04270003" w:tentative="1">
      <w:start w:val="1"/>
      <w:numFmt w:val="bullet"/>
      <w:lvlText w:val="o"/>
      <w:lvlJc w:val="left"/>
      <w:pPr>
        <w:ind w:left="4439" w:hanging="360"/>
      </w:pPr>
      <w:rPr>
        <w:rFonts w:ascii="Courier New" w:hAnsi="Courier New" w:cs="Courier New" w:hint="default"/>
      </w:rPr>
    </w:lvl>
    <w:lvl w:ilvl="5" w:tplc="04270005" w:tentative="1">
      <w:start w:val="1"/>
      <w:numFmt w:val="bullet"/>
      <w:lvlText w:val=""/>
      <w:lvlJc w:val="left"/>
      <w:pPr>
        <w:ind w:left="5159" w:hanging="360"/>
      </w:pPr>
      <w:rPr>
        <w:rFonts w:ascii="Wingdings" w:hAnsi="Wingdings" w:hint="default"/>
      </w:rPr>
    </w:lvl>
    <w:lvl w:ilvl="6" w:tplc="04270001" w:tentative="1">
      <w:start w:val="1"/>
      <w:numFmt w:val="bullet"/>
      <w:lvlText w:val=""/>
      <w:lvlJc w:val="left"/>
      <w:pPr>
        <w:ind w:left="5879" w:hanging="360"/>
      </w:pPr>
      <w:rPr>
        <w:rFonts w:ascii="Symbol" w:hAnsi="Symbol" w:hint="default"/>
      </w:rPr>
    </w:lvl>
    <w:lvl w:ilvl="7" w:tplc="04270003" w:tentative="1">
      <w:start w:val="1"/>
      <w:numFmt w:val="bullet"/>
      <w:lvlText w:val="o"/>
      <w:lvlJc w:val="left"/>
      <w:pPr>
        <w:ind w:left="6599" w:hanging="360"/>
      </w:pPr>
      <w:rPr>
        <w:rFonts w:ascii="Courier New" w:hAnsi="Courier New" w:cs="Courier New" w:hint="default"/>
      </w:rPr>
    </w:lvl>
    <w:lvl w:ilvl="8" w:tplc="04270005" w:tentative="1">
      <w:start w:val="1"/>
      <w:numFmt w:val="bullet"/>
      <w:lvlText w:val=""/>
      <w:lvlJc w:val="left"/>
      <w:pPr>
        <w:ind w:left="7319" w:hanging="360"/>
      </w:pPr>
      <w:rPr>
        <w:rFonts w:ascii="Wingdings" w:hAnsi="Wingdings" w:hint="default"/>
      </w:rPr>
    </w:lvl>
  </w:abstractNum>
  <w:abstractNum w:abstractNumId="1" w15:restartNumberingAfterBreak="0">
    <w:nsid w:val="37F9151F"/>
    <w:multiLevelType w:val="multilevel"/>
    <w:tmpl w:val="EB748866"/>
    <w:lvl w:ilvl="0">
      <w:numFmt w:val="bullet"/>
      <w:lvlText w:val=""/>
      <w:lvlJc w:val="left"/>
      <w:pPr>
        <w:ind w:left="1211" w:hanging="360"/>
      </w:pPr>
      <w:rPr>
        <w:rFonts w:ascii="Symbol" w:hAnsi="Symbol"/>
        <w:color w:val="auto"/>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C135A3E"/>
    <w:multiLevelType w:val="hybridMultilevel"/>
    <w:tmpl w:val="981627B2"/>
    <w:lvl w:ilvl="0" w:tplc="04270001">
      <w:start w:val="1"/>
      <w:numFmt w:val="bullet"/>
      <w:lvlText w:val=""/>
      <w:lvlJc w:val="left"/>
      <w:pPr>
        <w:ind w:left="1559" w:hanging="360"/>
      </w:pPr>
      <w:rPr>
        <w:rFonts w:ascii="Symbol" w:hAnsi="Symbol" w:hint="default"/>
      </w:rPr>
    </w:lvl>
    <w:lvl w:ilvl="1" w:tplc="04270003" w:tentative="1">
      <w:start w:val="1"/>
      <w:numFmt w:val="bullet"/>
      <w:lvlText w:val="o"/>
      <w:lvlJc w:val="left"/>
      <w:pPr>
        <w:ind w:left="2279" w:hanging="360"/>
      </w:pPr>
      <w:rPr>
        <w:rFonts w:ascii="Courier New" w:hAnsi="Courier New" w:cs="Courier New" w:hint="default"/>
      </w:rPr>
    </w:lvl>
    <w:lvl w:ilvl="2" w:tplc="04270005" w:tentative="1">
      <w:start w:val="1"/>
      <w:numFmt w:val="bullet"/>
      <w:lvlText w:val=""/>
      <w:lvlJc w:val="left"/>
      <w:pPr>
        <w:ind w:left="2999" w:hanging="360"/>
      </w:pPr>
      <w:rPr>
        <w:rFonts w:ascii="Wingdings" w:hAnsi="Wingdings" w:hint="default"/>
      </w:rPr>
    </w:lvl>
    <w:lvl w:ilvl="3" w:tplc="04270001" w:tentative="1">
      <w:start w:val="1"/>
      <w:numFmt w:val="bullet"/>
      <w:lvlText w:val=""/>
      <w:lvlJc w:val="left"/>
      <w:pPr>
        <w:ind w:left="3719" w:hanging="360"/>
      </w:pPr>
      <w:rPr>
        <w:rFonts w:ascii="Symbol" w:hAnsi="Symbol" w:hint="default"/>
      </w:rPr>
    </w:lvl>
    <w:lvl w:ilvl="4" w:tplc="04270003" w:tentative="1">
      <w:start w:val="1"/>
      <w:numFmt w:val="bullet"/>
      <w:lvlText w:val="o"/>
      <w:lvlJc w:val="left"/>
      <w:pPr>
        <w:ind w:left="4439" w:hanging="360"/>
      </w:pPr>
      <w:rPr>
        <w:rFonts w:ascii="Courier New" w:hAnsi="Courier New" w:cs="Courier New" w:hint="default"/>
      </w:rPr>
    </w:lvl>
    <w:lvl w:ilvl="5" w:tplc="04270005" w:tentative="1">
      <w:start w:val="1"/>
      <w:numFmt w:val="bullet"/>
      <w:lvlText w:val=""/>
      <w:lvlJc w:val="left"/>
      <w:pPr>
        <w:ind w:left="5159" w:hanging="360"/>
      </w:pPr>
      <w:rPr>
        <w:rFonts w:ascii="Wingdings" w:hAnsi="Wingdings" w:hint="default"/>
      </w:rPr>
    </w:lvl>
    <w:lvl w:ilvl="6" w:tplc="04270001" w:tentative="1">
      <w:start w:val="1"/>
      <w:numFmt w:val="bullet"/>
      <w:lvlText w:val=""/>
      <w:lvlJc w:val="left"/>
      <w:pPr>
        <w:ind w:left="5879" w:hanging="360"/>
      </w:pPr>
      <w:rPr>
        <w:rFonts w:ascii="Symbol" w:hAnsi="Symbol" w:hint="default"/>
      </w:rPr>
    </w:lvl>
    <w:lvl w:ilvl="7" w:tplc="04270003" w:tentative="1">
      <w:start w:val="1"/>
      <w:numFmt w:val="bullet"/>
      <w:lvlText w:val="o"/>
      <w:lvlJc w:val="left"/>
      <w:pPr>
        <w:ind w:left="6599" w:hanging="360"/>
      </w:pPr>
      <w:rPr>
        <w:rFonts w:ascii="Courier New" w:hAnsi="Courier New" w:cs="Courier New" w:hint="default"/>
      </w:rPr>
    </w:lvl>
    <w:lvl w:ilvl="8" w:tplc="04270005" w:tentative="1">
      <w:start w:val="1"/>
      <w:numFmt w:val="bullet"/>
      <w:lvlText w:val=""/>
      <w:lvlJc w:val="left"/>
      <w:pPr>
        <w:ind w:left="7319" w:hanging="360"/>
      </w:pPr>
      <w:rPr>
        <w:rFonts w:ascii="Wingdings" w:hAnsi="Wingdings" w:hint="default"/>
      </w:rPr>
    </w:lvl>
  </w:abstractNum>
  <w:abstractNum w:abstractNumId="3" w15:restartNumberingAfterBreak="0">
    <w:nsid w:val="59D03BEA"/>
    <w:multiLevelType w:val="multilevel"/>
    <w:tmpl w:val="7BC81A6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804"/>
    <w:rsid w:val="00000BA1"/>
    <w:rsid w:val="000035FA"/>
    <w:rsid w:val="000152EC"/>
    <w:rsid w:val="00020397"/>
    <w:rsid w:val="00087149"/>
    <w:rsid w:val="000A14CE"/>
    <w:rsid w:val="000A4C9F"/>
    <w:rsid w:val="000A7CD3"/>
    <w:rsid w:val="00100D58"/>
    <w:rsid w:val="00104F7C"/>
    <w:rsid w:val="00112C94"/>
    <w:rsid w:val="00131E49"/>
    <w:rsid w:val="001641BB"/>
    <w:rsid w:val="001711FB"/>
    <w:rsid w:val="00171886"/>
    <w:rsid w:val="00177F31"/>
    <w:rsid w:val="0018191E"/>
    <w:rsid w:val="00186571"/>
    <w:rsid w:val="001A11A7"/>
    <w:rsid w:val="001A521D"/>
    <w:rsid w:val="001C1335"/>
    <w:rsid w:val="001E7DAC"/>
    <w:rsid w:val="001F3702"/>
    <w:rsid w:val="0020153D"/>
    <w:rsid w:val="00205F40"/>
    <w:rsid w:val="00236F42"/>
    <w:rsid w:val="002438FA"/>
    <w:rsid w:val="00245FB0"/>
    <w:rsid w:val="002605C1"/>
    <w:rsid w:val="00264976"/>
    <w:rsid w:val="00291DC9"/>
    <w:rsid w:val="00295072"/>
    <w:rsid w:val="002A0834"/>
    <w:rsid w:val="002A1F89"/>
    <w:rsid w:val="002A654E"/>
    <w:rsid w:val="002B3C91"/>
    <w:rsid w:val="002B3EF2"/>
    <w:rsid w:val="003344A8"/>
    <w:rsid w:val="0034128D"/>
    <w:rsid w:val="0035414A"/>
    <w:rsid w:val="00370531"/>
    <w:rsid w:val="00397CDD"/>
    <w:rsid w:val="00397D28"/>
    <w:rsid w:val="003A61E0"/>
    <w:rsid w:val="003A7CC7"/>
    <w:rsid w:val="003E6B44"/>
    <w:rsid w:val="004027C6"/>
    <w:rsid w:val="00407B85"/>
    <w:rsid w:val="00430469"/>
    <w:rsid w:val="00432D6D"/>
    <w:rsid w:val="004640FC"/>
    <w:rsid w:val="0046488C"/>
    <w:rsid w:val="00473B9C"/>
    <w:rsid w:val="004B4E67"/>
    <w:rsid w:val="004E3E98"/>
    <w:rsid w:val="0051217D"/>
    <w:rsid w:val="00512A64"/>
    <w:rsid w:val="00517939"/>
    <w:rsid w:val="00525CCE"/>
    <w:rsid w:val="0052625D"/>
    <w:rsid w:val="00550FF8"/>
    <w:rsid w:val="00565EDD"/>
    <w:rsid w:val="00586EA3"/>
    <w:rsid w:val="00592EDA"/>
    <w:rsid w:val="005A4D84"/>
    <w:rsid w:val="005E1CA7"/>
    <w:rsid w:val="005E2225"/>
    <w:rsid w:val="005E3EAA"/>
    <w:rsid w:val="005E6DB4"/>
    <w:rsid w:val="006207EB"/>
    <w:rsid w:val="006261A8"/>
    <w:rsid w:val="0063568F"/>
    <w:rsid w:val="00642A16"/>
    <w:rsid w:val="00653C2D"/>
    <w:rsid w:val="0065633A"/>
    <w:rsid w:val="006D4772"/>
    <w:rsid w:val="006D55B7"/>
    <w:rsid w:val="006F6DA5"/>
    <w:rsid w:val="007230A4"/>
    <w:rsid w:val="00730A1F"/>
    <w:rsid w:val="00752854"/>
    <w:rsid w:val="007640F3"/>
    <w:rsid w:val="007958D8"/>
    <w:rsid w:val="007C1708"/>
    <w:rsid w:val="007E428D"/>
    <w:rsid w:val="007F5098"/>
    <w:rsid w:val="00827D69"/>
    <w:rsid w:val="008435CF"/>
    <w:rsid w:val="00846218"/>
    <w:rsid w:val="0085568F"/>
    <w:rsid w:val="008A1D5F"/>
    <w:rsid w:val="008A49D2"/>
    <w:rsid w:val="008B6693"/>
    <w:rsid w:val="008B70C5"/>
    <w:rsid w:val="008B7AE5"/>
    <w:rsid w:val="008D5575"/>
    <w:rsid w:val="008D6D66"/>
    <w:rsid w:val="008F74D9"/>
    <w:rsid w:val="00914C7F"/>
    <w:rsid w:val="0093351A"/>
    <w:rsid w:val="0095445E"/>
    <w:rsid w:val="0095651A"/>
    <w:rsid w:val="009639B5"/>
    <w:rsid w:val="009F664C"/>
    <w:rsid w:val="009F7574"/>
    <w:rsid w:val="00A019AD"/>
    <w:rsid w:val="00A13695"/>
    <w:rsid w:val="00A32E88"/>
    <w:rsid w:val="00A524A9"/>
    <w:rsid w:val="00A6628F"/>
    <w:rsid w:val="00AA0BC9"/>
    <w:rsid w:val="00AA2E64"/>
    <w:rsid w:val="00AC3E0C"/>
    <w:rsid w:val="00AE5A69"/>
    <w:rsid w:val="00B16F7D"/>
    <w:rsid w:val="00B56C45"/>
    <w:rsid w:val="00B611F5"/>
    <w:rsid w:val="00B90C4D"/>
    <w:rsid w:val="00B917E3"/>
    <w:rsid w:val="00B9555F"/>
    <w:rsid w:val="00BA31AC"/>
    <w:rsid w:val="00BB33B7"/>
    <w:rsid w:val="00BC50EB"/>
    <w:rsid w:val="00BF3FB3"/>
    <w:rsid w:val="00C0184A"/>
    <w:rsid w:val="00C06622"/>
    <w:rsid w:val="00C13DF6"/>
    <w:rsid w:val="00C14352"/>
    <w:rsid w:val="00C202BB"/>
    <w:rsid w:val="00C31AA5"/>
    <w:rsid w:val="00C3604E"/>
    <w:rsid w:val="00C3632B"/>
    <w:rsid w:val="00C51BA5"/>
    <w:rsid w:val="00C61CD1"/>
    <w:rsid w:val="00C641A6"/>
    <w:rsid w:val="00C83C94"/>
    <w:rsid w:val="00C90887"/>
    <w:rsid w:val="00CE22DB"/>
    <w:rsid w:val="00D01CAC"/>
    <w:rsid w:val="00D377A9"/>
    <w:rsid w:val="00D64745"/>
    <w:rsid w:val="00D83707"/>
    <w:rsid w:val="00D83D14"/>
    <w:rsid w:val="00D93EF7"/>
    <w:rsid w:val="00D97E96"/>
    <w:rsid w:val="00DB1827"/>
    <w:rsid w:val="00DD2ADE"/>
    <w:rsid w:val="00DE7D2B"/>
    <w:rsid w:val="00DF3928"/>
    <w:rsid w:val="00E32A89"/>
    <w:rsid w:val="00E338ED"/>
    <w:rsid w:val="00E84804"/>
    <w:rsid w:val="00E90F74"/>
    <w:rsid w:val="00EB2693"/>
    <w:rsid w:val="00EB77FA"/>
    <w:rsid w:val="00ED1691"/>
    <w:rsid w:val="00ED1C73"/>
    <w:rsid w:val="00EE21FA"/>
    <w:rsid w:val="00EE2FDF"/>
    <w:rsid w:val="00F1776A"/>
    <w:rsid w:val="00F41053"/>
    <w:rsid w:val="00F438BC"/>
    <w:rsid w:val="00F56A31"/>
    <w:rsid w:val="00F56AA1"/>
    <w:rsid w:val="00F6076A"/>
    <w:rsid w:val="00F8107B"/>
    <w:rsid w:val="00FA31AE"/>
    <w:rsid w:val="00FB6E5C"/>
    <w:rsid w:val="00FC7771"/>
    <w:rsid w:val="00FE40DF"/>
    <w:rsid w:val="00FE5479"/>
    <w:rsid w:val="00FF0515"/>
    <w:rsid w:val="00FF2E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2779E"/>
  <w15:docId w15:val="{00B35491-C3DF-4AA8-8BB5-8314626A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basedOn w:val="Numatytasispastraiposriftas"/>
    <w:rPr>
      <w:lang w:val="en-US"/>
    </w:rPr>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rPr>
      <w:lang w:val="en-US"/>
    </w:rPr>
  </w:style>
  <w:style w:type="paragraph" w:styleId="Sraopastraipa">
    <w:name w:val="List Paragraph"/>
    <w:basedOn w:val="prastasis"/>
    <w:pPr>
      <w:ind w:left="720"/>
    </w:pPr>
    <w:rPr>
      <w:lang w:val="lt-LT"/>
    </w:rPr>
  </w:style>
  <w:style w:type="paragraph" w:styleId="Pataisymai">
    <w:name w:val="Revision"/>
    <w:hidden/>
    <w:uiPriority w:val="99"/>
    <w:semiHidden/>
    <w:rsid w:val="00C202BB"/>
    <w:pPr>
      <w:autoSpaceDN/>
      <w:spacing w:after="0" w:line="240" w:lineRule="auto"/>
      <w:textAlignment w:val="auto"/>
    </w:pPr>
    <w:rPr>
      <w:lang w:val="en-US"/>
    </w:rPr>
  </w:style>
  <w:style w:type="character" w:styleId="Komentaronuoroda">
    <w:name w:val="annotation reference"/>
    <w:basedOn w:val="Numatytasispastraiposriftas"/>
    <w:uiPriority w:val="99"/>
    <w:semiHidden/>
    <w:unhideWhenUsed/>
    <w:rsid w:val="00D93EF7"/>
    <w:rPr>
      <w:sz w:val="16"/>
      <w:szCs w:val="16"/>
    </w:rPr>
  </w:style>
  <w:style w:type="paragraph" w:styleId="Komentarotekstas">
    <w:name w:val="annotation text"/>
    <w:basedOn w:val="prastasis"/>
    <w:link w:val="KomentarotekstasDiagrama"/>
    <w:uiPriority w:val="99"/>
    <w:unhideWhenUsed/>
    <w:rsid w:val="00D93E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3EF7"/>
    <w:rPr>
      <w:sz w:val="20"/>
      <w:szCs w:val="20"/>
      <w:lang w:val="en-US"/>
    </w:rPr>
  </w:style>
  <w:style w:type="paragraph" w:styleId="Komentarotema">
    <w:name w:val="annotation subject"/>
    <w:basedOn w:val="Komentarotekstas"/>
    <w:next w:val="Komentarotekstas"/>
    <w:link w:val="KomentarotemaDiagrama"/>
    <w:uiPriority w:val="99"/>
    <w:semiHidden/>
    <w:unhideWhenUsed/>
    <w:rsid w:val="00D93EF7"/>
    <w:rPr>
      <w:b/>
      <w:bCs/>
    </w:rPr>
  </w:style>
  <w:style w:type="character" w:customStyle="1" w:styleId="KomentarotemaDiagrama">
    <w:name w:val="Komentaro tema Diagrama"/>
    <w:basedOn w:val="KomentarotekstasDiagrama"/>
    <w:link w:val="Komentarotema"/>
    <w:uiPriority w:val="99"/>
    <w:semiHidden/>
    <w:rsid w:val="00D93EF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69536">
      <w:bodyDiv w:val="1"/>
      <w:marLeft w:val="0"/>
      <w:marRight w:val="0"/>
      <w:marTop w:val="0"/>
      <w:marBottom w:val="0"/>
      <w:divBdr>
        <w:top w:val="none" w:sz="0" w:space="0" w:color="auto"/>
        <w:left w:val="none" w:sz="0" w:space="0" w:color="auto"/>
        <w:bottom w:val="none" w:sz="0" w:space="0" w:color="auto"/>
        <w:right w:val="none" w:sz="0" w:space="0" w:color="auto"/>
      </w:divBdr>
      <w:divsChild>
        <w:div w:id="1667320230">
          <w:marLeft w:val="0"/>
          <w:marRight w:val="0"/>
          <w:marTop w:val="0"/>
          <w:marBottom w:val="0"/>
          <w:divBdr>
            <w:top w:val="none" w:sz="0" w:space="0" w:color="auto"/>
            <w:left w:val="none" w:sz="0" w:space="0" w:color="auto"/>
            <w:bottom w:val="none" w:sz="0" w:space="0" w:color="auto"/>
            <w:right w:val="none" w:sz="0" w:space="0" w:color="auto"/>
          </w:divBdr>
          <w:divsChild>
            <w:div w:id="736441527">
              <w:marLeft w:val="0"/>
              <w:marRight w:val="0"/>
              <w:marTop w:val="0"/>
              <w:marBottom w:val="0"/>
              <w:divBdr>
                <w:top w:val="none" w:sz="0" w:space="0" w:color="auto"/>
                <w:left w:val="none" w:sz="0" w:space="0" w:color="auto"/>
                <w:bottom w:val="none" w:sz="0" w:space="0" w:color="auto"/>
                <w:right w:val="none" w:sz="0" w:space="0" w:color="auto"/>
              </w:divBdr>
            </w:div>
            <w:div w:id="1441879918">
              <w:marLeft w:val="0"/>
              <w:marRight w:val="0"/>
              <w:marTop w:val="0"/>
              <w:marBottom w:val="0"/>
              <w:divBdr>
                <w:top w:val="none" w:sz="0" w:space="0" w:color="auto"/>
                <w:left w:val="none" w:sz="0" w:space="0" w:color="auto"/>
                <w:bottom w:val="none" w:sz="0" w:space="0" w:color="auto"/>
                <w:right w:val="none" w:sz="0" w:space="0" w:color="auto"/>
              </w:divBdr>
            </w:div>
            <w:div w:id="658730084">
              <w:marLeft w:val="0"/>
              <w:marRight w:val="0"/>
              <w:marTop w:val="0"/>
              <w:marBottom w:val="0"/>
              <w:divBdr>
                <w:top w:val="none" w:sz="0" w:space="0" w:color="auto"/>
                <w:left w:val="none" w:sz="0" w:space="0" w:color="auto"/>
                <w:bottom w:val="none" w:sz="0" w:space="0" w:color="auto"/>
                <w:right w:val="none" w:sz="0" w:space="0" w:color="auto"/>
              </w:divBdr>
            </w:div>
          </w:divsChild>
        </w:div>
        <w:div w:id="19766362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9A989-A629-47B4-BFFD-00178FBEC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902DE-6EC1-49E0-A3C6-113B7DC9F1A7}">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8E671E3B-B8F6-469C-9445-6670C851E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5830</Words>
  <Characters>3324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Centras</dc:creator>
  <cp:lastModifiedBy>Vidmantas Bimbiris</cp:lastModifiedBy>
  <cp:revision>4</cp:revision>
  <dcterms:created xsi:type="dcterms:W3CDTF">2025-03-06T07:11:00Z</dcterms:created>
  <dcterms:modified xsi:type="dcterms:W3CDTF">2025-03-06T07:13:00Z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