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D545" w14:textId="77777777" w:rsidR="004B2353" w:rsidRDefault="004B2353" w:rsidP="00882B78">
      <w:pPr>
        <w:pStyle w:val="NoSpacing"/>
        <w:jc w:val="center"/>
        <w:rPr>
          <w:rStyle w:val="Strong"/>
          <w:rFonts w:ascii="Times New Roman" w:hAnsi="Times New Roman" w:cs="Times New Roman"/>
          <w:sz w:val="28"/>
          <w:szCs w:val="28"/>
        </w:rPr>
      </w:pPr>
    </w:p>
    <w:p w14:paraId="6F536644" w14:textId="77777777" w:rsidR="004B2353" w:rsidRDefault="004B2353" w:rsidP="00882B78">
      <w:pPr>
        <w:pStyle w:val="NoSpacing"/>
        <w:jc w:val="center"/>
        <w:rPr>
          <w:rStyle w:val="Strong"/>
          <w:rFonts w:ascii="Times New Roman" w:hAnsi="Times New Roman" w:cs="Times New Roman"/>
          <w:sz w:val="28"/>
          <w:szCs w:val="28"/>
        </w:rPr>
      </w:pPr>
    </w:p>
    <w:p w14:paraId="789C1AFE" w14:textId="036C2CA6" w:rsidR="004B2353" w:rsidRPr="000C71B3" w:rsidRDefault="004B2353" w:rsidP="004B2353">
      <w:pPr>
        <w:pStyle w:val="NoSpacing"/>
        <w:jc w:val="right"/>
        <w:rPr>
          <w:rStyle w:val="Strong"/>
          <w:rFonts w:ascii="Times New Roman" w:hAnsi="Times New Roman" w:cs="Times New Roman"/>
        </w:rPr>
      </w:pPr>
      <w:r w:rsidRPr="000C71B3">
        <w:rPr>
          <w:rStyle w:val="Strong"/>
          <w:rFonts w:ascii="Times New Roman" w:hAnsi="Times New Roman" w:cs="Times New Roman"/>
        </w:rPr>
        <w:t>Priedas Nr. 2</w:t>
      </w:r>
    </w:p>
    <w:p w14:paraId="3AE38526" w14:textId="379EE2F2" w:rsidR="00BA7DF7" w:rsidRPr="004B2353" w:rsidRDefault="004B2353" w:rsidP="00882B78">
      <w:pPr>
        <w:pStyle w:val="NoSpacing"/>
        <w:jc w:val="center"/>
        <w:rPr>
          <w:rStyle w:val="Strong"/>
          <w:rFonts w:ascii="Times New Roman" w:hAnsi="Times New Roman" w:cs="Times New Roman"/>
          <w:sz w:val="22"/>
          <w:szCs w:val="22"/>
        </w:rPr>
      </w:pPr>
      <w:r w:rsidRPr="004B2353">
        <w:rPr>
          <w:rStyle w:val="Strong"/>
          <w:rFonts w:ascii="Times New Roman" w:hAnsi="Times New Roman" w:cs="Times New Roman"/>
          <w:sz w:val="22"/>
          <w:szCs w:val="22"/>
        </w:rPr>
        <w:t>TECHNINĖ SPECIFIKACIJA</w:t>
      </w:r>
    </w:p>
    <w:p w14:paraId="1FAC5665" w14:textId="77777777" w:rsidR="00BA7DF7" w:rsidRPr="004B2353" w:rsidRDefault="00BA7DF7" w:rsidP="009A3512">
      <w:pPr>
        <w:pStyle w:val="NoSpacing"/>
        <w:jc w:val="both"/>
        <w:rPr>
          <w:rStyle w:val="Strong"/>
          <w:rFonts w:ascii="Times New Roman" w:hAnsi="Times New Roman" w:cs="Times New Roman"/>
          <w:b w:val="0"/>
          <w:bCs w:val="0"/>
          <w:sz w:val="22"/>
          <w:szCs w:val="22"/>
        </w:rPr>
      </w:pPr>
    </w:p>
    <w:p w14:paraId="731F859B" w14:textId="2FCCD2E4" w:rsidR="00BA7DF7" w:rsidRPr="004B2353" w:rsidRDefault="00BA7DF7" w:rsidP="00882B78">
      <w:pPr>
        <w:pStyle w:val="NoSpacing"/>
        <w:ind w:firstLine="1296"/>
        <w:jc w:val="both"/>
        <w:rPr>
          <w:rStyle w:val="Strong"/>
          <w:rFonts w:ascii="Times New Roman" w:hAnsi="Times New Roman" w:cs="Times New Roman"/>
          <w:b w:val="0"/>
          <w:bCs w:val="0"/>
          <w:sz w:val="22"/>
          <w:szCs w:val="22"/>
        </w:rPr>
      </w:pPr>
      <w:bookmarkStart w:id="0" w:name="_Hlk183506835"/>
      <w:r w:rsidRPr="004B2353">
        <w:rPr>
          <w:rStyle w:val="Strong"/>
          <w:rFonts w:ascii="Times New Roman" w:hAnsi="Times New Roman" w:cs="Times New Roman"/>
          <w:b w:val="0"/>
          <w:bCs w:val="0"/>
          <w:sz w:val="22"/>
          <w:szCs w:val="22"/>
        </w:rPr>
        <w:t xml:space="preserve">Duomenų apsaugos pareigūnas turi atlikti 2016 m. balandžio 27 d. Europos Parlamento ir Tarybos reglamente (ES) 2016/679 dėl fizinių asmenų apsaugos tvarkant asmens duomenis ir dėl laisvo tokių duomenų judėjimo ir kuriuo panaikinama Direktyva 95/46IEB (Bendrasis duomenų apsaugos reglamentas, toliau - BDAR), taip pat kituose Europos Sąjungos, Lietuvos Respublikos asmens duomenų teisinės apsaugos įstatyme ir kituose teisės aktuose, reglamentuojančiuose asmens duomenų apsaugą, numatytas užduotis ir funkcijas. </w:t>
      </w:r>
    </w:p>
    <w:p w14:paraId="203FC856" w14:textId="7C9C63F1" w:rsidR="00BA7DF7" w:rsidRPr="003440B4" w:rsidRDefault="00BA7DF7" w:rsidP="00076CBF">
      <w:pPr>
        <w:tabs>
          <w:tab w:val="left" w:pos="0"/>
        </w:tabs>
        <w:spacing w:after="0" w:line="240" w:lineRule="auto"/>
        <w:ind w:firstLine="851"/>
        <w:jc w:val="both"/>
        <w:rPr>
          <w:rStyle w:val="Strong"/>
          <w:rFonts w:ascii="Times New Roman" w:hAnsi="Times New Roman"/>
          <w:b w:val="0"/>
          <w:sz w:val="22"/>
          <w:szCs w:val="22"/>
        </w:rPr>
      </w:pPr>
      <w:r w:rsidRPr="004B2353">
        <w:rPr>
          <w:rStyle w:val="Strong"/>
          <w:rFonts w:ascii="Times New Roman" w:hAnsi="Times New Roman" w:cs="Times New Roman"/>
          <w:b w:val="0"/>
          <w:bCs w:val="0"/>
          <w:sz w:val="22"/>
          <w:szCs w:val="22"/>
        </w:rPr>
        <w:t>Paslaugų įgyvendinimui preliminariai turi būt</w:t>
      </w:r>
      <w:r w:rsidR="009A3512" w:rsidRPr="004B2353">
        <w:rPr>
          <w:rStyle w:val="Strong"/>
          <w:rFonts w:ascii="Times New Roman" w:hAnsi="Times New Roman" w:cs="Times New Roman"/>
          <w:b w:val="0"/>
          <w:bCs w:val="0"/>
          <w:sz w:val="22"/>
          <w:szCs w:val="22"/>
        </w:rPr>
        <w:t>i</w:t>
      </w:r>
      <w:r w:rsidRPr="004B2353">
        <w:rPr>
          <w:rStyle w:val="Strong"/>
          <w:rFonts w:ascii="Times New Roman" w:hAnsi="Times New Roman" w:cs="Times New Roman"/>
          <w:b w:val="0"/>
          <w:bCs w:val="0"/>
          <w:sz w:val="22"/>
          <w:szCs w:val="22"/>
        </w:rPr>
        <w:t xml:space="preserve"> skiriama </w:t>
      </w:r>
      <w:r w:rsidR="006014E6">
        <w:rPr>
          <w:rStyle w:val="Strong"/>
          <w:rFonts w:ascii="Times New Roman" w:hAnsi="Times New Roman" w:cs="Times New Roman"/>
          <w:b w:val="0"/>
          <w:bCs w:val="0"/>
          <w:sz w:val="22"/>
          <w:szCs w:val="22"/>
        </w:rPr>
        <w:t>15</w:t>
      </w:r>
      <w:r w:rsidRPr="004B2353">
        <w:rPr>
          <w:rStyle w:val="Strong"/>
          <w:rFonts w:ascii="Times New Roman" w:hAnsi="Times New Roman" w:cs="Times New Roman"/>
          <w:b w:val="0"/>
          <w:bCs w:val="0"/>
          <w:sz w:val="22"/>
          <w:szCs w:val="22"/>
        </w:rPr>
        <w:t xml:space="preserve"> valandų per mėnes</w:t>
      </w:r>
      <w:r w:rsidR="002F73AA">
        <w:rPr>
          <w:rStyle w:val="Strong"/>
          <w:rFonts w:ascii="Times New Roman" w:hAnsi="Times New Roman" w:cs="Times New Roman"/>
          <w:b w:val="0"/>
          <w:bCs w:val="0"/>
          <w:sz w:val="22"/>
          <w:szCs w:val="22"/>
        </w:rPr>
        <w:t>į</w:t>
      </w:r>
      <w:r w:rsidRPr="004B2353">
        <w:rPr>
          <w:rStyle w:val="Strong"/>
          <w:rFonts w:ascii="Times New Roman" w:hAnsi="Times New Roman" w:cs="Times New Roman"/>
          <w:b w:val="0"/>
          <w:bCs w:val="0"/>
          <w:sz w:val="22"/>
          <w:szCs w:val="22"/>
        </w:rPr>
        <w:t xml:space="preserve">. Esant poreikiui, sutarties galiojimo metu planuojama papildomai įsigyti ne daugiau kaip 50 valandų. Iš viso per visą paslaugų teikimo laikotarpį maksimalus planuojamas pirkti paslaugų kiekis - </w:t>
      </w:r>
      <w:r w:rsidR="006014E6">
        <w:rPr>
          <w:rStyle w:val="Strong"/>
          <w:rFonts w:ascii="Times New Roman" w:hAnsi="Times New Roman" w:cs="Times New Roman"/>
          <w:b w:val="0"/>
          <w:bCs w:val="0"/>
          <w:sz w:val="22"/>
          <w:szCs w:val="22"/>
        </w:rPr>
        <w:t>180</w:t>
      </w:r>
      <w:r w:rsidRPr="004B2353">
        <w:rPr>
          <w:rStyle w:val="Strong"/>
          <w:rFonts w:ascii="Times New Roman" w:hAnsi="Times New Roman" w:cs="Times New Roman"/>
          <w:b w:val="0"/>
          <w:bCs w:val="0"/>
          <w:sz w:val="22"/>
          <w:szCs w:val="22"/>
        </w:rPr>
        <w:t xml:space="preserve"> valandų. Paslaugos teikiamos 1</w:t>
      </w:r>
      <w:r w:rsidR="00F23B72" w:rsidRPr="004B2353">
        <w:rPr>
          <w:rStyle w:val="Strong"/>
          <w:rFonts w:ascii="Times New Roman" w:hAnsi="Times New Roman" w:cs="Times New Roman"/>
          <w:b w:val="0"/>
          <w:bCs w:val="0"/>
          <w:sz w:val="22"/>
          <w:szCs w:val="22"/>
        </w:rPr>
        <w:t>2</w:t>
      </w:r>
      <w:r w:rsidRPr="004B2353">
        <w:rPr>
          <w:rStyle w:val="Strong"/>
          <w:rFonts w:ascii="Times New Roman" w:hAnsi="Times New Roman" w:cs="Times New Roman"/>
          <w:b w:val="0"/>
          <w:bCs w:val="0"/>
          <w:sz w:val="22"/>
          <w:szCs w:val="22"/>
        </w:rPr>
        <w:t xml:space="preserve"> mėnesių nuo sutarties įsigaliojimo dienos. </w:t>
      </w:r>
      <w:r w:rsidR="003440B4" w:rsidRPr="00137462">
        <w:rPr>
          <w:rFonts w:ascii="Times New Roman" w:hAnsi="Times New Roman"/>
          <w:bCs/>
          <w:sz w:val="22"/>
          <w:szCs w:val="22"/>
        </w:rPr>
        <w:t>Sutartį galima  pratęsti 2 kartus po 12 (dvylika) mėnesių. Nei vienai iš šalių raštiškai nepranešus apie Sutarties nutraukimą, sekančiam  12 mėnesių laikotarpiui Sutartis pratęsiama automatiškai. Sutarties galiojimo laikotarpis neturi būti ilgesnis  nei 36 mėnesia</w:t>
      </w:r>
      <w:r w:rsidR="003440B4">
        <w:rPr>
          <w:rFonts w:ascii="Times New Roman" w:hAnsi="Times New Roman"/>
          <w:bCs/>
          <w:sz w:val="22"/>
          <w:szCs w:val="22"/>
        </w:rPr>
        <w:t>i.</w:t>
      </w:r>
    </w:p>
    <w:p w14:paraId="1D522A57" w14:textId="560AD64C" w:rsidR="00BA7DF7" w:rsidRPr="004B2353" w:rsidRDefault="00BA7DF7" w:rsidP="003440B4">
      <w:pPr>
        <w:pStyle w:val="NoSpacing"/>
        <w:ind w:firstLine="1296"/>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Paslaugų teikimo metu paslaugų teikėjas turi</w:t>
      </w:r>
      <w:r w:rsidR="00882B78" w:rsidRPr="004B2353">
        <w:rPr>
          <w:rStyle w:val="Strong"/>
          <w:rFonts w:ascii="Times New Roman" w:hAnsi="Times New Roman" w:cs="Times New Roman"/>
          <w:b w:val="0"/>
          <w:bCs w:val="0"/>
          <w:sz w:val="22"/>
          <w:szCs w:val="22"/>
        </w:rPr>
        <w:t>:</w:t>
      </w:r>
    </w:p>
    <w:p w14:paraId="1CC927DC" w14:textId="1FEC3A82" w:rsidR="00BA7DF7" w:rsidRPr="004B2353" w:rsidRDefault="00BA7DF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583207" w:rsidRPr="004B2353">
        <w:rPr>
          <w:rStyle w:val="Strong"/>
          <w:rFonts w:ascii="Times New Roman" w:hAnsi="Times New Roman" w:cs="Times New Roman"/>
          <w:b w:val="0"/>
          <w:bCs w:val="0"/>
          <w:sz w:val="22"/>
          <w:szCs w:val="22"/>
        </w:rPr>
        <w:t xml:space="preserve"> </w:t>
      </w:r>
      <w:r w:rsidRPr="004B2353">
        <w:rPr>
          <w:rStyle w:val="Strong"/>
          <w:rFonts w:ascii="Times New Roman" w:hAnsi="Times New Roman" w:cs="Times New Roman"/>
          <w:b w:val="0"/>
          <w:bCs w:val="0"/>
          <w:sz w:val="22"/>
          <w:szCs w:val="22"/>
        </w:rPr>
        <w:t>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4399BC04" w14:textId="223604C2" w:rsidR="00BA7DF7" w:rsidRPr="004B2353" w:rsidRDefault="00BA7DF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pagal </w:t>
      </w:r>
      <w:r w:rsidR="00B7484D" w:rsidRPr="004B2353">
        <w:rPr>
          <w:rStyle w:val="Strong"/>
          <w:rFonts w:ascii="Times New Roman" w:hAnsi="Times New Roman" w:cs="Times New Roman"/>
          <w:b w:val="0"/>
          <w:bCs w:val="0"/>
          <w:sz w:val="22"/>
          <w:szCs w:val="22"/>
        </w:rPr>
        <w:t>viešosios įstaigos Utenos ligoninės (toliau – Ligoninės)</w:t>
      </w:r>
      <w:r w:rsidRPr="004B2353">
        <w:rPr>
          <w:rStyle w:val="Strong"/>
          <w:rFonts w:ascii="Times New Roman" w:hAnsi="Times New Roman" w:cs="Times New Roman"/>
          <w:b w:val="0"/>
          <w:bCs w:val="0"/>
          <w:sz w:val="22"/>
          <w:szCs w:val="22"/>
        </w:rPr>
        <w:t xml:space="preserve"> poreikį, iš anksto suderintą abiejų šalių laiką ir vietą, paskirtas darbuotojas turi dalyvauti </w:t>
      </w:r>
      <w:r w:rsidR="00B7484D" w:rsidRPr="004B2353">
        <w:rPr>
          <w:rStyle w:val="Strong"/>
          <w:rFonts w:ascii="Times New Roman" w:hAnsi="Times New Roman" w:cs="Times New Roman"/>
          <w:b w:val="0"/>
          <w:bCs w:val="0"/>
          <w:sz w:val="22"/>
          <w:szCs w:val="22"/>
        </w:rPr>
        <w:t>Ligoninės</w:t>
      </w:r>
      <w:r w:rsidRPr="004B2353">
        <w:rPr>
          <w:rStyle w:val="Strong"/>
          <w:rFonts w:ascii="Times New Roman" w:hAnsi="Times New Roman" w:cs="Times New Roman"/>
          <w:b w:val="0"/>
          <w:bCs w:val="0"/>
          <w:sz w:val="22"/>
          <w:szCs w:val="22"/>
        </w:rPr>
        <w:t xml:space="preserve"> veikloje, susijusioje su asmens duomenų apsauga, arba galinčioje turėti įtakos asmens duomenų apsaugai; </w:t>
      </w:r>
    </w:p>
    <w:p w14:paraId="0489AA8D" w14:textId="42630F77" w:rsidR="0058320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užtikrinti ir kontroliuoti procesų, susijusių su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tvarkomais asmens duomenimis, atitiktį BDAR ir kitų asmens duomenų teisinę apsaugą reglamentuojančių teisės aktų reikalavimams;</w:t>
      </w:r>
    </w:p>
    <w:p w14:paraId="20C4F438" w14:textId="530BAEA4" w:rsidR="0058320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rengti </w:t>
      </w:r>
      <w:r w:rsidR="00F23B72" w:rsidRPr="004B2353">
        <w:rPr>
          <w:rStyle w:val="Strong"/>
          <w:rFonts w:ascii="Times New Roman" w:hAnsi="Times New Roman" w:cs="Times New Roman"/>
          <w:b w:val="0"/>
          <w:bCs w:val="0"/>
          <w:sz w:val="22"/>
          <w:szCs w:val="22"/>
        </w:rPr>
        <w:t xml:space="preserve">Ligoninės </w:t>
      </w:r>
      <w:r w:rsidR="00BA7DF7" w:rsidRPr="004B2353">
        <w:rPr>
          <w:rStyle w:val="Strong"/>
          <w:rFonts w:ascii="Times New Roman" w:hAnsi="Times New Roman" w:cs="Times New Roman"/>
          <w:b w:val="0"/>
          <w:bCs w:val="0"/>
          <w:sz w:val="22"/>
          <w:szCs w:val="22"/>
        </w:rPr>
        <w:t>duomenų tvarkymo veiklos aprašus;</w:t>
      </w:r>
    </w:p>
    <w:p w14:paraId="30EE7848" w14:textId="7973F10A" w:rsidR="00BA7DF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informuoti darbuotojus apie jų pareigas pagal BDAR ir kitus duomenų apsaugą reglamentuojančius teisės aktus ir konsultuoti juos dėl konkrečių pareigų klausimais; </w:t>
      </w:r>
    </w:p>
    <w:p w14:paraId="77597119" w14:textId="0CD17568" w:rsidR="00BA7DF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stebėti, kaip laikomasi BDAR, kitų Europos Sąjungos arba nacionalinių duomenų apsaugos nuostatų ir duomenų valdytojo arba duomenų tvarkytojo politikos asmens duomenų apsaugos srityje, įskaitant pareigų pavedimą, duomenų tvarkymo operacijose dalyvaujančių darbuotojų informuotumo didinimą bei mokymą ir susijusius auditus; </w:t>
      </w:r>
    </w:p>
    <w:p w14:paraId="7836A963" w14:textId="182D7DEA" w:rsidR="00BA7DF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konsultuoti dėl poveikio duomenų apsaugai vertinimo ir stebėti jo atlikimą pagal BDAR reikalavimus; </w:t>
      </w:r>
    </w:p>
    <w:p w14:paraId="1FA46BC4" w14:textId="139BF8CA" w:rsidR="00BA7DF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konsultuoti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darbuotojus visais </w:t>
      </w:r>
      <w:r w:rsidR="003D2477" w:rsidRPr="004B2353">
        <w:rPr>
          <w:rStyle w:val="Strong"/>
          <w:rFonts w:ascii="Times New Roman" w:hAnsi="Times New Roman" w:cs="Times New Roman"/>
          <w:b w:val="0"/>
          <w:bCs w:val="0"/>
          <w:sz w:val="22"/>
          <w:szCs w:val="22"/>
        </w:rPr>
        <w:t xml:space="preserve">Ligoninės </w:t>
      </w:r>
      <w:r w:rsidR="00BA7DF7" w:rsidRPr="004B2353">
        <w:rPr>
          <w:rStyle w:val="Strong"/>
          <w:rFonts w:ascii="Times New Roman" w:hAnsi="Times New Roman" w:cs="Times New Roman"/>
          <w:b w:val="0"/>
          <w:bCs w:val="0"/>
          <w:sz w:val="22"/>
          <w:szCs w:val="22"/>
        </w:rPr>
        <w:t xml:space="preserve">veikloje kylančiais su asmens duomenų apsauga susijusiais klausimais. Konsultacijos turi būti teikiamos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darbo laiku telefonu, elektroniniu paštu arba darbuotojų darbo vietose bei tiksliniuose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darbuotojų susitikimuose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nurodytu laiku ir vietoje;</w:t>
      </w:r>
    </w:p>
    <w:p w14:paraId="6E9A309F" w14:textId="77777777" w:rsidR="00583207"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bendradarbiauti su priežiūros institucija;</w:t>
      </w:r>
    </w:p>
    <w:p w14:paraId="61D9C776" w14:textId="77777777" w:rsidR="009A3512" w:rsidRPr="004B2353" w:rsidRDefault="00583207"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w:t>
      </w: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atlikti kontaktinio asmens funkcijas priežiūros institucijai kreipiantis su duomenų tvarkymu susijusiais klausimais;</w:t>
      </w:r>
    </w:p>
    <w:p w14:paraId="33B94229" w14:textId="736BB1F6"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informuoti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atsakingus asmenis apie bet kokius neatitiki</w:t>
      </w:r>
      <w:r w:rsidRPr="004B2353">
        <w:rPr>
          <w:rStyle w:val="Strong"/>
          <w:rFonts w:ascii="Times New Roman" w:hAnsi="Times New Roman" w:cs="Times New Roman"/>
          <w:b w:val="0"/>
          <w:bCs w:val="0"/>
          <w:sz w:val="22"/>
          <w:szCs w:val="22"/>
        </w:rPr>
        <w:t>m</w:t>
      </w:r>
      <w:r w:rsidR="00BA7DF7" w:rsidRPr="004B2353">
        <w:rPr>
          <w:rStyle w:val="Strong"/>
          <w:rFonts w:ascii="Times New Roman" w:hAnsi="Times New Roman" w:cs="Times New Roman"/>
          <w:b w:val="0"/>
          <w:bCs w:val="0"/>
          <w:sz w:val="22"/>
          <w:szCs w:val="22"/>
        </w:rPr>
        <w:t xml:space="preserve">us, pažeidimus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veikloje asmens duomenų apsaugos srityje ir teikti sprendimų būdus ir priemones pažeidimams šalinti, prevencijai užtikrinti; </w:t>
      </w:r>
    </w:p>
    <w:p w14:paraId="46B2E749" w14:textId="29D278FB"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rengti ir teikti atsakymus į pateiktus </w:t>
      </w:r>
      <w:r w:rsidR="00B7484D" w:rsidRPr="004B2353">
        <w:rPr>
          <w:rStyle w:val="Strong"/>
          <w:rFonts w:ascii="Times New Roman" w:hAnsi="Times New Roman" w:cs="Times New Roman"/>
          <w:b w:val="0"/>
          <w:bCs w:val="0"/>
          <w:sz w:val="22"/>
          <w:szCs w:val="22"/>
        </w:rPr>
        <w:t>Ligoninei</w:t>
      </w:r>
      <w:r w:rsidR="00BA7DF7" w:rsidRPr="004B2353">
        <w:rPr>
          <w:rStyle w:val="Strong"/>
          <w:rFonts w:ascii="Times New Roman" w:hAnsi="Times New Roman" w:cs="Times New Roman"/>
          <w:b w:val="0"/>
          <w:bCs w:val="0"/>
          <w:sz w:val="22"/>
          <w:szCs w:val="22"/>
        </w:rPr>
        <w:t xml:space="preserve"> raštus, prašymus, skundus, susijusius su asmens duomenų tvarkymu ir naudojimusi teisėmis pagal BDAR dėl asmens duomenų apsaugos; </w:t>
      </w:r>
    </w:p>
    <w:p w14:paraId="7CB55E52" w14:textId="75375647"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nuolat atnaujinti informaciją apie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duomenų kategorijas, stebėti</w:t>
      </w:r>
      <w:r w:rsidRPr="004B2353">
        <w:rPr>
          <w:rStyle w:val="Strong"/>
          <w:rFonts w:ascii="Times New Roman" w:hAnsi="Times New Roman" w:cs="Times New Roman"/>
          <w:b w:val="0"/>
          <w:bCs w:val="0"/>
          <w:sz w:val="22"/>
          <w:szCs w:val="22"/>
        </w:rPr>
        <w:t>,</w:t>
      </w:r>
      <w:r w:rsidR="00BA7DF7" w:rsidRPr="004B2353">
        <w:rPr>
          <w:rStyle w:val="Strong"/>
          <w:rFonts w:ascii="Times New Roman" w:hAnsi="Times New Roman" w:cs="Times New Roman"/>
          <w:b w:val="0"/>
          <w:bCs w:val="0"/>
          <w:sz w:val="22"/>
          <w:szCs w:val="22"/>
        </w:rPr>
        <w:t xml:space="preserve"> kad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interneto svetainėje būtų pateikta aktuali, teisės aktus ir BDAR privaloma pateikti informacija apie tvarkomus asmens duomenis, informuot</w:t>
      </w:r>
      <w:r w:rsidR="00B7484D" w:rsidRPr="004B2353">
        <w:rPr>
          <w:rStyle w:val="Strong"/>
          <w:rFonts w:ascii="Times New Roman" w:hAnsi="Times New Roman" w:cs="Times New Roman"/>
          <w:b w:val="0"/>
          <w:bCs w:val="0"/>
          <w:sz w:val="22"/>
          <w:szCs w:val="22"/>
        </w:rPr>
        <w:t>i Ligoninę</w:t>
      </w:r>
      <w:r w:rsidR="00BA7DF7" w:rsidRPr="004B2353">
        <w:rPr>
          <w:rStyle w:val="Strong"/>
          <w:rFonts w:ascii="Times New Roman" w:hAnsi="Times New Roman" w:cs="Times New Roman"/>
          <w:b w:val="0"/>
          <w:bCs w:val="0"/>
          <w:sz w:val="22"/>
          <w:szCs w:val="22"/>
        </w:rPr>
        <w:t xml:space="preserve"> apie poreikį šią informaciją atnaujinti, pateikti medžiagą, kuri turi būti patalpint</w:t>
      </w:r>
      <w:r w:rsidR="00B7484D" w:rsidRPr="004B2353">
        <w:rPr>
          <w:rStyle w:val="Strong"/>
          <w:rFonts w:ascii="Times New Roman" w:hAnsi="Times New Roman" w:cs="Times New Roman"/>
          <w:b w:val="0"/>
          <w:bCs w:val="0"/>
          <w:sz w:val="22"/>
          <w:szCs w:val="22"/>
        </w:rPr>
        <w:t>a Ligoninės</w:t>
      </w:r>
      <w:r w:rsidR="00BA7DF7" w:rsidRPr="004B2353">
        <w:rPr>
          <w:rStyle w:val="Strong"/>
          <w:rFonts w:ascii="Times New Roman" w:hAnsi="Times New Roman" w:cs="Times New Roman"/>
          <w:b w:val="0"/>
          <w:bCs w:val="0"/>
          <w:sz w:val="22"/>
          <w:szCs w:val="22"/>
        </w:rPr>
        <w:t xml:space="preserve"> interneto svetainėje;</w:t>
      </w:r>
    </w:p>
    <w:p w14:paraId="17BE32F7" w14:textId="77777777"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pagal kompetenciją teikti nuomones, išvadas ministerijos rengiamų teisės aktų projektų klausimais;</w:t>
      </w:r>
    </w:p>
    <w:p w14:paraId="41805B22" w14:textId="7BF34077"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dalyvauti rengian</w:t>
      </w:r>
      <w:r w:rsidR="00B7484D" w:rsidRPr="004B2353">
        <w:rPr>
          <w:rStyle w:val="Strong"/>
          <w:rFonts w:ascii="Times New Roman" w:hAnsi="Times New Roman" w:cs="Times New Roman"/>
          <w:b w:val="0"/>
          <w:bCs w:val="0"/>
          <w:sz w:val="22"/>
          <w:szCs w:val="22"/>
        </w:rPr>
        <w:t>t Ligoninės</w:t>
      </w:r>
      <w:r w:rsidR="00BA7DF7" w:rsidRPr="004B2353">
        <w:rPr>
          <w:rStyle w:val="Strong"/>
          <w:rFonts w:ascii="Times New Roman" w:hAnsi="Times New Roman" w:cs="Times New Roman"/>
          <w:b w:val="0"/>
          <w:bCs w:val="0"/>
          <w:sz w:val="22"/>
          <w:szCs w:val="22"/>
        </w:rPr>
        <w:t xml:space="preserve"> vidaus dokumentus, vadybos sistemos dokumentus (tvarkų, procesų, instrukcijų ir pan.), sutartis su trečiaisiais asmenimis ir pagal kompetenciją teikti nuomonę išvadas;</w:t>
      </w:r>
    </w:p>
    <w:p w14:paraId="3AA5EA04" w14:textId="77777777"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atlikti nurodytų dokumentų analizę ir vertinimą ir teikti siūlymus dokumentams tobulinti;</w:t>
      </w:r>
    </w:p>
    <w:p w14:paraId="2DB5A39F" w14:textId="619652C9"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dalyvauti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vidaus/išorės duomenų apsaugos audituose, atlikti asmens duomenų saugumo pažeidimų tyrimus; </w:t>
      </w:r>
    </w:p>
    <w:p w14:paraId="2C52D551" w14:textId="52A2D213"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konsultuoti IT saugos klausimais, susijusiais su BDAR reikalavimų įgyvendinimu; </w:t>
      </w:r>
    </w:p>
    <w:p w14:paraId="0E27DD76" w14:textId="3D662494"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vertinti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IT sistemų atitiktį BDAR ir kitų asmens duomenų apsaugą reglamentuojančių teisės aktų reikalavimams;</w:t>
      </w:r>
    </w:p>
    <w:p w14:paraId="061A7668" w14:textId="77777777" w:rsidR="009A3512"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 raštu pateikti išvadas dėl pateiktų dokumentų projektų ne vėliau kaip per 5 darbo dienas</w:t>
      </w:r>
      <w:r w:rsidRPr="004B2353">
        <w:rPr>
          <w:rStyle w:val="Strong"/>
          <w:rFonts w:ascii="Times New Roman" w:hAnsi="Times New Roman" w:cs="Times New Roman"/>
          <w:b w:val="0"/>
          <w:bCs w:val="0"/>
          <w:sz w:val="22"/>
          <w:szCs w:val="22"/>
        </w:rPr>
        <w:t>,</w:t>
      </w:r>
      <w:r w:rsidR="00BA7DF7" w:rsidRPr="004B2353">
        <w:rPr>
          <w:rStyle w:val="Strong"/>
          <w:rFonts w:ascii="Times New Roman" w:hAnsi="Times New Roman" w:cs="Times New Roman"/>
          <w:b w:val="0"/>
          <w:bCs w:val="0"/>
          <w:sz w:val="22"/>
          <w:szCs w:val="22"/>
        </w:rPr>
        <w:t xml:space="preserve"> o kai pateikiami didelės apimties (10 ar daugiau puslapių) dokumentų projektai, - ne vėliau kaip per 10 darbo dienų;</w:t>
      </w:r>
    </w:p>
    <w:p w14:paraId="1A9464D2" w14:textId="7DF69FA6"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lastRenderedPageBreak/>
        <w:t xml:space="preserve">- </w:t>
      </w:r>
      <w:r w:rsidR="00BA7DF7" w:rsidRPr="004B2353">
        <w:rPr>
          <w:rStyle w:val="Strong"/>
          <w:rFonts w:ascii="Times New Roman" w:hAnsi="Times New Roman" w:cs="Times New Roman"/>
          <w:b w:val="0"/>
          <w:bCs w:val="0"/>
          <w:sz w:val="22"/>
          <w:szCs w:val="22"/>
        </w:rPr>
        <w:t xml:space="preserve"> peržiūrėti ir nuolat atnaujinti </w:t>
      </w:r>
      <w:r w:rsidR="00B7484D" w:rsidRPr="004B2353">
        <w:rPr>
          <w:rStyle w:val="Strong"/>
          <w:rFonts w:ascii="Times New Roman" w:hAnsi="Times New Roman" w:cs="Times New Roman"/>
          <w:b w:val="0"/>
          <w:bCs w:val="0"/>
          <w:sz w:val="22"/>
          <w:szCs w:val="22"/>
        </w:rPr>
        <w:t>Ligoninės</w:t>
      </w:r>
      <w:r w:rsidR="00BA7DF7" w:rsidRPr="004B2353">
        <w:rPr>
          <w:rStyle w:val="Strong"/>
          <w:rFonts w:ascii="Times New Roman" w:hAnsi="Times New Roman" w:cs="Times New Roman"/>
          <w:b w:val="0"/>
          <w:bCs w:val="0"/>
          <w:sz w:val="22"/>
          <w:szCs w:val="22"/>
        </w:rPr>
        <w:t xml:space="preserve"> vidiniame tinklalapyje (intranete) skelbiamą informaciją apie asmens duomenų apsaugą; </w:t>
      </w:r>
    </w:p>
    <w:p w14:paraId="49EC9977" w14:textId="59BA22CB"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teikti su </w:t>
      </w:r>
      <w:r w:rsidR="00B7484D" w:rsidRPr="004B2353">
        <w:rPr>
          <w:rStyle w:val="Strong"/>
          <w:rFonts w:ascii="Times New Roman" w:hAnsi="Times New Roman" w:cs="Times New Roman"/>
          <w:b w:val="0"/>
          <w:bCs w:val="0"/>
          <w:sz w:val="22"/>
          <w:szCs w:val="22"/>
        </w:rPr>
        <w:t>Ligonine</w:t>
      </w:r>
      <w:r w:rsidR="00BA7DF7" w:rsidRPr="004B2353">
        <w:rPr>
          <w:rStyle w:val="Strong"/>
          <w:rFonts w:ascii="Times New Roman" w:hAnsi="Times New Roman" w:cs="Times New Roman"/>
          <w:b w:val="0"/>
          <w:bCs w:val="0"/>
          <w:sz w:val="22"/>
          <w:szCs w:val="22"/>
        </w:rPr>
        <w:t xml:space="preserve"> iš anksto suderintos formos ataskaitas apie atliktus darbus; </w:t>
      </w:r>
    </w:p>
    <w:p w14:paraId="49C903C0" w14:textId="4B082B95" w:rsidR="00BA7DF7" w:rsidRPr="004B2353" w:rsidRDefault="009A3512" w:rsidP="009A3512">
      <w:pPr>
        <w:pStyle w:val="NoSpacing"/>
        <w:jc w:val="both"/>
        <w:rPr>
          <w:rStyle w:val="Strong"/>
          <w:rFonts w:ascii="Times New Roman" w:hAnsi="Times New Roman" w:cs="Times New Roman"/>
          <w:b w:val="0"/>
          <w:bCs w:val="0"/>
          <w:sz w:val="22"/>
          <w:szCs w:val="22"/>
        </w:rPr>
      </w:pPr>
      <w:r w:rsidRPr="004B2353">
        <w:rPr>
          <w:rStyle w:val="Strong"/>
          <w:rFonts w:ascii="Times New Roman" w:hAnsi="Times New Roman" w:cs="Times New Roman"/>
          <w:b w:val="0"/>
          <w:bCs w:val="0"/>
          <w:sz w:val="22"/>
          <w:szCs w:val="22"/>
        </w:rPr>
        <w:t xml:space="preserve">- </w:t>
      </w:r>
      <w:r w:rsidR="00BA7DF7" w:rsidRPr="004B2353">
        <w:rPr>
          <w:rStyle w:val="Strong"/>
          <w:rFonts w:ascii="Times New Roman" w:hAnsi="Times New Roman" w:cs="Times New Roman"/>
          <w:b w:val="0"/>
          <w:bCs w:val="0"/>
          <w:sz w:val="22"/>
          <w:szCs w:val="22"/>
        </w:rPr>
        <w:t xml:space="preserve">atlikti kitus veiksmus, numatytus BDAR. </w:t>
      </w:r>
    </w:p>
    <w:p w14:paraId="63034D07" w14:textId="54D59A90" w:rsidR="00BA7DF7" w:rsidRPr="00AF3A7B" w:rsidRDefault="00BA7DF7" w:rsidP="00AF3A7B">
      <w:pPr>
        <w:pStyle w:val="NoSpacing"/>
        <w:ind w:firstLine="1296"/>
        <w:jc w:val="both"/>
        <w:rPr>
          <w:rFonts w:ascii="Times New Roman" w:hAnsi="Times New Roman" w:cs="Times New Roman"/>
          <w:sz w:val="28"/>
          <w:szCs w:val="28"/>
        </w:rPr>
      </w:pPr>
      <w:r w:rsidRPr="004B2353">
        <w:rPr>
          <w:rFonts w:ascii="Times New Roman" w:hAnsi="Times New Roman" w:cs="Times New Roman"/>
          <w:sz w:val="22"/>
          <w:szCs w:val="22"/>
          <w:lang w:bidi="he-IL"/>
        </w:rPr>
        <w:t>Pirkimas laikomas žaliuoju, kadangi perkama tik nematerialaus pobūdžio (intelektine) paslauga, nesusijusi su materialaus objekto sukūrimu, kurios teikimo metu nėra numatomas reikšmingas neigiamas poveikis aplinkai, nesukuriamas taršos šaltinis ir negeneruojamos atlieko</w:t>
      </w:r>
      <w:r w:rsidRPr="00AF3A7B">
        <w:rPr>
          <w:rFonts w:ascii="Times New Roman" w:hAnsi="Times New Roman" w:cs="Times New Roman"/>
          <w:lang w:bidi="he-IL"/>
        </w:rPr>
        <w:t>s</w:t>
      </w:r>
      <w:r w:rsidR="00B7484D" w:rsidRPr="00AF3A7B">
        <w:rPr>
          <w:rFonts w:ascii="Times New Roman" w:hAnsi="Times New Roman" w:cs="Times New Roman"/>
          <w:lang w:bidi="he-IL"/>
        </w:rPr>
        <w:t>.</w:t>
      </w:r>
      <w:bookmarkEnd w:id="0"/>
    </w:p>
    <w:sectPr w:rsidR="00BA7DF7" w:rsidRPr="00AF3A7B" w:rsidSect="000C71B3">
      <w:pgSz w:w="11906" w:h="16838"/>
      <w:pgMar w:top="56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F7"/>
    <w:rsid w:val="00076CBF"/>
    <w:rsid w:val="000956F2"/>
    <w:rsid w:val="000C71B3"/>
    <w:rsid w:val="000F5018"/>
    <w:rsid w:val="00231CEE"/>
    <w:rsid w:val="002F73AA"/>
    <w:rsid w:val="003440B4"/>
    <w:rsid w:val="003D2477"/>
    <w:rsid w:val="004B2353"/>
    <w:rsid w:val="00583207"/>
    <w:rsid w:val="00587996"/>
    <w:rsid w:val="006014E6"/>
    <w:rsid w:val="006D5987"/>
    <w:rsid w:val="00824ACA"/>
    <w:rsid w:val="00882B78"/>
    <w:rsid w:val="0090363A"/>
    <w:rsid w:val="009A3512"/>
    <w:rsid w:val="00AF3A7B"/>
    <w:rsid w:val="00B7484D"/>
    <w:rsid w:val="00BA7DF7"/>
    <w:rsid w:val="00E548D3"/>
    <w:rsid w:val="00E97D63"/>
    <w:rsid w:val="00F23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606F"/>
  <w15:chartTrackingRefBased/>
  <w15:docId w15:val="{716D4A9A-2A05-4987-87DA-52BB9AA8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F7"/>
    <w:pPr>
      <w:spacing w:line="278" w:lineRule="auto"/>
    </w:pPr>
    <w:rPr>
      <w:rFonts w:eastAsiaTheme="minorEastAsia"/>
      <w:sz w:val="24"/>
      <w:szCs w:val="24"/>
      <w:lang w:eastAsia="lt-LT"/>
    </w:rPr>
  </w:style>
  <w:style w:type="paragraph" w:styleId="Heading1">
    <w:name w:val="heading 1"/>
    <w:basedOn w:val="Normal"/>
    <w:next w:val="Normal"/>
    <w:link w:val="Heading1Char"/>
    <w:uiPriority w:val="9"/>
    <w:qFormat/>
    <w:rsid w:val="00BA7DF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A7DF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BA7DF7"/>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A7DF7"/>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A7DF7"/>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A7DF7"/>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A7DF7"/>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A7DF7"/>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A7DF7"/>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F7"/>
    <w:rPr>
      <w:rFonts w:eastAsiaTheme="majorEastAsia" w:cstheme="majorBidi"/>
      <w:color w:val="272727" w:themeColor="text1" w:themeTint="D8"/>
    </w:rPr>
  </w:style>
  <w:style w:type="paragraph" w:styleId="Title">
    <w:name w:val="Title"/>
    <w:basedOn w:val="Normal"/>
    <w:next w:val="Normal"/>
    <w:link w:val="TitleChar"/>
    <w:uiPriority w:val="10"/>
    <w:qFormat/>
    <w:rsid w:val="00BA7DF7"/>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A7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F7"/>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A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F7"/>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BA7DF7"/>
    <w:rPr>
      <w:i/>
      <w:iCs/>
      <w:color w:val="404040" w:themeColor="text1" w:themeTint="BF"/>
    </w:rPr>
  </w:style>
  <w:style w:type="paragraph" w:styleId="ListParagraph">
    <w:name w:val="List Paragraph"/>
    <w:basedOn w:val="Normal"/>
    <w:uiPriority w:val="34"/>
    <w:qFormat/>
    <w:rsid w:val="00BA7DF7"/>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BA7DF7"/>
    <w:rPr>
      <w:i/>
      <w:iCs/>
      <w:color w:val="0F4761" w:themeColor="accent1" w:themeShade="BF"/>
    </w:rPr>
  </w:style>
  <w:style w:type="paragraph" w:styleId="IntenseQuote">
    <w:name w:val="Intense Quote"/>
    <w:basedOn w:val="Normal"/>
    <w:next w:val="Normal"/>
    <w:link w:val="IntenseQuoteChar"/>
    <w:uiPriority w:val="30"/>
    <w:qFormat/>
    <w:rsid w:val="00BA7DF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A7DF7"/>
    <w:rPr>
      <w:i/>
      <w:iCs/>
      <w:color w:val="0F4761" w:themeColor="accent1" w:themeShade="BF"/>
    </w:rPr>
  </w:style>
  <w:style w:type="character" w:styleId="IntenseReference">
    <w:name w:val="Intense Reference"/>
    <w:basedOn w:val="DefaultParagraphFont"/>
    <w:uiPriority w:val="32"/>
    <w:qFormat/>
    <w:rsid w:val="00BA7DF7"/>
    <w:rPr>
      <w:b/>
      <w:bCs/>
      <w:smallCaps/>
      <w:color w:val="0F4761" w:themeColor="accent1" w:themeShade="BF"/>
      <w:spacing w:val="5"/>
    </w:rPr>
  </w:style>
  <w:style w:type="paragraph" w:customStyle="1" w:styleId="Style">
    <w:name w:val="Style"/>
    <w:rsid w:val="00BA7DF7"/>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lt-LT"/>
    </w:rPr>
  </w:style>
  <w:style w:type="paragraph" w:styleId="NoSpacing">
    <w:name w:val="No Spacing"/>
    <w:uiPriority w:val="1"/>
    <w:qFormat/>
    <w:rsid w:val="00BA7DF7"/>
    <w:pPr>
      <w:spacing w:after="0" w:line="240" w:lineRule="auto"/>
    </w:pPr>
    <w:rPr>
      <w:rFonts w:eastAsiaTheme="minorEastAsia"/>
      <w:sz w:val="24"/>
      <w:szCs w:val="24"/>
      <w:lang w:eastAsia="lt-LT"/>
    </w:rPr>
  </w:style>
  <w:style w:type="character" w:styleId="Strong">
    <w:name w:val="Strong"/>
    <w:basedOn w:val="DefaultParagraphFont"/>
    <w:uiPriority w:val="22"/>
    <w:qFormat/>
    <w:rsid w:val="00AF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3389</Words>
  <Characters>1933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Švilpienė</dc:creator>
  <cp:keywords/>
  <dc:description/>
  <cp:lastModifiedBy>Jolanta Kaselytė</cp:lastModifiedBy>
  <cp:revision>11</cp:revision>
  <cp:lastPrinted>2024-10-18T10:39:00Z</cp:lastPrinted>
  <dcterms:created xsi:type="dcterms:W3CDTF">2024-10-23T05:23:00Z</dcterms:created>
  <dcterms:modified xsi:type="dcterms:W3CDTF">2025-03-06T13:19:00Z</dcterms:modified>
</cp:coreProperties>
</file>