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72B4746E"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0480F">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60480F">
        <w:rPr>
          <w:rFonts w:ascii="Times New Roman" w:hAnsi="Times New Roman"/>
          <w:sz w:val="24"/>
          <w:szCs w:val="24"/>
          <w:lang w:val="lt-LT"/>
        </w:rPr>
        <w:t xml:space="preserve">kovo </w:t>
      </w:r>
      <w:r w:rsidR="00297F23">
        <w:rPr>
          <w:rFonts w:ascii="Times New Roman" w:hAnsi="Times New Roman"/>
          <w:sz w:val="24"/>
          <w:szCs w:val="24"/>
          <w:lang w:val="lt-LT"/>
        </w:rPr>
        <w:t>4</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1726E862"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60480F">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C3735F">
        <w:rPr>
          <w:rFonts w:ascii="Times New Roman" w:hAnsi="Times New Roman"/>
          <w:sz w:val="24"/>
          <w:szCs w:val="24"/>
          <w:lang w:val="lt-LT"/>
        </w:rPr>
        <w:t>74</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798A3A1B" w:rsidR="00C53B3C" w:rsidRPr="00C53B3C" w:rsidRDefault="006B737F" w:rsidP="00C53B3C">
      <w:pPr>
        <w:tabs>
          <w:tab w:val="left" w:pos="1134"/>
        </w:tabs>
        <w:spacing w:after="0" w:line="240" w:lineRule="auto"/>
        <w:jc w:val="center"/>
        <w:rPr>
          <w:b/>
          <w:sz w:val="26"/>
          <w:szCs w:val="26"/>
        </w:rPr>
      </w:pPr>
      <w:r>
        <w:rPr>
          <w:b/>
          <w:sz w:val="26"/>
          <w:szCs w:val="26"/>
        </w:rPr>
        <w:t>DIDELIO DIAMETRO DRENAŽO RINKTUVŲ AVARINIŲ GEDIMŲ TAISYMO DARB</w:t>
      </w:r>
      <w:r w:rsidR="00684A7F">
        <w:rPr>
          <w:b/>
          <w:sz w:val="26"/>
          <w:szCs w:val="26"/>
        </w:rPr>
        <w:t>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7A9073D4" w:rsidR="0054270D" w:rsidRDefault="00D505EF" w:rsidP="00C76B20">
      <w:pPr>
        <w:spacing w:after="0" w:line="240" w:lineRule="auto"/>
        <w:jc w:val="both"/>
      </w:pPr>
      <w:r w:rsidRPr="0054270D">
        <w:t>2 priedas –</w:t>
      </w:r>
      <w:r w:rsidR="00EA3974" w:rsidRPr="0054270D">
        <w:t xml:space="preserve"> </w:t>
      </w:r>
      <w:r w:rsidR="002D0361">
        <w:t xml:space="preserve">Biržų rajono </w:t>
      </w:r>
      <w:r w:rsidR="000A0C90">
        <w:t>Didelio diametro drenažo rinktuvų avarinių gedimų taisymo darbų aprašymai</w:t>
      </w:r>
      <w:r w:rsidR="003A480A">
        <w:t>.</w:t>
      </w:r>
    </w:p>
    <w:p w14:paraId="427C3DD6" w14:textId="629F15C9" w:rsidR="00ED0EB0" w:rsidRPr="0054270D" w:rsidRDefault="00ED0EB0" w:rsidP="00C76B20">
      <w:pPr>
        <w:spacing w:after="0" w:line="240" w:lineRule="auto"/>
        <w:jc w:val="both"/>
      </w:pPr>
      <w:r>
        <w:t>3 priedas – Darbų kiekių žiniaraštis</w:t>
      </w:r>
      <w:r w:rsidR="002831DB">
        <w:t>.</w:t>
      </w:r>
    </w:p>
    <w:p w14:paraId="67785595" w14:textId="4799E6F1" w:rsidR="00C5052E" w:rsidRDefault="00ED0EB0" w:rsidP="0054270D">
      <w:pPr>
        <w:spacing w:after="0" w:line="240" w:lineRule="auto"/>
        <w:jc w:val="both"/>
      </w:pPr>
      <w:r>
        <w:t>4</w:t>
      </w:r>
      <w:r w:rsidR="00C5052E">
        <w:t xml:space="preserve"> priedas – Reikalavimų tiekėjui atitikties deklaracija.</w:t>
      </w:r>
    </w:p>
    <w:p w14:paraId="339394FA" w14:textId="5A88AF33"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B16D26">
      <w:pPr>
        <w:spacing w:before="24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192094E8"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B401DF">
        <w:t xml:space="preserve"> </w:t>
      </w:r>
      <w:r w:rsidR="002D0361">
        <w:t>didelio diametro drenažo rinktuvų avarinių gedimų taisymo darbus.</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97F23">
        <w:rPr>
          <w:color w:val="000000"/>
        </w:rPr>
        <w:t xml:space="preserve"> (Melioracijos darbai)</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EF8A3A9"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123958" w:rsidRPr="00DB0530">
          <w:rPr>
            <w:rStyle w:val="Hipersaitas"/>
            <w:color w:val="auto"/>
          </w:rPr>
          <w:t>https://pirkimai.eviesiejipirkimai.lt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46EBB0B4"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0E53DD" w:rsidRPr="000E53DD">
        <w:rPr>
          <w:szCs w:val="24"/>
        </w:rPr>
        <w:t>Danguolė Šlegerienė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xml:space="preserve">, tel. +370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BC7AD5">
      <w:pPr>
        <w:spacing w:before="24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7F06E57D"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objektas – </w:t>
      </w:r>
      <w:r w:rsidR="0086724C">
        <w:t>didelio diametro drenažo rinktuvų avarinių gedimų taisymo darbai</w:t>
      </w:r>
      <w:r w:rsidR="0046644F" w:rsidRPr="00B401DF">
        <w:rPr>
          <w:szCs w:val="24"/>
        </w:rPr>
        <w:t xml:space="preserv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6EEE51F2" w:rsidR="001F4D61"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566EB3">
        <w:rPr>
          <w:lang w:eastAsia="lt-LT"/>
        </w:rPr>
        <w:t xml:space="preserve">Avarinių gedimų sąrašas pateiktas pirkimų sąlygų 2 priede „Biržų rajono </w:t>
      </w:r>
      <w:r w:rsidR="000A0C90">
        <w:rPr>
          <w:lang w:eastAsia="lt-LT"/>
        </w:rPr>
        <w:t>didelio diametro</w:t>
      </w:r>
      <w:r w:rsidR="00533C78">
        <w:rPr>
          <w:lang w:eastAsia="lt-LT"/>
        </w:rPr>
        <w:t xml:space="preserve"> </w:t>
      </w:r>
      <w:r w:rsidR="000A0C90">
        <w:rPr>
          <w:lang w:eastAsia="lt-LT"/>
        </w:rPr>
        <w:t>drenažo</w:t>
      </w:r>
      <w:r w:rsidR="00533C78">
        <w:rPr>
          <w:lang w:eastAsia="lt-LT"/>
        </w:rPr>
        <w:t xml:space="preserve"> rinktuvų avarinių </w:t>
      </w:r>
      <w:r w:rsidR="00566EB3">
        <w:rPr>
          <w:lang w:eastAsia="lt-LT"/>
        </w:rPr>
        <w:t>gedimų</w:t>
      </w:r>
      <w:r w:rsidR="00533C78">
        <w:rPr>
          <w:lang w:eastAsia="lt-LT"/>
        </w:rPr>
        <w:t xml:space="preserve"> taisymo darbų</w:t>
      </w:r>
      <w:r w:rsidR="00566EB3">
        <w:rPr>
          <w:lang w:eastAsia="lt-LT"/>
        </w:rPr>
        <w:t xml:space="preserve"> aprašymai“ (toliau – darbų kiekių žiniaraštis).</w:t>
      </w:r>
      <w:r w:rsidR="001F4D61">
        <w:rPr>
          <w:lang w:eastAsia="lt-LT"/>
        </w:rPr>
        <w:t xml:space="preserve"> Pateikti minimalūs darbų kiekiai.</w:t>
      </w:r>
    </w:p>
    <w:p w14:paraId="0A232997" w14:textId="7A17C0CF" w:rsidR="00F3685E" w:rsidRPr="00B401DF" w:rsidRDefault="001F4D61" w:rsidP="00F3685E">
      <w:pPr>
        <w:spacing w:after="0" w:line="240" w:lineRule="auto"/>
        <w:ind w:firstLine="720"/>
        <w:jc w:val="both"/>
        <w:rPr>
          <w:lang w:eastAsia="lt-LT"/>
        </w:rPr>
      </w:pPr>
      <w:r>
        <w:rPr>
          <w:lang w:eastAsia="lt-LT"/>
        </w:rPr>
        <w:t xml:space="preserve">2.4. </w:t>
      </w:r>
      <w:r w:rsidR="008938A8">
        <w:rPr>
          <w:lang w:eastAsia="lt-LT"/>
        </w:rPr>
        <w:t xml:space="preserve">Šio pirkimo sutarčiai bus taikoma </w:t>
      </w:r>
      <w:r w:rsidR="00566EB3">
        <w:rPr>
          <w:lang w:eastAsia="lt-LT"/>
        </w:rPr>
        <w:t>fiksuot</w:t>
      </w:r>
      <w:r w:rsidR="008938A8">
        <w:rPr>
          <w:lang w:eastAsia="lt-LT"/>
        </w:rPr>
        <w:t>o</w:t>
      </w:r>
      <w:r w:rsidR="00566EB3">
        <w:rPr>
          <w:lang w:eastAsia="lt-LT"/>
        </w:rPr>
        <w:t xml:space="preserve"> įkaini</w:t>
      </w:r>
      <w:r w:rsidR="008938A8">
        <w:rPr>
          <w:lang w:eastAsia="lt-LT"/>
        </w:rPr>
        <w:t>o</w:t>
      </w:r>
      <w:r w:rsidR="00566EB3">
        <w:rPr>
          <w:lang w:eastAsia="lt-LT"/>
        </w:rPr>
        <w:t xml:space="preserve"> </w:t>
      </w:r>
      <w:r w:rsidR="008938A8">
        <w:rPr>
          <w:lang w:eastAsia="lt-LT"/>
        </w:rPr>
        <w:t>kainodara</w:t>
      </w:r>
      <w:r w:rsidR="00566EB3">
        <w:rPr>
          <w:lang w:eastAsia="lt-LT"/>
        </w:rPr>
        <w:t>. Pasiūlymų vertinimo metu bus vertinama įkainių, padaugintų iš minimalių kiekių, suma. Tiekėjui bus apmokama už faktinį atliktų, sutartyje numatytų, darbų kiekį pagal darbų įkainius, neviršijant</w:t>
      </w:r>
      <w:r>
        <w:rPr>
          <w:lang w:eastAsia="lt-LT"/>
        </w:rPr>
        <w:t xml:space="preserve"> maksimalios pirkimui skirtos lėšų sumos.</w:t>
      </w:r>
      <w:r w:rsidR="00566EB3">
        <w:rPr>
          <w:lang w:eastAsia="lt-LT"/>
        </w:rPr>
        <w:t xml:space="preserve"> </w:t>
      </w:r>
      <w:r>
        <w:rPr>
          <w:lang w:eastAsia="lt-LT"/>
        </w:rPr>
        <w:t xml:space="preserve">Pradinės </w:t>
      </w:r>
      <w:r w:rsidR="00566EB3">
        <w:rPr>
          <w:lang w:eastAsia="lt-LT"/>
        </w:rPr>
        <w:t>sutarties vertė</w:t>
      </w:r>
      <w:r>
        <w:rPr>
          <w:lang w:eastAsia="lt-LT"/>
        </w:rPr>
        <w:t xml:space="preserve"> bus lygi </w:t>
      </w:r>
      <w:r w:rsidR="00566EB3">
        <w:rPr>
          <w:lang w:eastAsia="lt-LT"/>
        </w:rPr>
        <w:t>maksimaliai pirkimui skirtai lėšų sumai be PVM</w:t>
      </w:r>
      <w:r>
        <w:rPr>
          <w:lang w:eastAsia="lt-LT"/>
        </w:rPr>
        <w:t xml:space="preserve"> pirkimo dokumentuose ir sutartyje nurodytų darbų įsigijimui tiekėjo pasiūlyme nurodytais įkainiais be PVM</w:t>
      </w:r>
      <w:r w:rsidR="001A5279" w:rsidRPr="00B401DF">
        <w:rPr>
          <w:lang w:eastAsia="lt-LT"/>
        </w:rPr>
        <w:t>.</w:t>
      </w:r>
      <w:r>
        <w:rPr>
          <w:lang w:eastAsia="lt-LT"/>
        </w:rPr>
        <w:t xml:space="preserve"> Jei sutarties vertė</w:t>
      </w:r>
      <w:r w:rsidR="008938A8">
        <w:rPr>
          <w:lang w:eastAsia="lt-LT"/>
        </w:rPr>
        <w:t xml:space="preserve"> </w:t>
      </w:r>
      <w:r>
        <w:rPr>
          <w:lang w:eastAsia="lt-LT"/>
        </w:rPr>
        <w:t xml:space="preserve">buvo peržiūrėta pagal sutartyje </w:t>
      </w:r>
      <w:r w:rsidR="008938A8">
        <w:rPr>
          <w:lang w:eastAsia="lt-LT"/>
        </w:rPr>
        <w:t>nurodytas kainų peržiūros sąlygas, atitinkamai patikslinama (didėja arba mažėja) pradinės sutarties vertė.</w:t>
      </w:r>
    </w:p>
    <w:p w14:paraId="70A3D4B1" w14:textId="5A701D3B"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021345">
        <w:rPr>
          <w:lang w:eastAsia="lt-LT"/>
        </w:rPr>
        <w:t>ajonas.</w:t>
      </w:r>
    </w:p>
    <w:p w14:paraId="76D659E2" w14:textId="3DBF972F"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566EB3">
        <w:rPr>
          <w:szCs w:val="24"/>
        </w:rPr>
        <w:t xml:space="preserve">Valstybės biudžeto </w:t>
      </w:r>
      <w:r w:rsidR="008938A8" w:rsidRPr="00C130AD">
        <w:rPr>
          <w:iCs/>
          <w:color w:val="000000"/>
          <w:szCs w:val="24"/>
        </w:rPr>
        <w:t>lėšomis</w:t>
      </w:r>
      <w:r w:rsidR="00297F23">
        <w:rPr>
          <w:iCs/>
          <w:color w:val="000000"/>
          <w:szCs w:val="24"/>
        </w:rPr>
        <w:t xml:space="preserve"> skirtomis </w:t>
      </w:r>
      <w:r w:rsidR="00402531">
        <w:rPr>
          <w:iCs/>
          <w:color w:val="000000"/>
          <w:szCs w:val="24"/>
        </w:rPr>
        <w:t>melioracijai</w:t>
      </w:r>
      <w:r>
        <w:rPr>
          <w:iCs/>
          <w:color w:val="000000"/>
          <w:szCs w:val="24"/>
        </w:rPr>
        <w:t>.</w:t>
      </w:r>
    </w:p>
    <w:p w14:paraId="6A7ABAAD" w14:textId="795ED4D8" w:rsidR="00E41DC1" w:rsidRDefault="00E41DC1" w:rsidP="00F3685E">
      <w:pPr>
        <w:spacing w:after="0" w:line="240" w:lineRule="auto"/>
        <w:ind w:firstLine="720"/>
        <w:jc w:val="both"/>
        <w:rPr>
          <w:lang w:eastAsia="lt-LT"/>
        </w:rPr>
      </w:pPr>
      <w:r>
        <w:rPr>
          <w:iCs/>
          <w:color w:val="000000"/>
          <w:szCs w:val="24"/>
        </w:rPr>
        <w:t xml:space="preserve">2.8. </w:t>
      </w:r>
      <w:r w:rsidR="0046644F">
        <w:rPr>
          <w:iCs/>
          <w:color w:val="000000"/>
          <w:szCs w:val="24"/>
        </w:rPr>
        <w:t xml:space="preserve">Darbų atlikimo terminas </w:t>
      </w:r>
      <w:r w:rsidR="004E0E40">
        <w:rPr>
          <w:iCs/>
          <w:color w:val="000000"/>
          <w:szCs w:val="24"/>
        </w:rPr>
        <w:t xml:space="preserve">yra </w:t>
      </w:r>
      <w:r w:rsidR="00402531">
        <w:rPr>
          <w:iCs/>
          <w:color w:val="000000"/>
          <w:szCs w:val="24"/>
        </w:rPr>
        <w:t>11</w:t>
      </w:r>
      <w:r w:rsidR="0046644F">
        <w:rPr>
          <w:iCs/>
          <w:color w:val="000000"/>
          <w:szCs w:val="24"/>
        </w:rPr>
        <w:t xml:space="preserve"> (</w:t>
      </w:r>
      <w:r w:rsidR="00402531">
        <w:rPr>
          <w:iCs/>
          <w:color w:val="000000"/>
          <w:szCs w:val="24"/>
        </w:rPr>
        <w:t>vienuolika</w:t>
      </w:r>
      <w:r w:rsidR="0046644F">
        <w:rPr>
          <w:iCs/>
          <w:color w:val="000000"/>
          <w:szCs w:val="24"/>
        </w:rPr>
        <w:t>)</w:t>
      </w:r>
      <w:r>
        <w:rPr>
          <w:iCs/>
          <w:color w:val="000000"/>
          <w:szCs w:val="24"/>
        </w:rPr>
        <w:t xml:space="preserve"> mėnes</w:t>
      </w:r>
      <w:r w:rsidR="00402531">
        <w:rPr>
          <w:iCs/>
          <w:color w:val="000000"/>
          <w:szCs w:val="24"/>
        </w:rPr>
        <w:t>ių</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402531">
        <w:rPr>
          <w:iCs/>
          <w:color w:val="000000"/>
          <w:szCs w:val="24"/>
        </w:rPr>
        <w:t>12</w:t>
      </w:r>
      <w:r w:rsidR="00566EB3">
        <w:rPr>
          <w:iCs/>
          <w:color w:val="000000"/>
          <w:szCs w:val="24"/>
        </w:rPr>
        <w:t xml:space="preserve"> (</w:t>
      </w:r>
      <w:r w:rsidR="00402531">
        <w:rPr>
          <w:iCs/>
          <w:color w:val="000000"/>
          <w:szCs w:val="24"/>
        </w:rPr>
        <w:t>dvylika</w:t>
      </w:r>
      <w:r w:rsidR="00566EB3">
        <w:rPr>
          <w:iCs/>
          <w:color w:val="000000"/>
          <w:szCs w:val="24"/>
        </w:rPr>
        <w:t>) mėnes</w:t>
      </w:r>
      <w:r w:rsidR="00402531">
        <w:rPr>
          <w:iCs/>
          <w:color w:val="000000"/>
          <w:szCs w:val="24"/>
        </w:rPr>
        <w:t>ių</w:t>
      </w:r>
      <w:r w:rsidR="00566EB3">
        <w:rPr>
          <w:iCs/>
          <w:color w:val="000000"/>
          <w:szCs w:val="24"/>
        </w:rPr>
        <w:t xml:space="preserve"> nuo sutarties pasirašymo dienos.</w:t>
      </w:r>
    </w:p>
    <w:p w14:paraId="01FF2900" w14:textId="0E69868E" w:rsidR="00F3685E" w:rsidRPr="00B401DF" w:rsidRDefault="00E41DC1" w:rsidP="00F3685E">
      <w:pPr>
        <w:spacing w:after="0" w:line="240" w:lineRule="auto"/>
        <w:ind w:firstLine="720"/>
        <w:jc w:val="both"/>
        <w:rPr>
          <w:lang w:eastAsia="lt-LT"/>
        </w:rPr>
      </w:pPr>
      <w:r>
        <w:rPr>
          <w:lang w:eastAsia="lt-LT"/>
        </w:rPr>
        <w:t xml:space="preserve">2.9. </w:t>
      </w:r>
      <w:r w:rsidR="00566EB3">
        <w:rPr>
          <w:lang w:eastAsia="lt-LT"/>
        </w:rPr>
        <w:t xml:space="preserve">Maksimali pirkimui skirta lėšų suma </w:t>
      </w:r>
      <w:r w:rsidR="00F718C0" w:rsidRPr="009F4C39">
        <w:rPr>
          <w:b/>
          <w:bCs/>
          <w:lang w:eastAsia="lt-LT"/>
        </w:rPr>
        <w:t xml:space="preserve">yra </w:t>
      </w:r>
      <w:r w:rsidR="00533C78">
        <w:rPr>
          <w:b/>
          <w:bCs/>
          <w:lang w:eastAsia="lt-LT"/>
        </w:rPr>
        <w:t>50</w:t>
      </w:r>
      <w:r w:rsidR="0046644F">
        <w:rPr>
          <w:b/>
          <w:bCs/>
          <w:lang w:eastAsia="lt-LT"/>
        </w:rPr>
        <w:t> </w:t>
      </w:r>
      <w:r w:rsidR="00F718C0" w:rsidRPr="009F4C39">
        <w:rPr>
          <w:b/>
          <w:bCs/>
          <w:lang w:eastAsia="lt-LT"/>
        </w:rPr>
        <w:t>0</w:t>
      </w:r>
      <w:r w:rsidR="0046644F">
        <w:rPr>
          <w:b/>
          <w:bCs/>
          <w:lang w:eastAsia="lt-LT"/>
        </w:rPr>
        <w:t>00,00</w:t>
      </w:r>
      <w:r w:rsidR="00F718C0" w:rsidRPr="009F4C39">
        <w:rPr>
          <w:b/>
          <w:bCs/>
          <w:lang w:eastAsia="lt-LT"/>
        </w:rPr>
        <w:t xml:space="preserve"> Eur</w:t>
      </w:r>
      <w:r w:rsidR="00533C78">
        <w:rPr>
          <w:b/>
          <w:bCs/>
          <w:lang w:eastAsia="lt-LT"/>
        </w:rPr>
        <w:t xml:space="preserve"> </w:t>
      </w:r>
      <w:r w:rsidR="00F3685E" w:rsidRPr="009F4C39">
        <w:rPr>
          <w:b/>
          <w:bCs/>
          <w:lang w:eastAsia="lt-LT"/>
        </w:rPr>
        <w:t>be PVM</w:t>
      </w:r>
      <w:r w:rsidR="00F3685E" w:rsidRPr="00B401DF">
        <w:rPr>
          <w:lang w:eastAsia="lt-LT"/>
        </w:rPr>
        <w:t>.</w:t>
      </w:r>
    </w:p>
    <w:p w14:paraId="194F3FB3" w14:textId="50B0DC8F" w:rsidR="00F3685E" w:rsidRPr="00F3685E" w:rsidRDefault="00F3685E" w:rsidP="00F3685E">
      <w:pPr>
        <w:spacing w:after="0" w:line="240" w:lineRule="auto"/>
        <w:ind w:firstLine="720"/>
        <w:jc w:val="both"/>
        <w:rPr>
          <w:lang w:eastAsia="lt-LT"/>
        </w:rPr>
      </w:pPr>
    </w:p>
    <w:p w14:paraId="581D307B" w14:textId="77777777" w:rsidR="00790B45" w:rsidRDefault="00790B45" w:rsidP="00BC7AD5">
      <w:pPr>
        <w:pStyle w:val="Antrat1"/>
        <w:numPr>
          <w:ilvl w:val="0"/>
          <w:numId w:val="0"/>
        </w:numPr>
        <w:spacing w:before="240"/>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shd w:val="clear" w:color="auto" w:fill="auto"/>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shd w:val="clear" w:color="auto" w:fill="auto"/>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shd w:val="clear" w:color="auto" w:fill="auto"/>
          </w:tcPr>
          <w:p w14:paraId="0F820000" w14:textId="03970BB2"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Su pasiūlymu turi būti pateikta Reikalavimų tiekėjui atitikties deklaracija (šių pirkimo sąlygų 4 priedas)</w:t>
            </w:r>
          </w:p>
        </w:tc>
      </w:tr>
      <w:tr w:rsidR="00640F59" w:rsidRPr="00550B45" w14:paraId="1F68202E" w14:textId="77777777" w:rsidTr="00640F59">
        <w:tc>
          <w:tcPr>
            <w:tcW w:w="711" w:type="dxa"/>
            <w:shd w:val="clear" w:color="auto" w:fill="auto"/>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shd w:val="clear" w:color="auto" w:fill="auto"/>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lastRenderedPageBreak/>
              <w:t xml:space="preserve">Šiuo pagrindu tiekėjas taip pat pašalinamas iš pirkimo procedūros, kai, vadovaujantis kitų 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009FE27A" w14:textId="38898FDE"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shd w:val="clear" w:color="auto" w:fill="auto"/>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shd w:val="clear" w:color="auto" w:fill="auto"/>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shd w:val="clear" w:color="auto" w:fill="auto"/>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shd w:val="clear" w:color="auto" w:fill="auto"/>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shd w:val="clear" w:color="auto" w:fill="auto"/>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shd w:val="clear" w:color="auto" w:fill="auto"/>
          </w:tcPr>
          <w:p w14:paraId="0E7CB587" w14:textId="77777777" w:rsidR="00E221AC" w:rsidRPr="005861AB" w:rsidRDefault="00E221AC" w:rsidP="00E221AC">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E221AC">
            <w:pPr>
              <w:pStyle w:val="Porat"/>
              <w:spacing w:line="256" w:lineRule="auto"/>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shd w:val="clear" w:color="auto" w:fill="auto"/>
          </w:tcPr>
          <w:p w14:paraId="31472B6A" w14:textId="75170F08" w:rsidR="006007DD" w:rsidRDefault="006007DD" w:rsidP="007845FB">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125956C8" w14:textId="77777777" w:rsidR="006007DD" w:rsidRDefault="006007DD" w:rsidP="007845FB">
            <w:pPr>
              <w:spacing w:after="0" w:line="240" w:lineRule="auto"/>
              <w:jc w:val="both"/>
              <w:rPr>
                <w:szCs w:val="24"/>
              </w:rPr>
            </w:pPr>
            <w:r>
              <w:rPr>
                <w:szCs w:val="24"/>
              </w:rPr>
              <w:t>Dokumentai, kuriuos turės pateikti galimas laimėtojas:</w:t>
            </w:r>
          </w:p>
          <w:p w14:paraId="19645F54" w14:textId="77777777" w:rsidR="00E221AC" w:rsidRPr="005861AB" w:rsidRDefault="00E221AC" w:rsidP="00E221AC">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E221AC">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E221AC">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E221AC">
            <w:pPr>
              <w:pStyle w:val="Pagrindinistekstas"/>
              <w:spacing w:after="0" w:line="240" w:lineRule="auto"/>
              <w:jc w:val="both"/>
              <w:rPr>
                <w:rFonts w:eastAsia="Times New Roman"/>
                <w:bCs/>
                <w:iCs/>
                <w:sz w:val="22"/>
              </w:rPr>
            </w:pPr>
          </w:p>
          <w:p w14:paraId="484D2135" w14:textId="77777777" w:rsidR="00E221AC" w:rsidRDefault="00E221AC" w:rsidP="00E221AC">
            <w:pPr>
              <w:tabs>
                <w:tab w:val="num" w:pos="122"/>
                <w:tab w:val="left" w:pos="1980"/>
              </w:tabs>
              <w:jc w:val="both"/>
              <w:rPr>
                <w:i/>
                <w:iCs/>
                <w:sz w:val="22"/>
              </w:rPr>
            </w:pPr>
            <w:r w:rsidRPr="00775638">
              <w:rPr>
                <w:i/>
                <w:iCs/>
                <w:sz w:val="22"/>
              </w:rPr>
              <w:t>Pastabos:</w:t>
            </w:r>
          </w:p>
          <w:p w14:paraId="51FFBF67" w14:textId="77777777" w:rsidR="00E221AC" w:rsidRPr="0016013D" w:rsidRDefault="00E221AC" w:rsidP="00E221AC">
            <w:pPr>
              <w:tabs>
                <w:tab w:val="num" w:pos="122"/>
                <w:tab w:val="left" w:pos="1980"/>
              </w:tabs>
              <w:jc w:val="both"/>
              <w:rPr>
                <w:sz w:val="22"/>
              </w:rPr>
            </w:pPr>
            <w:r w:rsidRPr="0016013D">
              <w:rPr>
                <w:sz w:val="22"/>
              </w:rPr>
              <w:t>1) jeigu pasiūlymą teikia ūkio subjektų grupė – reikalavimą turi atitikti kiekvienas ūkio subjektų grupės narys (-iai), pagal jų prisiimamus įsipareigojimus pirkimo sutarčiai vykdyti;</w:t>
            </w:r>
          </w:p>
          <w:p w14:paraId="5B5EA164" w14:textId="77777777" w:rsidR="00E221AC" w:rsidRPr="0016013D" w:rsidRDefault="00E221AC" w:rsidP="00E221AC">
            <w:pPr>
              <w:tabs>
                <w:tab w:val="num" w:pos="122"/>
                <w:tab w:val="left" w:pos="1980"/>
              </w:tabs>
              <w:jc w:val="both"/>
              <w:rPr>
                <w:sz w:val="22"/>
              </w:rPr>
            </w:pPr>
            <w:r w:rsidRPr="0016013D">
              <w:rPr>
                <w:sz w:val="22"/>
              </w:rPr>
              <w:t xml:space="preserve">2) tiekėjas gali remtis kitų ūkio subjektų pajėgumais tik tuomet, kai tie subjektai, kurių </w:t>
            </w:r>
            <w:r w:rsidRPr="0016013D">
              <w:rPr>
                <w:sz w:val="22"/>
              </w:rPr>
              <w:lastRenderedPageBreak/>
              <w:t>pajėgumais buvo pasiremta, patys atliks darbus, kuriems reikia jų pajėgumų;</w:t>
            </w:r>
          </w:p>
          <w:p w14:paraId="45A9AD26" w14:textId="58626466" w:rsidR="00E221AC" w:rsidRDefault="00E221AC" w:rsidP="00E221AC">
            <w:pPr>
              <w:spacing w:after="0" w:line="240" w:lineRule="auto"/>
              <w:jc w:val="both"/>
              <w:rPr>
                <w:szCs w:val="24"/>
              </w:rPr>
            </w:pPr>
            <w:r w:rsidRPr="0016013D">
              <w:rPr>
                <w:sz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6A555FD9" w14:textId="77777777" w:rsidR="006007DD" w:rsidRPr="0017305D" w:rsidRDefault="006007DD" w:rsidP="007845FB">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shd w:val="clear" w:color="auto" w:fill="auto"/>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shd w:val="clear" w:color="auto" w:fill="auto"/>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shd w:val="clear" w:color="auto" w:fill="auto"/>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shd w:val="clear" w:color="auto" w:fill="auto"/>
          </w:tcPr>
          <w:p w14:paraId="4C71E063" w14:textId="2D787A45"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(-ių)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 xml:space="preserve">2) tiekėjas gali remtis kitų ūkio subjektų pajėgumais tik tuo atveju, jeigu tie subjektai (jų </w:t>
            </w:r>
            <w:r w:rsidRPr="003031FC">
              <w:rPr>
                <w:sz w:val="22"/>
              </w:rPr>
              <w:lastRenderedPageBreak/>
              <w:t>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2EE8B14" w14:textId="5F08B61D" w:rsidR="006007DD" w:rsidRPr="00710D92" w:rsidRDefault="005F1BE3" w:rsidP="005F1BE3">
      <w:pPr>
        <w:spacing w:after="0" w:line="240" w:lineRule="auto"/>
        <w:ind w:firstLine="720"/>
        <w:rPr>
          <w:iCs/>
          <w:szCs w:val="24"/>
        </w:rPr>
      </w:pPr>
      <w:r>
        <w:rPr>
          <w:iCs/>
          <w:szCs w:val="24"/>
        </w:rPr>
        <w:lastRenderedPageBreak/>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77777777"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4</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525AD3FF"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BC1B63">
        <w:rPr>
          <w:szCs w:val="24"/>
        </w:rPr>
        <w:t>4</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C7AD5">
      <w:pPr>
        <w:spacing w:before="24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 xml:space="preserve">Remdamasis kitų ūkio subjektų pajėgumais, tiekėjas neatsižvelgia į tai, koks teisinis ryšys sieja tiekėją ir tą ūkio subjektą, kurio pajėgumais jis remiasi. Galimos įvairios naudojimosi kitam </w:t>
      </w:r>
      <w:r w:rsidRPr="006E1859">
        <w:rPr>
          <w:rFonts w:eastAsia="Arial Unicode MS" w:cs="Arial Unicode MS"/>
        </w:rPr>
        <w:lastRenderedPageBreak/>
        <w:t>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C7AD5">
      <w:pPr>
        <w:tabs>
          <w:tab w:val="left" w:pos="1710"/>
        </w:tabs>
        <w:spacing w:before="24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lastRenderedPageBreak/>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0D99DC24"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711E2BC6"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5F1BE3">
        <w:rPr>
          <w:bCs/>
          <w:szCs w:val="24"/>
        </w:rPr>
        <w:t>užpildytas</w:t>
      </w:r>
      <w:r w:rsidR="00270D16">
        <w:rPr>
          <w:bCs/>
          <w:szCs w:val="24"/>
        </w:rPr>
        <w:t xml:space="preserve"> ir pasirašytas </w:t>
      </w:r>
      <w:r w:rsidR="005F1BE3">
        <w:rPr>
          <w:bCs/>
          <w:szCs w:val="24"/>
        </w:rPr>
        <w:t xml:space="preserve">darbų kiekių žiniaraštis, parengtas pagal šių pirkimo sąlygų </w:t>
      </w:r>
      <w:r w:rsidR="00270D16">
        <w:rPr>
          <w:bCs/>
          <w:szCs w:val="24"/>
        </w:rPr>
        <w:t>3</w:t>
      </w:r>
      <w:r w:rsidR="005F1BE3">
        <w:rPr>
          <w:bCs/>
          <w:szCs w:val="24"/>
        </w:rPr>
        <w:t xml:space="preserve"> priedą;</w:t>
      </w:r>
    </w:p>
    <w:p w14:paraId="52B03CCA" w14:textId="12178EEA"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 ir pasirašyta R</w:t>
      </w:r>
      <w:r w:rsidR="001D0561">
        <w:rPr>
          <w:bCs/>
          <w:szCs w:val="24"/>
        </w:rPr>
        <w:t xml:space="preserve">reikalavimų tiekėjui atitikties deklaracija, parengta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 xml:space="preserve">visas pasiūlymas arba pasiūlymo dokumentas, kuriame </w:t>
      </w:r>
      <w:r w:rsidR="00EA15CE">
        <w:lastRenderedPageBreak/>
        <w:t>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EA7B4B">
      <w:pPr>
        <w:spacing w:before="24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EA7B4B">
      <w:pPr>
        <w:spacing w:before="24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0D373B40"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parkančiosios organizacijos iniciatyva. Tiekėjai pasiūlymus dėl pirkimo dokumentų patikslinimų ar prašymus dėl pirkimo dokumentų paaiškinimo gali pateikti ne vėliau kaip likus 2 darbo dienoms iki pasiųlymų pateikimo termio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1B6388F5"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paaiškinimaiar patikslimai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dienoas</w:t>
      </w:r>
      <w:r w:rsidR="00F00C66">
        <w:rPr>
          <w:szCs w:val="24"/>
        </w:rPr>
        <w:t>.</w:t>
      </w:r>
      <w:r w:rsidR="001F09E4">
        <w:rPr>
          <w:szCs w:val="24"/>
        </w:rPr>
        <w:t xml:space="preserve"> Įvykus pirmiau nurodytiems pokyčiams, informacija apie 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lastRenderedPageBreak/>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EA7B4B">
      <w:pPr>
        <w:spacing w:before="24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E7A54DF"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6D26">
      <w:pPr>
        <w:spacing w:before="24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40A8A739"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galimo laimėtojo prašo pateikti pašalinimo pagrindų nebuvimą pagrindžiančius dokumentus (jei taikoma)</w:t>
      </w:r>
      <w:r w:rsidR="00E03C49" w:rsidRPr="00C673A8">
        <w:rPr>
          <w:rFonts w:eastAsia="Arial Unicode MS" w:cs="Arial Unicode MS"/>
        </w:rPr>
        <w:t xml:space="preserve">, šių pirkimo sąlygų 3.4 punkte nurodytus kvalifikacijos reikalavimus įrodančius dokumentus ir šių pirkimo sąlygų 3.5 punkte nurodytus </w:t>
      </w:r>
      <w:r w:rsidR="00412ADF" w:rsidRPr="00C673A8">
        <w:rPr>
          <w:rFonts w:eastAsia="Arial Unicode MS" w:cs="Arial Unicode MS"/>
        </w:rPr>
        <w:t>aplinkos apsaugos vadybos sistemos reikalavimus patvirtinančius dokumentus bei priima ssprendimą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lastRenderedPageBreak/>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6A59E6">
      <w:pPr>
        <w:spacing w:before="240" w:after="24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 xml:space="preserve">Laimėjusiu pasiūlymu pripažįstamas pasiūlymas esantis pasiūlymų eilės pirmoje vietoje. Laimėtoju gali būti pasirenkamas tik toks tiekėjas, kurio pasiūlymas atitinka pirkimo dokumentuose </w:t>
      </w:r>
      <w:r w:rsidR="009144F3" w:rsidRPr="006E1859">
        <w:rPr>
          <w:rFonts w:eastAsia="Arial Unicode MS" w:cs="Arial Unicode MS"/>
        </w:rPr>
        <w:lastRenderedPageBreak/>
        <w:t>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6A59E6">
      <w:pPr>
        <w:spacing w:before="240" w:after="24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22187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standartą, kurio nuoroda paskelbta 2017 m. spalio 16 d. Komisijos įgyvendinimo sprendime (ES) 2017/1870 dėl nuorodos į Europos elektroninių sąskaitų faktūrų standartą ir sintaksių sąrašo </w:t>
      </w:r>
      <w:r w:rsidR="00EE10E9" w:rsidRPr="006E1859">
        <w:rPr>
          <w:rFonts w:eastAsia="Arial Unicode MS" w:cs="Arial Unicode MS"/>
        </w:rPr>
        <w:lastRenderedPageBreak/>
        <w:t>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902CE9C"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DF3687">
        <w:t>5</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45123DE8" w:rsidR="00C4770E" w:rsidRDefault="00C4770E" w:rsidP="003D791F">
      <w:pPr>
        <w:spacing w:after="0" w:line="240" w:lineRule="auto"/>
        <w:ind w:firstLine="720"/>
        <w:jc w:val="both"/>
      </w:pPr>
      <w:r w:rsidRPr="00021345">
        <w:t>13.1</w:t>
      </w:r>
      <w:r w:rsidR="00021345">
        <w:t>0</w:t>
      </w:r>
      <w:r w:rsidRPr="00021345">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w:t>
      </w:r>
      <w:r w:rsidR="00021345">
        <w:t xml:space="preserve">. </w:t>
      </w:r>
      <w:r w:rsidRPr="00021345">
        <w:t>Visi įsipareigojimai pagal sutartį turi būti baigti iki nurodyto sutarties termino pabaigos.</w:t>
      </w:r>
    </w:p>
    <w:p w14:paraId="38DC3417" w14:textId="41078F20" w:rsidR="00C4770E" w:rsidRDefault="00C4770E" w:rsidP="003D791F">
      <w:pPr>
        <w:spacing w:after="0" w:line="240" w:lineRule="auto"/>
        <w:ind w:firstLine="720"/>
        <w:jc w:val="both"/>
        <w:rPr>
          <w:rFonts w:eastAsia="Arial Unicode MS" w:cs="Arial Unicode MS"/>
        </w:rPr>
      </w:pPr>
      <w:r>
        <w:t>13.1</w:t>
      </w:r>
      <w:r w:rsidR="00021345">
        <w:t>1</w:t>
      </w:r>
      <w:r>
        <w:t>. Sutarties sąlygos sutarties galiojimo laikotarpiu gali būti keičiamos vadovaujantis Viešųjų pirkimų įstatymo 89 straipsnio nuostatomis.</w:t>
      </w:r>
    </w:p>
    <w:p w14:paraId="4D58380D" w14:textId="77777777" w:rsidR="00BC7AD5" w:rsidRDefault="00BC7AD5" w:rsidP="003D791F">
      <w:pPr>
        <w:spacing w:after="0" w:line="240" w:lineRule="auto"/>
        <w:ind w:firstLine="720"/>
        <w:jc w:val="both"/>
        <w:rPr>
          <w:rFonts w:eastAsia="Arial Unicode MS" w:cs="Arial Unicode MS"/>
        </w:rPr>
      </w:pPr>
    </w:p>
    <w:p w14:paraId="484658E0" w14:textId="00352091" w:rsidR="00BC7AD5" w:rsidRPr="00210F4A" w:rsidRDefault="00210F4A" w:rsidP="00BC7AD5">
      <w:pPr>
        <w:spacing w:after="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37D5A652" w14:textId="77777777" w:rsidR="00BC7AD5" w:rsidRDefault="00BC7AD5" w:rsidP="003D791F">
      <w:pPr>
        <w:spacing w:after="0" w:line="240" w:lineRule="auto"/>
        <w:ind w:firstLine="720"/>
        <w:jc w:val="both"/>
      </w:pP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47DF" w14:textId="77777777" w:rsidR="00325341" w:rsidRDefault="00325341" w:rsidP="006B380E">
      <w:pPr>
        <w:spacing w:after="0" w:line="240" w:lineRule="auto"/>
      </w:pPr>
      <w:r>
        <w:separator/>
      </w:r>
    </w:p>
  </w:endnote>
  <w:endnote w:type="continuationSeparator" w:id="0">
    <w:p w14:paraId="1601A94A" w14:textId="77777777" w:rsidR="00325341" w:rsidRDefault="00325341"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FDA" w14:textId="77777777" w:rsidR="00325341" w:rsidRDefault="00325341" w:rsidP="006B380E">
      <w:pPr>
        <w:spacing w:after="0" w:line="240" w:lineRule="auto"/>
      </w:pPr>
      <w:r>
        <w:separator/>
      </w:r>
    </w:p>
  </w:footnote>
  <w:footnote w:type="continuationSeparator" w:id="0">
    <w:p w14:paraId="4628C40C" w14:textId="77777777" w:rsidR="00325341" w:rsidRDefault="00325341"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81D86"/>
    <w:rsid w:val="00181E59"/>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1166"/>
    <w:rsid w:val="002011DC"/>
    <w:rsid w:val="002015C9"/>
    <w:rsid w:val="002017BD"/>
    <w:rsid w:val="00201FED"/>
    <w:rsid w:val="00202803"/>
    <w:rsid w:val="00202BBD"/>
    <w:rsid w:val="002031C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15</Pages>
  <Words>7589</Words>
  <Characters>43258</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50746</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Danguolė Šlegerienė</cp:lastModifiedBy>
  <cp:revision>84</cp:revision>
  <cp:lastPrinted>2025-03-06T07:39:00Z</cp:lastPrinted>
  <dcterms:created xsi:type="dcterms:W3CDTF">2023-04-14T10:40:00Z</dcterms:created>
  <dcterms:modified xsi:type="dcterms:W3CDTF">2025-03-06T07:46:00Z</dcterms:modified>
</cp:coreProperties>
</file>