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919288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7481B7CF"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F9224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F92249">
            <w:rPr>
              <w:rFonts w:ascii="Times New Roman" w:eastAsia="Times New Roman" w:hAnsi="Times New Roman" w:cs="Times New Roman"/>
              <w:noProof/>
              <w:sz w:val="24"/>
              <w:szCs w:val="24"/>
            </w:rPr>
            <w:t>03</w:t>
          </w:r>
          <w:r w:rsidR="000F5BE7" w:rsidRPr="00D51822">
            <w:rPr>
              <w:rFonts w:ascii="Times New Roman" w:eastAsia="Times New Roman" w:hAnsi="Times New Roman" w:cs="Times New Roman"/>
              <w:noProof/>
              <w:sz w:val="24"/>
              <w:szCs w:val="24"/>
            </w:rPr>
            <w:t>-</w:t>
          </w:r>
          <w:r w:rsidR="0041268A">
            <w:rPr>
              <w:rFonts w:ascii="Times New Roman" w:eastAsia="Times New Roman" w:hAnsi="Times New Roman" w:cs="Times New Roman"/>
              <w:noProof/>
              <w:sz w:val="24"/>
              <w:szCs w:val="24"/>
            </w:rPr>
            <w:t>0</w:t>
          </w:r>
          <w:r w:rsidR="00F92249">
            <w:rPr>
              <w:rFonts w:ascii="Times New Roman" w:eastAsia="Times New Roman" w:hAnsi="Times New Roman" w:cs="Times New Roman"/>
              <w:noProof/>
              <w:sz w:val="24"/>
              <w:szCs w:val="24"/>
            </w:rPr>
            <w:t>6</w:t>
          </w:r>
          <w:r w:rsidR="006935B4" w:rsidRPr="00D51822">
            <w:rPr>
              <w:rFonts w:ascii="Times New Roman" w:eastAsia="Times New Roman" w:hAnsi="Times New Roman" w:cs="Times New Roman"/>
              <w:noProof/>
              <w:sz w:val="24"/>
              <w:szCs w:val="24"/>
            </w:rPr>
            <w:t xml:space="preserve"> </w:t>
          </w:r>
        </w:p>
        <w:p w14:paraId="2B84068B" w14:textId="2731466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D3069B">
            <w:rPr>
              <w:rFonts w:ascii="Times New Roman" w:eastAsia="Times New Roman" w:hAnsi="Times New Roman" w:cs="Times New Roman"/>
              <w:noProof/>
              <w:sz w:val="24"/>
              <w:szCs w:val="24"/>
            </w:rPr>
            <w:t xml:space="preserve"> 1268</w:t>
          </w:r>
          <w:r w:rsidR="00F31065">
            <w:rPr>
              <w:rFonts w:ascii="Times New Roman" w:eastAsia="Times New Roman" w:hAnsi="Times New Roman" w:cs="Times New Roman"/>
              <w:noProof/>
              <w:sz w:val="24"/>
              <w:szCs w:val="24"/>
            </w:rPr>
            <w:t xml:space="preserve"> </w:t>
          </w:r>
          <w:r w:rsidR="00485BEB">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48E7479"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54604F">
            <w:rPr>
              <w:rFonts w:ascii="Times New Roman" w:hAnsi="Times New Roman" w:cs="Times New Roman"/>
              <w:b/>
              <w:caps/>
              <w:sz w:val="28"/>
              <w:szCs w:val="28"/>
            </w:rPr>
            <w:t>VIENKARTINĖS PRIEMONĖS MOLEKULINIAMS TYRIMAMS</w:t>
          </w:r>
          <w:r w:rsidR="00D526C8" w:rsidRPr="006E6B5D">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71BB410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83646AB"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54604F">
        <w:rPr>
          <w:rFonts w:ascii="Times New Roman" w:eastAsia="Calibri" w:hAnsi="Times New Roman" w:cs="Times New Roman"/>
          <w:sz w:val="24"/>
          <w:szCs w:val="24"/>
        </w:rPr>
        <w:t>vienkartines priemones molekuliniams tyrimams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4740DF09"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35FFB" w:rsidRPr="00D51822">
        <w:rPr>
          <w:rFonts w:ascii="Times New Roman" w:hAnsi="Times New Roman" w:cs="Times New Roman"/>
          <w:sz w:val="24"/>
          <w:szCs w:val="24"/>
        </w:rPr>
        <w:t xml:space="preserve">Pirkimo objektas skaidomas </w:t>
      </w:r>
      <w:r w:rsidR="00835FFB" w:rsidRPr="00DF35F4">
        <w:rPr>
          <w:rFonts w:ascii="Times New Roman" w:hAnsi="Times New Roman" w:cs="Times New Roman"/>
          <w:sz w:val="24"/>
          <w:szCs w:val="24"/>
        </w:rPr>
        <w:t xml:space="preserve">į </w:t>
      </w:r>
      <w:r w:rsidR="00F92249">
        <w:rPr>
          <w:rFonts w:ascii="Times New Roman" w:hAnsi="Times New Roman" w:cs="Times New Roman"/>
          <w:sz w:val="24"/>
          <w:szCs w:val="24"/>
        </w:rPr>
        <w:t>4</w:t>
      </w:r>
      <w:r w:rsidR="00835FFB">
        <w:rPr>
          <w:rFonts w:ascii="Times New Roman" w:hAnsi="Times New Roman" w:cs="Times New Roman"/>
          <w:color w:val="00B050"/>
          <w:sz w:val="24"/>
          <w:szCs w:val="24"/>
        </w:rPr>
        <w:t xml:space="preserve"> </w:t>
      </w:r>
      <w:r w:rsidR="00835FFB" w:rsidRPr="00D51822">
        <w:rPr>
          <w:rFonts w:ascii="Times New Roman" w:hAnsi="Times New Roman" w:cs="Times New Roman"/>
          <w:sz w:val="24"/>
          <w:szCs w:val="24"/>
        </w:rPr>
        <w:t>dalis (-</w:t>
      </w:r>
      <w:proofErr w:type="spellStart"/>
      <w:r w:rsidR="00835FFB" w:rsidRPr="00D51822">
        <w:rPr>
          <w:rFonts w:ascii="Times New Roman" w:hAnsi="Times New Roman" w:cs="Times New Roman"/>
          <w:sz w:val="24"/>
          <w:szCs w:val="24"/>
        </w:rPr>
        <w:t>ių</w:t>
      </w:r>
      <w:proofErr w:type="spellEnd"/>
      <w:r w:rsidR="00835FFB" w:rsidRPr="00D51822">
        <w:rPr>
          <w:rFonts w:ascii="Times New Roman" w:hAnsi="Times New Roman" w:cs="Times New Roman"/>
          <w:sz w:val="24"/>
          <w:szCs w:val="24"/>
        </w:rPr>
        <w:t xml:space="preserve">), kurių apimtys ir dalykas, reikalavimai ir techninė specifikacija apibrėžti </w:t>
      </w:r>
      <w:bookmarkStart w:id="7" w:name="_Hlk91152632"/>
      <w:r w:rsidR="00835FFB" w:rsidRPr="00D51822">
        <w:rPr>
          <w:rFonts w:ascii="Times New Roman" w:hAnsi="Times New Roman" w:cs="Times New Roman"/>
          <w:sz w:val="24"/>
          <w:szCs w:val="24"/>
        </w:rPr>
        <w:t xml:space="preserve">specialiųjų pirkimo sąlygų </w:t>
      </w:r>
      <w:r w:rsidR="00835FFB" w:rsidRPr="00DF35F4">
        <w:rPr>
          <w:rFonts w:ascii="Times New Roman" w:hAnsi="Times New Roman" w:cs="Times New Roman"/>
          <w:sz w:val="24"/>
          <w:szCs w:val="24"/>
        </w:rPr>
        <w:t xml:space="preserve">2 </w:t>
      </w:r>
      <w:r w:rsidR="00835FFB" w:rsidRPr="00D51822">
        <w:rPr>
          <w:rFonts w:ascii="Times New Roman" w:hAnsi="Times New Roman" w:cs="Times New Roman"/>
          <w:sz w:val="24"/>
          <w:szCs w:val="24"/>
        </w:rPr>
        <w:t>priede</w:t>
      </w:r>
      <w:bookmarkEnd w:id="7"/>
      <w:r w:rsidR="00835FFB" w:rsidRPr="00D51822">
        <w:rPr>
          <w:rFonts w:ascii="Times New Roman" w:hAnsi="Times New Roman" w:cs="Times New Roman"/>
          <w:sz w:val="24"/>
          <w:szCs w:val="24"/>
        </w:rPr>
        <w:t>. Perkančioji organizacija sudarys vieną sutartį dėl pirkimo dalių, dėl kurių laimėtoju nustatytas tas pats tiekėjas</w:t>
      </w:r>
      <w:r w:rsidR="003F7FE3" w:rsidRPr="000C296D">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08130045" w14:textId="1F3D852B" w:rsidR="001F0117" w:rsidRPr="001F0117" w:rsidRDefault="001F0117" w:rsidP="001F0117">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1F0117">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1F0117">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Pr>
          <w:rFonts w:ascii="Times New Roman" w:hAnsi="Times New Roman" w:cs="Times New Roman"/>
          <w:sz w:val="24"/>
          <w:szCs w:val="24"/>
        </w:rPr>
        <w:t>;</w:t>
      </w:r>
    </w:p>
    <w:p w14:paraId="1CAB3B82" w14:textId="7123DE45"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76AB071F"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1F0117">
        <w:rPr>
          <w:rFonts w:ascii="Times New Roman" w:hAnsi="Times New Roman" w:cs="Times New Roman"/>
          <w:sz w:val="24"/>
          <w:szCs w:val="24"/>
        </w:rPr>
        <w:t>2</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p>
    <w:p w14:paraId="1EA7093B" w14:textId="77777777" w:rsidR="00751008" w:rsidRPr="00751008"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w:t>
      </w:r>
      <w:r w:rsidR="00751008" w:rsidRPr="00751008">
        <w:rPr>
          <w:rFonts w:ascii="Times New Roman" w:eastAsia="Calibri" w:hAnsi="Times New Roman" w:cs="Times New Roman"/>
          <w:sz w:val="24"/>
          <w:szCs w:val="24"/>
        </w:rPr>
        <w:lastRenderedPageBreak/>
        <w:t>vadovas ar jo įgaliotas asmuo turi patvirtinti visą pasiūlymą, atskirai kiekvienos dokumentų kopijos pasirašyti kvalifikuotu elektroniniu parašu nereikia (jei pirkimo sąlygose nenumatyta kitaip). Gali būti pateikiami:</w:t>
      </w:r>
    </w:p>
    <w:p w14:paraId="0919ECD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7B9A799C" w:rsidR="002D27BC" w:rsidRPr="00751008" w:rsidRDefault="00751008"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751008">
        <w:rPr>
          <w:rFonts w:ascii="Times New Roman" w:eastAsia="Calibri" w:hAnsi="Times New Roman" w:cs="Times New Roman"/>
          <w:bCs/>
          <w:iCs/>
          <w:sz w:val="24"/>
          <w:szCs w:val="24"/>
        </w:rPr>
        <w:t>skaitmeninės dokumentų kopijos (</w:t>
      </w:r>
      <w:r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455979E" w14:textId="77777777" w:rsidR="006A09AB" w:rsidRPr="00673212" w:rsidRDefault="006A09AB" w:rsidP="006A09AB">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Tiekėjas, perkančiajai organizacijai paprašius, per 3 darbo dienas neatlygintinai turi perkančiajai organizacijai pristatyti  prekių pavyzdžius. </w:t>
      </w:r>
      <w:r w:rsidRPr="00673212">
        <w:rPr>
          <w:rFonts w:cs="Times New Roman"/>
          <w:sz w:val="24"/>
          <w:szCs w:val="24"/>
          <w:lang w:val="lt-LT"/>
        </w:rPr>
        <w:t>Nepateikus pavyzdžių – pasiūlymai bus atmesti.</w:t>
      </w:r>
    </w:p>
    <w:p w14:paraId="52A66708" w14:textId="77777777" w:rsidR="006A09AB" w:rsidRPr="00673212" w:rsidRDefault="006A09AB" w:rsidP="006A09AB">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54CB878E" w14:textId="77777777" w:rsidR="006A09AB" w:rsidRPr="00673212" w:rsidRDefault="006A09AB" w:rsidP="006A09AB">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1F1C30C6" w14:textId="77777777" w:rsidR="006A09AB" w:rsidRPr="00AA2CFE" w:rsidRDefault="006A09AB" w:rsidP="006A09AB">
      <w:pPr>
        <w:pStyle w:val="Body2"/>
        <w:numPr>
          <w:ilvl w:val="1"/>
          <w:numId w:val="31"/>
        </w:numPr>
        <w:tabs>
          <w:tab w:val="left" w:pos="851"/>
        </w:tabs>
        <w:ind w:left="0" w:firstLine="567"/>
        <w:rPr>
          <w:rFonts w:eastAsia="Calibri" w:cs="Times New Roman"/>
          <w:sz w:val="24"/>
          <w:szCs w:val="24"/>
        </w:rPr>
      </w:pPr>
      <w:r w:rsidRPr="00AA2CFE">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316AA62D" w14:textId="1787DBC5" w:rsidR="001A28D4" w:rsidRPr="000C296D" w:rsidRDefault="006A09AB" w:rsidP="006A09AB">
      <w:pPr>
        <w:pStyle w:val="Body2"/>
        <w:numPr>
          <w:ilvl w:val="1"/>
          <w:numId w:val="31"/>
        </w:numPr>
        <w:tabs>
          <w:tab w:val="left" w:pos="851"/>
        </w:tabs>
        <w:ind w:left="0" w:firstLine="573"/>
        <w:rPr>
          <w:rFonts w:cs="Times New Roman"/>
          <w:color w:val="auto"/>
          <w:sz w:val="24"/>
          <w:szCs w:val="24"/>
          <w:lang w:val="lt-LT"/>
        </w:rPr>
      </w:pPr>
      <w:r w:rsidRPr="00AA2CFE">
        <w:rPr>
          <w:rFonts w:cs="Times New Roman"/>
          <w:color w:val="auto"/>
          <w:sz w:val="24"/>
          <w:szCs w:val="24"/>
          <w:lang w:val="lt-LT"/>
        </w:rPr>
        <w:t>P</w:t>
      </w:r>
      <w:r w:rsidRPr="00AA2CFE">
        <w:rPr>
          <w:rFonts w:cs="Times New Roman"/>
          <w:sz w:val="24"/>
          <w:szCs w:val="24"/>
          <w:lang w:val="lt-LT"/>
        </w:rPr>
        <w:t>ateikti pavyzdžiai tiekėjams negražinami, kadangi reikalingi išbandymui</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310C5B"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310C5B" w:rsidRPr="00D51822" w:rsidRDefault="00310C5B" w:rsidP="00310C5B">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310C5B" w:rsidRPr="00D51822" w:rsidRDefault="00310C5B" w:rsidP="00310C5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0137D9DD" w:rsidR="00310C5B" w:rsidRPr="00D51822" w:rsidRDefault="00310C5B" w:rsidP="00310C5B">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310C5B" w:rsidRPr="00D51822" w:rsidRDefault="00310C5B" w:rsidP="00310C5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924FA9" w:rsidRPr="00D51822" w14:paraId="0DF4429B" w14:textId="77777777" w:rsidTr="0067323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027573" w14:textId="77777777" w:rsidR="00924FA9" w:rsidRPr="00D51822" w:rsidRDefault="00924FA9" w:rsidP="00673231">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606397" w14:textId="77777777" w:rsidR="00924FA9" w:rsidRPr="00D51822" w:rsidRDefault="00924FA9" w:rsidP="00673231">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D97524" w14:textId="77777777" w:rsidR="00924FA9" w:rsidRPr="00D51822" w:rsidRDefault="00924FA9" w:rsidP="00673231">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6FC563" w14:textId="77777777" w:rsidR="00924FA9" w:rsidRPr="00D51822" w:rsidRDefault="00924FA9" w:rsidP="00673231">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924FA9" w:rsidRPr="00D51822" w14:paraId="54BF71FE" w14:textId="77777777" w:rsidTr="00673231">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BED67" w14:textId="77777777" w:rsidR="00924FA9" w:rsidRPr="00D51822" w:rsidRDefault="00924FA9" w:rsidP="00673231">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924FA9" w:rsidRPr="00D51822" w14:paraId="737D41AF" w14:textId="77777777" w:rsidTr="0067323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84F490" w14:textId="77777777" w:rsidR="00924FA9" w:rsidRPr="00D51822" w:rsidRDefault="00924FA9" w:rsidP="00673231">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7299B"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39F3EB5D"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5D991045"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54121DD4"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0F2408"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DE634D4"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23856E67"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50E92089"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A920DAD"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70235A85"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p>
          <w:p w14:paraId="175494C2"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22DB9472" w14:textId="77777777" w:rsidR="00924FA9" w:rsidRPr="00D51822" w:rsidRDefault="00924FA9" w:rsidP="00673231">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DA9535" w14:textId="77777777" w:rsidR="00924FA9" w:rsidRPr="00145C98" w:rsidRDefault="00924FA9" w:rsidP="00673231">
            <w:pPr>
              <w:spacing w:after="0" w:line="240" w:lineRule="auto"/>
              <w:jc w:val="both"/>
              <w:rPr>
                <w:rFonts w:ascii="Times New Roman" w:hAnsi="Times New Roman" w:cs="Times New Roman"/>
                <w:b/>
                <w:bCs/>
                <w:sz w:val="22"/>
                <w:szCs w:val="22"/>
                <w:lang w:eastAsia="en-US"/>
              </w:rPr>
            </w:pPr>
          </w:p>
          <w:p w14:paraId="489AEA25" w14:textId="77777777" w:rsidR="00924FA9" w:rsidRPr="00145C98" w:rsidRDefault="00924FA9" w:rsidP="00673231">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1569C0" w14:textId="77777777" w:rsidR="00924FA9" w:rsidRPr="00145C98" w:rsidRDefault="00924FA9" w:rsidP="00673231">
            <w:pPr>
              <w:spacing w:after="0" w:line="240" w:lineRule="auto"/>
              <w:jc w:val="both"/>
              <w:rPr>
                <w:rFonts w:ascii="Times New Roman" w:hAnsi="Times New Roman" w:cs="Times New Roman"/>
                <w:b/>
                <w:sz w:val="22"/>
                <w:szCs w:val="22"/>
                <w:lang w:eastAsia="en-US"/>
              </w:rPr>
            </w:pPr>
          </w:p>
          <w:p w14:paraId="2286E290"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E72E0" w14:textId="77777777" w:rsidR="00924FA9" w:rsidRPr="00D51822" w:rsidRDefault="00924FA9" w:rsidP="00673231">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5E79B691" w14:textId="77777777" w:rsidR="00924FA9" w:rsidRPr="00D51822" w:rsidRDefault="00924FA9" w:rsidP="00673231">
            <w:pPr>
              <w:spacing w:after="0" w:line="240" w:lineRule="auto"/>
              <w:jc w:val="both"/>
              <w:rPr>
                <w:rFonts w:ascii="Times New Roman" w:eastAsia="Yu Mincho" w:hAnsi="Times New Roman" w:cs="Times New Roman"/>
                <w:sz w:val="22"/>
                <w:szCs w:val="22"/>
                <w:lang w:eastAsia="en-US"/>
              </w:rPr>
            </w:pPr>
          </w:p>
          <w:p w14:paraId="7E5DC58B" w14:textId="77777777" w:rsidR="00924FA9" w:rsidRPr="00D51822" w:rsidRDefault="00924FA9" w:rsidP="00673231">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6E7062C6" w14:textId="77777777" w:rsidR="00924FA9" w:rsidRPr="00D51822" w:rsidRDefault="00924FA9" w:rsidP="00673231">
            <w:pPr>
              <w:spacing w:after="0" w:line="240" w:lineRule="auto"/>
              <w:jc w:val="both"/>
              <w:rPr>
                <w:rFonts w:ascii="Times New Roman" w:eastAsia="Yu Mincho" w:hAnsi="Times New Roman" w:cs="Times New Roman"/>
                <w:sz w:val="22"/>
                <w:szCs w:val="22"/>
                <w:lang w:eastAsia="en-US"/>
              </w:rPr>
            </w:pPr>
          </w:p>
          <w:p w14:paraId="688A3ABE" w14:textId="77777777" w:rsidR="00924FA9" w:rsidRPr="00D51822" w:rsidRDefault="00924FA9" w:rsidP="00673231">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C6BC2" w14:textId="77777777" w:rsidR="00924FA9" w:rsidRPr="00D51822" w:rsidRDefault="00924FA9" w:rsidP="00673231">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03BEB810" w14:textId="77777777" w:rsidR="00924FA9" w:rsidRPr="00D51822" w:rsidRDefault="00924FA9" w:rsidP="00673231">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46A7F556" w14:textId="77777777" w:rsidR="00924FA9" w:rsidRPr="00D51822" w:rsidRDefault="00924FA9" w:rsidP="00673231">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347BAE92" w14:textId="77777777" w:rsidR="00924FA9" w:rsidRPr="00D51822" w:rsidRDefault="00924FA9" w:rsidP="00673231">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7E4F813" w14:textId="77777777" w:rsidR="00924FA9" w:rsidRPr="00D51822" w:rsidRDefault="00924FA9" w:rsidP="00673231">
            <w:pPr>
              <w:spacing w:after="0" w:line="240" w:lineRule="auto"/>
              <w:jc w:val="both"/>
              <w:rPr>
                <w:rFonts w:ascii="Times New Roman" w:hAnsi="Times New Roman" w:cs="Times New Roman"/>
                <w:sz w:val="22"/>
                <w:szCs w:val="22"/>
                <w:lang w:eastAsia="en-US"/>
              </w:rPr>
            </w:pPr>
          </w:p>
          <w:p w14:paraId="760DACFE" w14:textId="77777777" w:rsidR="00924FA9" w:rsidRPr="00D51822" w:rsidRDefault="00924FA9" w:rsidP="00673231">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05B2800B" w14:textId="77777777" w:rsidR="00924FA9" w:rsidRPr="00D51822" w:rsidRDefault="00924FA9" w:rsidP="00673231">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BE6CB89" w14:textId="77777777" w:rsidR="00924FA9" w:rsidRPr="00D51822" w:rsidRDefault="00924FA9" w:rsidP="00673231">
            <w:pPr>
              <w:spacing w:after="0" w:line="240" w:lineRule="auto"/>
              <w:jc w:val="both"/>
              <w:rPr>
                <w:rFonts w:ascii="Times New Roman" w:hAnsi="Times New Roman" w:cs="Times New Roman"/>
                <w:sz w:val="22"/>
                <w:szCs w:val="22"/>
              </w:rPr>
            </w:pPr>
          </w:p>
          <w:p w14:paraId="501B20AF" w14:textId="77777777" w:rsidR="00924FA9" w:rsidRPr="00D51822" w:rsidRDefault="00924FA9" w:rsidP="00673231">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3BC1B237" w14:textId="77777777" w:rsidR="00924FA9" w:rsidRPr="00D51822" w:rsidRDefault="00924FA9" w:rsidP="00673231">
            <w:pPr>
              <w:spacing w:after="0" w:line="240" w:lineRule="auto"/>
              <w:jc w:val="both"/>
              <w:rPr>
                <w:rFonts w:ascii="Times New Roman" w:hAnsi="Times New Roman" w:cs="Times New Roman"/>
                <w:b/>
                <w:bCs/>
                <w:sz w:val="22"/>
                <w:szCs w:val="22"/>
              </w:rPr>
            </w:pPr>
          </w:p>
          <w:p w14:paraId="10DEBD41" w14:textId="77777777" w:rsidR="00924FA9" w:rsidRPr="00D51822" w:rsidRDefault="00924FA9" w:rsidP="00673231">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0F0ED9" w14:textId="77777777" w:rsidR="00924FA9" w:rsidRPr="00145C98" w:rsidRDefault="00924FA9" w:rsidP="00673231">
            <w:pPr>
              <w:spacing w:after="0" w:line="240" w:lineRule="auto"/>
              <w:jc w:val="both"/>
              <w:rPr>
                <w:rFonts w:ascii="Times New Roman" w:hAnsi="Times New Roman" w:cs="Times New Roman"/>
                <w:bCs/>
                <w:sz w:val="22"/>
                <w:szCs w:val="22"/>
              </w:rPr>
            </w:pPr>
          </w:p>
          <w:p w14:paraId="78B9896C" w14:textId="77777777" w:rsidR="00924FA9" w:rsidRPr="00145C98" w:rsidRDefault="00924FA9" w:rsidP="00673231">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00D9F856" w14:textId="77777777" w:rsidR="00924FA9" w:rsidRPr="00145C98" w:rsidRDefault="00924FA9" w:rsidP="00673231">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518B7B6" w14:textId="77777777" w:rsidR="00924FA9" w:rsidRPr="00D51822" w:rsidRDefault="00924FA9" w:rsidP="00673231">
            <w:pPr>
              <w:spacing w:after="0" w:line="240" w:lineRule="auto"/>
              <w:jc w:val="both"/>
              <w:rPr>
                <w:rFonts w:ascii="Times New Roman" w:hAnsi="Times New Roman" w:cs="Times New Roman"/>
                <w:b/>
                <w:bCs/>
                <w:sz w:val="22"/>
                <w:szCs w:val="22"/>
              </w:rPr>
            </w:pPr>
          </w:p>
          <w:p w14:paraId="604C8AFF" w14:textId="77777777" w:rsidR="00924FA9" w:rsidRPr="00D51822" w:rsidRDefault="00924FA9" w:rsidP="00673231">
            <w:pPr>
              <w:spacing w:after="0" w:line="240" w:lineRule="auto"/>
              <w:jc w:val="both"/>
              <w:rPr>
                <w:rFonts w:ascii="Times New Roman" w:hAnsi="Times New Roman" w:cs="Times New Roman"/>
                <w:b/>
                <w:bCs/>
                <w:sz w:val="22"/>
                <w:szCs w:val="22"/>
              </w:rPr>
            </w:pPr>
          </w:p>
        </w:tc>
      </w:tr>
      <w:tr w:rsidR="00924FA9" w:rsidRPr="00D51822" w14:paraId="0AA31988" w14:textId="77777777" w:rsidTr="0067323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DC9BE" w14:textId="77777777" w:rsidR="00924FA9" w:rsidRPr="00D51822" w:rsidRDefault="00924FA9" w:rsidP="00673231">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1388A" w14:textId="77777777" w:rsidR="00924FA9" w:rsidRPr="00D51822" w:rsidRDefault="00924FA9" w:rsidP="00673231">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30104" w14:textId="77777777" w:rsidR="00924FA9" w:rsidRPr="00B46177" w:rsidRDefault="00924FA9" w:rsidP="00673231">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EACC18" w14:textId="77777777" w:rsidR="00924FA9" w:rsidRPr="00B46177" w:rsidRDefault="00924FA9" w:rsidP="00673231">
            <w:pPr>
              <w:pStyle w:val="Betarp"/>
              <w:jc w:val="both"/>
              <w:rPr>
                <w:rFonts w:ascii="Times New Roman" w:eastAsia="Yu Mincho" w:hAnsi="Times New Roman" w:cs="Times New Roman"/>
                <w:b/>
                <w:bCs/>
                <w:sz w:val="22"/>
                <w:szCs w:val="22"/>
              </w:rPr>
            </w:pPr>
          </w:p>
          <w:p w14:paraId="6EA4A628" w14:textId="77777777" w:rsidR="00924FA9" w:rsidRPr="00D51822" w:rsidRDefault="00924FA9" w:rsidP="00673231">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74D09" w14:textId="77777777" w:rsidR="00924FA9" w:rsidRPr="00D51822" w:rsidRDefault="00924FA9" w:rsidP="00673231">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924FA9" w:rsidRPr="00D51822" w14:paraId="042B3A72" w14:textId="77777777" w:rsidTr="0067323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171FEB" w14:textId="77777777" w:rsidR="00924FA9" w:rsidRPr="00D51822" w:rsidRDefault="00924FA9" w:rsidP="00673231">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045F9"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F945DC"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p>
          <w:p w14:paraId="3BF9F20C"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7EC78A33" w14:textId="77777777" w:rsidR="00924FA9" w:rsidRPr="00D51822" w:rsidRDefault="00924FA9" w:rsidP="00673231">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80DD08C"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p>
          <w:p w14:paraId="550654D0" w14:textId="77777777" w:rsidR="00924FA9" w:rsidRPr="00145C98" w:rsidRDefault="00924FA9" w:rsidP="00673231">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F0941D"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1E6F1399"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FA030"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57C10F7A" w14:textId="77777777" w:rsidR="00924FA9" w:rsidRPr="00D51822" w:rsidRDefault="00924FA9" w:rsidP="00673231">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BA472" w14:textId="77777777" w:rsidR="00924FA9" w:rsidRPr="00D51822" w:rsidRDefault="00924FA9" w:rsidP="00673231">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6607D2F" w14:textId="77777777" w:rsidR="00924FA9" w:rsidRPr="00D51822" w:rsidRDefault="00924FA9" w:rsidP="00673231">
            <w:pPr>
              <w:spacing w:after="0" w:line="240" w:lineRule="auto"/>
              <w:jc w:val="both"/>
              <w:rPr>
                <w:rFonts w:ascii="Times New Roman" w:eastAsia="Arial" w:hAnsi="Times New Roman" w:cs="Times New Roman"/>
                <w:sz w:val="22"/>
                <w:szCs w:val="22"/>
              </w:rPr>
            </w:pPr>
          </w:p>
          <w:p w14:paraId="2EAF50C3" w14:textId="77777777" w:rsidR="00924FA9" w:rsidRPr="00D51822" w:rsidRDefault="00924FA9" w:rsidP="00673231">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A16C5" w14:textId="77777777" w:rsidR="00924FA9" w:rsidRPr="00D51822" w:rsidRDefault="00924FA9" w:rsidP="00673231">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7C083371" w14:textId="77777777" w:rsidR="00924FA9" w:rsidRPr="00D51822" w:rsidRDefault="00924FA9" w:rsidP="00673231">
            <w:pPr>
              <w:spacing w:after="0" w:line="240" w:lineRule="auto"/>
              <w:jc w:val="both"/>
              <w:rPr>
                <w:rFonts w:ascii="Times New Roman" w:hAnsi="Times New Roman" w:cs="Times New Roman"/>
                <w:b/>
                <w:bCs/>
                <w:sz w:val="22"/>
                <w:szCs w:val="22"/>
              </w:rPr>
            </w:pPr>
          </w:p>
          <w:p w14:paraId="61AA78E0" w14:textId="77777777" w:rsidR="00924FA9" w:rsidRPr="00D51822" w:rsidRDefault="00924FA9" w:rsidP="00673231">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3EC08E8" w14:textId="77777777" w:rsidR="00924FA9" w:rsidRPr="00D51822" w:rsidRDefault="00924FA9" w:rsidP="00673231">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711E9CD2" w14:textId="77777777" w:rsidR="00924FA9" w:rsidRPr="00D51822" w:rsidRDefault="00924FA9" w:rsidP="00673231">
            <w:pPr>
              <w:spacing w:after="0" w:line="240" w:lineRule="auto"/>
              <w:jc w:val="both"/>
              <w:rPr>
                <w:rFonts w:ascii="Times New Roman" w:hAnsi="Times New Roman" w:cs="Times New Roman"/>
                <w:sz w:val="22"/>
                <w:szCs w:val="22"/>
              </w:rPr>
            </w:pPr>
          </w:p>
          <w:p w14:paraId="3E731DC0" w14:textId="77777777" w:rsidR="00924FA9" w:rsidRPr="00D51822" w:rsidRDefault="00924FA9" w:rsidP="00673231">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61491328" w14:textId="77777777" w:rsidR="00924FA9" w:rsidRPr="00D51822" w:rsidRDefault="00924FA9" w:rsidP="00673231">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B70DF84" w14:textId="77777777" w:rsidR="00924FA9" w:rsidRPr="00D51822" w:rsidRDefault="00924FA9" w:rsidP="00673231">
            <w:pPr>
              <w:spacing w:after="0" w:line="240" w:lineRule="auto"/>
              <w:jc w:val="both"/>
              <w:rPr>
                <w:rFonts w:ascii="Times New Roman" w:eastAsia="Yu Mincho" w:hAnsi="Times New Roman" w:cs="Times New Roman"/>
                <w:sz w:val="22"/>
                <w:szCs w:val="22"/>
              </w:rPr>
            </w:pPr>
          </w:p>
          <w:p w14:paraId="443B99B4" w14:textId="77777777" w:rsidR="00924FA9" w:rsidRPr="00D51822" w:rsidRDefault="00924FA9" w:rsidP="00673231">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84648F" w14:textId="77777777" w:rsidR="00924FA9" w:rsidRPr="00D51822" w:rsidRDefault="00924FA9" w:rsidP="00673231">
            <w:pPr>
              <w:spacing w:after="0" w:line="240" w:lineRule="auto"/>
              <w:jc w:val="both"/>
              <w:rPr>
                <w:rFonts w:ascii="Times New Roman" w:hAnsi="Times New Roman" w:cs="Times New Roman"/>
                <w:i/>
                <w:iCs/>
                <w:color w:val="7030A0"/>
                <w:sz w:val="22"/>
                <w:szCs w:val="22"/>
              </w:rPr>
            </w:pPr>
          </w:p>
          <w:p w14:paraId="1B129772" w14:textId="77777777" w:rsidR="00924FA9" w:rsidRPr="00D51822" w:rsidRDefault="00924FA9" w:rsidP="00673231">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48AD8F" w14:textId="77777777" w:rsidR="00924FA9" w:rsidRPr="00D51822" w:rsidRDefault="00924FA9" w:rsidP="00673231">
            <w:pPr>
              <w:spacing w:after="0" w:line="240" w:lineRule="auto"/>
              <w:jc w:val="both"/>
              <w:rPr>
                <w:rFonts w:ascii="Times New Roman" w:hAnsi="Times New Roman" w:cs="Times New Roman"/>
                <w:b/>
                <w:bCs/>
                <w:sz w:val="22"/>
                <w:szCs w:val="22"/>
              </w:rPr>
            </w:pPr>
          </w:p>
          <w:p w14:paraId="063702D2" w14:textId="77777777" w:rsidR="00924FA9" w:rsidRPr="00D51822" w:rsidRDefault="00924FA9" w:rsidP="00673231">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0773EACA" w14:textId="77777777" w:rsidR="00924FA9" w:rsidRPr="00D51822" w:rsidRDefault="00924FA9" w:rsidP="00673231">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0502F937" w14:textId="77777777" w:rsidR="00924FA9" w:rsidRPr="00D51822" w:rsidRDefault="00924FA9" w:rsidP="00673231">
            <w:pPr>
              <w:spacing w:after="0" w:line="240" w:lineRule="auto"/>
              <w:jc w:val="both"/>
              <w:rPr>
                <w:rFonts w:ascii="Times New Roman" w:hAnsi="Times New Roman" w:cs="Times New Roman"/>
                <w:b/>
                <w:bCs/>
                <w:sz w:val="22"/>
                <w:szCs w:val="22"/>
              </w:rPr>
            </w:pPr>
          </w:p>
          <w:p w14:paraId="5E1F5E70" w14:textId="77777777" w:rsidR="00924FA9" w:rsidRPr="00D51822" w:rsidRDefault="00924FA9" w:rsidP="00673231">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76D603" w14:textId="77777777" w:rsidR="00924FA9" w:rsidRPr="00D51822" w:rsidRDefault="00924FA9" w:rsidP="00673231">
            <w:pPr>
              <w:spacing w:after="0" w:line="240" w:lineRule="auto"/>
              <w:jc w:val="both"/>
              <w:rPr>
                <w:rFonts w:ascii="Times New Roman" w:hAnsi="Times New Roman" w:cs="Times New Roman"/>
                <w:b/>
                <w:bCs/>
                <w:sz w:val="22"/>
                <w:szCs w:val="22"/>
              </w:rPr>
            </w:pPr>
          </w:p>
          <w:p w14:paraId="0DFD1D71" w14:textId="77777777" w:rsidR="00924FA9" w:rsidRPr="00D51822" w:rsidRDefault="00924FA9" w:rsidP="00673231">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5F1E57" w14:textId="77777777" w:rsidR="00924FA9" w:rsidRPr="00D51822" w:rsidRDefault="00924FA9" w:rsidP="00673231">
            <w:pPr>
              <w:spacing w:after="0" w:line="240" w:lineRule="auto"/>
              <w:jc w:val="both"/>
              <w:rPr>
                <w:rFonts w:ascii="Times New Roman" w:hAnsi="Times New Roman" w:cs="Times New Roman"/>
                <w:b/>
                <w:bCs/>
                <w:sz w:val="22"/>
                <w:szCs w:val="22"/>
              </w:rPr>
            </w:pPr>
          </w:p>
          <w:p w14:paraId="561BC27A" w14:textId="77777777" w:rsidR="00924FA9" w:rsidRPr="00D51822" w:rsidRDefault="00924FA9" w:rsidP="00673231">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0200981E" w14:textId="77777777" w:rsidR="00924FA9" w:rsidRPr="00D51822" w:rsidRDefault="00924FA9" w:rsidP="00673231">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BD8698C" w14:textId="77777777" w:rsidR="00924FA9" w:rsidRPr="00D51822" w:rsidRDefault="00924FA9" w:rsidP="00673231">
            <w:pPr>
              <w:spacing w:after="0" w:line="240" w:lineRule="auto"/>
              <w:jc w:val="both"/>
              <w:rPr>
                <w:rFonts w:ascii="Times New Roman" w:hAnsi="Times New Roman" w:cs="Times New Roman"/>
                <w:b/>
                <w:bCs/>
                <w:sz w:val="22"/>
                <w:szCs w:val="22"/>
              </w:rPr>
            </w:pPr>
          </w:p>
          <w:p w14:paraId="685617F8" w14:textId="77777777" w:rsidR="00924FA9" w:rsidRPr="00D51822" w:rsidRDefault="00924FA9" w:rsidP="00673231">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9E27C74" w14:textId="77777777" w:rsidR="00924FA9" w:rsidRPr="00D51822" w:rsidRDefault="00924FA9" w:rsidP="00673231">
            <w:pPr>
              <w:spacing w:after="0" w:line="240" w:lineRule="auto"/>
              <w:jc w:val="both"/>
              <w:rPr>
                <w:rFonts w:ascii="Times New Roman" w:hAnsi="Times New Roman" w:cs="Times New Roman"/>
                <w:b/>
                <w:bCs/>
                <w:sz w:val="22"/>
                <w:szCs w:val="22"/>
              </w:rPr>
            </w:pPr>
          </w:p>
          <w:p w14:paraId="10CD558B" w14:textId="77777777" w:rsidR="00924FA9" w:rsidRPr="00D51822" w:rsidRDefault="00924FA9" w:rsidP="00673231">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578273" w14:textId="77777777" w:rsidR="00924FA9" w:rsidRPr="00D51822" w:rsidRDefault="00924FA9" w:rsidP="00673231">
            <w:pPr>
              <w:spacing w:after="0" w:line="240" w:lineRule="auto"/>
              <w:jc w:val="both"/>
              <w:rPr>
                <w:rFonts w:ascii="Times New Roman" w:hAnsi="Times New Roman" w:cs="Times New Roman"/>
                <w:sz w:val="22"/>
                <w:szCs w:val="22"/>
              </w:rPr>
            </w:pPr>
          </w:p>
          <w:p w14:paraId="28343E29" w14:textId="77777777" w:rsidR="00924FA9" w:rsidRPr="00145C98" w:rsidRDefault="00924FA9" w:rsidP="00673231">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7417033" w14:textId="77777777" w:rsidR="00924FA9" w:rsidRPr="00145C98" w:rsidRDefault="00924FA9" w:rsidP="00673231">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47A5568" w14:textId="77777777" w:rsidR="00924FA9" w:rsidRPr="00D51822" w:rsidRDefault="00924FA9" w:rsidP="00673231">
            <w:pPr>
              <w:spacing w:after="0" w:line="240" w:lineRule="auto"/>
              <w:jc w:val="both"/>
              <w:rPr>
                <w:rFonts w:ascii="Times New Roman" w:hAnsi="Times New Roman" w:cs="Times New Roman"/>
                <w:b/>
                <w:bCs/>
                <w:sz w:val="22"/>
                <w:szCs w:val="22"/>
              </w:rPr>
            </w:pPr>
          </w:p>
        </w:tc>
      </w:tr>
      <w:tr w:rsidR="00924FA9" w:rsidRPr="00D51822" w14:paraId="3C5A177B" w14:textId="77777777" w:rsidTr="0067323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DDBB8" w14:textId="77777777" w:rsidR="00924FA9" w:rsidRPr="00D51822" w:rsidRDefault="00924FA9" w:rsidP="00673231">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2CD14" w14:textId="77777777" w:rsidR="00924FA9" w:rsidRPr="00D51822" w:rsidRDefault="00924FA9" w:rsidP="00673231">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24AB0" w14:textId="77777777" w:rsidR="00924FA9" w:rsidRPr="00D51822" w:rsidRDefault="00924FA9" w:rsidP="00673231">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16881449" w14:textId="77777777" w:rsidR="00924FA9" w:rsidRPr="00D51822" w:rsidRDefault="00924FA9" w:rsidP="00673231">
            <w:pPr>
              <w:spacing w:after="0" w:line="240" w:lineRule="auto"/>
              <w:jc w:val="both"/>
              <w:rPr>
                <w:rFonts w:ascii="Times New Roman" w:eastAsia="Yu Mincho" w:hAnsi="Times New Roman" w:cs="Times New Roman"/>
                <w:sz w:val="22"/>
                <w:szCs w:val="22"/>
              </w:rPr>
            </w:pPr>
          </w:p>
          <w:p w14:paraId="7D7EFFE5" w14:textId="77777777" w:rsidR="00924FA9" w:rsidRPr="00D51822" w:rsidRDefault="00924FA9" w:rsidP="00673231">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EA0F" w14:textId="77777777" w:rsidR="00924FA9" w:rsidRPr="00D51822" w:rsidRDefault="00924FA9" w:rsidP="00673231">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BBEEA4A" w14:textId="77777777" w:rsidR="00924FA9" w:rsidRPr="00D51822" w:rsidRDefault="00924FA9" w:rsidP="00673231">
            <w:pPr>
              <w:spacing w:after="0" w:line="240" w:lineRule="auto"/>
              <w:jc w:val="both"/>
              <w:rPr>
                <w:rFonts w:ascii="Times New Roman" w:hAnsi="Times New Roman" w:cs="Times New Roman"/>
                <w:bCs/>
                <w:iCs/>
                <w:sz w:val="22"/>
                <w:szCs w:val="22"/>
                <w:lang w:eastAsia="en-US"/>
              </w:rPr>
            </w:pPr>
          </w:p>
          <w:p w14:paraId="362ECC22" w14:textId="77777777" w:rsidR="00924FA9" w:rsidRPr="00D51822" w:rsidRDefault="00924FA9" w:rsidP="00673231">
            <w:pPr>
              <w:spacing w:after="0" w:line="240" w:lineRule="auto"/>
              <w:jc w:val="both"/>
              <w:rPr>
                <w:rFonts w:ascii="Times New Roman" w:hAnsi="Times New Roman" w:cs="Times New Roman"/>
                <w:b/>
                <w:bCs/>
                <w:iCs/>
                <w:sz w:val="22"/>
                <w:szCs w:val="22"/>
                <w:lang w:eastAsia="en-US"/>
              </w:rPr>
            </w:pPr>
          </w:p>
        </w:tc>
      </w:tr>
      <w:tr w:rsidR="00924FA9" w:rsidRPr="00D51822" w14:paraId="5268FF9A" w14:textId="77777777" w:rsidTr="0067323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43AF6F" w14:textId="77777777" w:rsidR="00924FA9" w:rsidRPr="00D51822" w:rsidRDefault="00924FA9" w:rsidP="00673231">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AE28CA" w14:textId="77777777" w:rsidR="00924FA9" w:rsidRPr="00D51822" w:rsidRDefault="00924FA9" w:rsidP="00673231">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5FA3B2" w14:textId="77777777" w:rsidR="00924FA9" w:rsidRPr="00D51822" w:rsidRDefault="00924FA9" w:rsidP="00673231">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7ED75" w14:textId="77777777" w:rsidR="00924FA9" w:rsidRPr="00D51822" w:rsidRDefault="00924FA9" w:rsidP="00673231">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06FD7CD8" w14:textId="77777777" w:rsidR="00924FA9" w:rsidRPr="00D51822" w:rsidRDefault="00924FA9" w:rsidP="00673231">
            <w:pPr>
              <w:spacing w:after="0" w:line="240" w:lineRule="auto"/>
              <w:jc w:val="both"/>
              <w:rPr>
                <w:rFonts w:ascii="Times New Roman" w:eastAsia="Yu Mincho" w:hAnsi="Times New Roman" w:cs="Times New Roman"/>
                <w:sz w:val="22"/>
                <w:szCs w:val="22"/>
              </w:rPr>
            </w:pPr>
          </w:p>
          <w:p w14:paraId="45AB2E0E" w14:textId="77777777" w:rsidR="00924FA9" w:rsidRPr="00D51822" w:rsidRDefault="00924FA9" w:rsidP="00673231">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2A2C8" w14:textId="77777777" w:rsidR="00924FA9" w:rsidRPr="00D51822" w:rsidRDefault="00924FA9" w:rsidP="00673231">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CFBA861" w14:textId="77777777" w:rsidR="00924FA9" w:rsidRPr="00D51822" w:rsidRDefault="00924FA9" w:rsidP="00673231">
            <w:pPr>
              <w:spacing w:after="0" w:line="240" w:lineRule="auto"/>
              <w:jc w:val="both"/>
              <w:rPr>
                <w:rFonts w:ascii="Times New Roman" w:hAnsi="Times New Roman" w:cs="Times New Roman"/>
                <w:bCs/>
                <w:iCs/>
                <w:sz w:val="22"/>
                <w:szCs w:val="22"/>
                <w:lang w:eastAsia="en-US"/>
              </w:rPr>
            </w:pPr>
          </w:p>
          <w:p w14:paraId="2D773CEC" w14:textId="77777777" w:rsidR="00924FA9" w:rsidRPr="00D51822" w:rsidRDefault="00924FA9" w:rsidP="00673231">
            <w:pPr>
              <w:spacing w:after="0" w:line="240" w:lineRule="auto"/>
              <w:jc w:val="both"/>
              <w:rPr>
                <w:rFonts w:ascii="Times New Roman" w:hAnsi="Times New Roman" w:cs="Times New Roman"/>
                <w:b/>
                <w:bCs/>
                <w:iCs/>
                <w:sz w:val="22"/>
                <w:szCs w:val="22"/>
                <w:lang w:eastAsia="en-US"/>
              </w:rPr>
            </w:pPr>
          </w:p>
        </w:tc>
      </w:tr>
      <w:tr w:rsidR="00924FA9" w:rsidRPr="00D51822" w14:paraId="5CF97896" w14:textId="77777777" w:rsidTr="0067323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296EE" w14:textId="77777777" w:rsidR="00924FA9" w:rsidRPr="00D51822" w:rsidRDefault="00924FA9" w:rsidP="00673231">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4F616" w14:textId="77777777" w:rsidR="00924FA9" w:rsidRPr="00D51822" w:rsidRDefault="00924FA9" w:rsidP="00673231">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18ABA" w14:textId="77777777" w:rsidR="00924FA9" w:rsidRPr="00D51822" w:rsidRDefault="00924FA9" w:rsidP="00673231">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4D13C827" w14:textId="77777777" w:rsidR="00924FA9" w:rsidRPr="00D51822" w:rsidRDefault="00924FA9" w:rsidP="00673231">
            <w:pPr>
              <w:spacing w:after="0" w:line="240" w:lineRule="auto"/>
              <w:jc w:val="both"/>
              <w:rPr>
                <w:rFonts w:ascii="Times New Roman" w:eastAsia="Yu Mincho" w:hAnsi="Times New Roman" w:cs="Times New Roman"/>
                <w:sz w:val="22"/>
                <w:szCs w:val="22"/>
              </w:rPr>
            </w:pPr>
          </w:p>
          <w:p w14:paraId="0AF25E0F" w14:textId="77777777" w:rsidR="00924FA9" w:rsidRPr="00D51822" w:rsidRDefault="00924FA9" w:rsidP="00673231">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F096B" w14:textId="77777777" w:rsidR="00924FA9" w:rsidRPr="00D51822" w:rsidRDefault="00924FA9" w:rsidP="00673231">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EE9088A" w14:textId="77777777" w:rsidR="00924FA9" w:rsidRPr="00D51822" w:rsidRDefault="00924FA9" w:rsidP="00673231">
            <w:pPr>
              <w:spacing w:after="0" w:line="240" w:lineRule="auto"/>
              <w:jc w:val="both"/>
              <w:rPr>
                <w:rFonts w:ascii="Times New Roman" w:hAnsi="Times New Roman" w:cs="Times New Roman"/>
                <w:b/>
                <w:bCs/>
                <w:iCs/>
                <w:sz w:val="22"/>
                <w:szCs w:val="22"/>
                <w:lang w:eastAsia="en-US"/>
              </w:rPr>
            </w:pPr>
          </w:p>
        </w:tc>
      </w:tr>
      <w:tr w:rsidR="00924FA9" w:rsidRPr="00D51822" w14:paraId="7D27B349" w14:textId="77777777" w:rsidTr="0067323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40641" w14:textId="77777777" w:rsidR="00924FA9" w:rsidRPr="00D51822" w:rsidRDefault="00924FA9" w:rsidP="00673231">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0DDCD" w14:textId="77777777" w:rsidR="00924FA9" w:rsidRPr="00D51822" w:rsidRDefault="00924FA9" w:rsidP="00673231">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09FAC7" w14:textId="77777777" w:rsidR="00924FA9" w:rsidRPr="00D51822" w:rsidRDefault="00924FA9" w:rsidP="00673231">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1E6A77E" w14:textId="77777777" w:rsidR="00924FA9" w:rsidRPr="00D51822" w:rsidRDefault="00924FA9" w:rsidP="00673231">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468B5" w14:textId="77777777" w:rsidR="00924FA9" w:rsidRPr="00D51822" w:rsidRDefault="00924FA9" w:rsidP="00673231">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3C21E316" w14:textId="77777777" w:rsidR="00924FA9" w:rsidRPr="00D51822" w:rsidRDefault="00924FA9" w:rsidP="00673231">
            <w:pPr>
              <w:spacing w:after="0" w:line="240" w:lineRule="auto"/>
              <w:jc w:val="both"/>
              <w:rPr>
                <w:rFonts w:ascii="Times New Roman" w:eastAsia="Yu Mincho" w:hAnsi="Times New Roman" w:cs="Times New Roman"/>
                <w:sz w:val="22"/>
                <w:szCs w:val="22"/>
              </w:rPr>
            </w:pPr>
          </w:p>
          <w:p w14:paraId="7B119C3A" w14:textId="77777777" w:rsidR="00924FA9" w:rsidRPr="00D51822" w:rsidRDefault="00924FA9" w:rsidP="00673231">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36A15" w14:textId="77777777" w:rsidR="00924FA9" w:rsidRPr="00D51822" w:rsidRDefault="00924FA9" w:rsidP="00673231">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29A223" w14:textId="77777777" w:rsidR="00924FA9" w:rsidRPr="00D51822" w:rsidRDefault="00924FA9" w:rsidP="00673231">
            <w:pPr>
              <w:spacing w:after="0" w:line="240" w:lineRule="auto"/>
              <w:jc w:val="both"/>
              <w:rPr>
                <w:rFonts w:ascii="Times New Roman" w:hAnsi="Times New Roman" w:cs="Times New Roman"/>
                <w:bCs/>
                <w:iCs/>
                <w:sz w:val="22"/>
                <w:szCs w:val="22"/>
                <w:lang w:eastAsia="en-US"/>
              </w:rPr>
            </w:pPr>
          </w:p>
          <w:p w14:paraId="253DF1F5" w14:textId="77777777" w:rsidR="00924FA9" w:rsidRPr="00D51822" w:rsidRDefault="00924FA9" w:rsidP="00673231">
            <w:pPr>
              <w:spacing w:after="0" w:line="240" w:lineRule="auto"/>
              <w:jc w:val="both"/>
              <w:rPr>
                <w:rFonts w:ascii="Times New Roman" w:hAnsi="Times New Roman" w:cs="Times New Roman"/>
                <w:bCs/>
                <w:iCs/>
                <w:sz w:val="22"/>
                <w:szCs w:val="22"/>
                <w:lang w:eastAsia="en-US"/>
              </w:rPr>
            </w:pPr>
          </w:p>
          <w:p w14:paraId="5478044B" w14:textId="77777777" w:rsidR="00924FA9" w:rsidRPr="00D51822" w:rsidRDefault="00924FA9" w:rsidP="00673231">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B49853E" w14:textId="77777777" w:rsidR="00924FA9" w:rsidRPr="00D51822" w:rsidRDefault="00924FA9" w:rsidP="00673231">
            <w:pPr>
              <w:spacing w:after="0" w:line="240" w:lineRule="auto"/>
              <w:jc w:val="both"/>
              <w:rPr>
                <w:rFonts w:ascii="Times New Roman" w:hAnsi="Times New Roman" w:cs="Times New Roman"/>
                <w:b/>
                <w:bCs/>
                <w:sz w:val="22"/>
                <w:szCs w:val="22"/>
              </w:rPr>
            </w:pPr>
          </w:p>
          <w:p w14:paraId="6E8966C0" w14:textId="77777777" w:rsidR="00924FA9" w:rsidRPr="00D51822" w:rsidRDefault="00924FA9" w:rsidP="00673231">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2837BBAD" w14:textId="77777777" w:rsidR="00924FA9" w:rsidRPr="00D51822" w:rsidRDefault="00924FA9" w:rsidP="00673231">
            <w:pPr>
              <w:spacing w:after="0" w:line="240" w:lineRule="auto"/>
              <w:jc w:val="both"/>
              <w:rPr>
                <w:rFonts w:ascii="Times New Roman" w:hAnsi="Times New Roman" w:cs="Times New Roman"/>
                <w:b/>
                <w:bCs/>
                <w:sz w:val="22"/>
                <w:szCs w:val="22"/>
              </w:rPr>
            </w:pPr>
          </w:p>
        </w:tc>
      </w:tr>
      <w:tr w:rsidR="00924FA9" w:rsidRPr="00D51822" w14:paraId="1787A23D" w14:textId="77777777" w:rsidTr="0067323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5F6BF" w14:textId="77777777" w:rsidR="00924FA9" w:rsidRPr="00D51822" w:rsidRDefault="00924FA9" w:rsidP="00673231">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A7E7B6" w14:textId="77777777" w:rsidR="00924FA9" w:rsidRPr="00D51822" w:rsidRDefault="00924FA9" w:rsidP="00673231">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1015D" w14:textId="77777777" w:rsidR="00924FA9" w:rsidRPr="00D51822" w:rsidRDefault="00924FA9" w:rsidP="00673231">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5E4E3B3A" w14:textId="77777777" w:rsidR="00924FA9" w:rsidRPr="00D51822" w:rsidRDefault="00924FA9" w:rsidP="00673231">
            <w:pPr>
              <w:spacing w:after="0" w:line="240" w:lineRule="auto"/>
              <w:jc w:val="both"/>
              <w:rPr>
                <w:rFonts w:ascii="Times New Roman" w:eastAsia="Yu Mincho" w:hAnsi="Times New Roman" w:cs="Times New Roman"/>
                <w:sz w:val="22"/>
                <w:szCs w:val="22"/>
              </w:rPr>
            </w:pPr>
          </w:p>
          <w:p w14:paraId="7A43163B" w14:textId="77777777" w:rsidR="00924FA9" w:rsidRPr="00D51822" w:rsidRDefault="00924FA9" w:rsidP="00673231">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7AB8C06E" w14:textId="77777777" w:rsidR="00924FA9" w:rsidRPr="00D51822" w:rsidRDefault="00924FA9" w:rsidP="00673231">
            <w:pPr>
              <w:spacing w:after="0" w:line="240" w:lineRule="auto"/>
              <w:jc w:val="both"/>
              <w:rPr>
                <w:rFonts w:ascii="Times New Roman" w:eastAsia="Yu Mincho" w:hAnsi="Times New Roman" w:cs="Times New Roman"/>
                <w:sz w:val="22"/>
                <w:szCs w:val="22"/>
                <w:lang w:eastAsia="en-US"/>
              </w:rPr>
            </w:pPr>
          </w:p>
          <w:p w14:paraId="1CBB247D" w14:textId="77777777" w:rsidR="00924FA9" w:rsidRPr="00D51822" w:rsidRDefault="00924FA9" w:rsidP="00673231">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391DF" w14:textId="77777777" w:rsidR="00924FA9" w:rsidRPr="00D51822" w:rsidRDefault="00924FA9" w:rsidP="00673231">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36AFF646" w14:textId="77777777" w:rsidR="00924FA9" w:rsidRPr="00D51822" w:rsidRDefault="00924FA9" w:rsidP="00673231">
            <w:pPr>
              <w:spacing w:after="0" w:line="240" w:lineRule="auto"/>
              <w:jc w:val="both"/>
              <w:rPr>
                <w:rFonts w:ascii="Times New Roman" w:hAnsi="Times New Roman" w:cs="Times New Roman"/>
                <w:b/>
                <w:bCs/>
                <w:iCs/>
                <w:sz w:val="22"/>
                <w:szCs w:val="22"/>
                <w:lang w:eastAsia="en-US"/>
              </w:rPr>
            </w:pPr>
          </w:p>
        </w:tc>
      </w:tr>
      <w:tr w:rsidR="00924FA9" w:rsidRPr="00D51822" w14:paraId="786C4810" w14:textId="77777777" w:rsidTr="0067323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7CA96" w14:textId="77777777" w:rsidR="00924FA9" w:rsidRPr="00D51822" w:rsidRDefault="00924FA9" w:rsidP="00673231">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3C0D3" w14:textId="77777777" w:rsidR="00924FA9" w:rsidRPr="00D51822" w:rsidRDefault="00924FA9" w:rsidP="00673231">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991A72" w14:textId="77777777" w:rsidR="00924FA9" w:rsidRPr="00D51822" w:rsidRDefault="00924FA9" w:rsidP="00673231">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85F4F" w14:textId="77777777" w:rsidR="00924FA9" w:rsidRPr="00D51822" w:rsidRDefault="00924FA9" w:rsidP="00673231">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338D0FA6" w14:textId="77777777" w:rsidR="00924FA9" w:rsidRPr="00D51822" w:rsidRDefault="00924FA9" w:rsidP="00673231">
            <w:pPr>
              <w:spacing w:after="0" w:line="240" w:lineRule="auto"/>
              <w:jc w:val="both"/>
              <w:rPr>
                <w:rFonts w:ascii="Times New Roman" w:eastAsia="Yu Mincho" w:hAnsi="Times New Roman" w:cs="Times New Roman"/>
                <w:sz w:val="22"/>
                <w:szCs w:val="22"/>
              </w:rPr>
            </w:pPr>
          </w:p>
          <w:p w14:paraId="459E24C0" w14:textId="77777777" w:rsidR="00924FA9" w:rsidRPr="00D51822" w:rsidRDefault="00924FA9" w:rsidP="00673231">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5EF4C499" w14:textId="77777777" w:rsidR="00924FA9" w:rsidRPr="00D51822" w:rsidRDefault="00924FA9" w:rsidP="00673231">
            <w:pPr>
              <w:spacing w:after="0" w:line="240" w:lineRule="auto"/>
              <w:jc w:val="both"/>
              <w:rPr>
                <w:rFonts w:ascii="Times New Roman" w:eastAsia="Yu Mincho" w:hAnsi="Times New Roman" w:cs="Times New Roman"/>
                <w:sz w:val="22"/>
                <w:szCs w:val="22"/>
                <w:lang w:eastAsia="en-US"/>
              </w:rPr>
            </w:pPr>
          </w:p>
          <w:p w14:paraId="6F26FC2B" w14:textId="77777777" w:rsidR="00924FA9" w:rsidRPr="00D51822" w:rsidRDefault="00924FA9" w:rsidP="00673231">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4EE9D" w14:textId="77777777" w:rsidR="00924FA9" w:rsidRPr="00D51822" w:rsidRDefault="00924FA9" w:rsidP="00673231">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362D393" w14:textId="77777777" w:rsidR="00924FA9" w:rsidRPr="00D51822" w:rsidRDefault="00924FA9" w:rsidP="00673231">
            <w:pPr>
              <w:spacing w:after="0" w:line="240" w:lineRule="auto"/>
              <w:jc w:val="both"/>
              <w:rPr>
                <w:rFonts w:ascii="Times New Roman" w:hAnsi="Times New Roman" w:cs="Times New Roman"/>
                <w:bCs/>
                <w:iCs/>
                <w:sz w:val="22"/>
                <w:szCs w:val="22"/>
                <w:lang w:eastAsia="en-US"/>
              </w:rPr>
            </w:pPr>
          </w:p>
          <w:p w14:paraId="615BA6BC" w14:textId="77777777" w:rsidR="00924FA9" w:rsidRPr="00D51822" w:rsidRDefault="00924FA9" w:rsidP="00673231">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4186F90" w14:textId="77777777" w:rsidR="00924FA9" w:rsidRPr="00D51822" w:rsidRDefault="00924FA9" w:rsidP="00673231">
            <w:pPr>
              <w:spacing w:after="0" w:line="240" w:lineRule="auto"/>
              <w:jc w:val="both"/>
              <w:rPr>
                <w:rFonts w:ascii="Times New Roman" w:hAnsi="Times New Roman" w:cs="Times New Roman"/>
                <w:sz w:val="22"/>
                <w:szCs w:val="22"/>
              </w:rPr>
            </w:pPr>
          </w:p>
          <w:p w14:paraId="087CA50F" w14:textId="77777777" w:rsidR="00924FA9" w:rsidRPr="00D51822" w:rsidRDefault="00924FA9" w:rsidP="00673231">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0D4D757" w14:textId="77777777" w:rsidR="00924FA9" w:rsidRPr="00D51822" w:rsidRDefault="00924FA9" w:rsidP="00673231">
            <w:pPr>
              <w:spacing w:after="0" w:line="240" w:lineRule="auto"/>
              <w:jc w:val="both"/>
              <w:rPr>
                <w:rFonts w:ascii="Times New Roman" w:hAnsi="Times New Roman" w:cs="Times New Roman"/>
                <w:sz w:val="22"/>
                <w:szCs w:val="22"/>
              </w:rPr>
            </w:pPr>
          </w:p>
          <w:p w14:paraId="7055E27E" w14:textId="77777777" w:rsidR="00924FA9" w:rsidRPr="00D51822" w:rsidRDefault="00924FA9" w:rsidP="00673231">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29DEFD53" w14:textId="77777777" w:rsidR="00924FA9" w:rsidRPr="00D51822" w:rsidRDefault="00924FA9" w:rsidP="00673231">
            <w:pPr>
              <w:spacing w:after="0" w:line="240" w:lineRule="auto"/>
              <w:jc w:val="both"/>
              <w:rPr>
                <w:rFonts w:ascii="Times New Roman" w:hAnsi="Times New Roman" w:cs="Times New Roman"/>
                <w:bCs/>
                <w:sz w:val="22"/>
                <w:szCs w:val="22"/>
              </w:rPr>
            </w:pPr>
          </w:p>
          <w:p w14:paraId="6AA9353D" w14:textId="77777777" w:rsidR="00924FA9" w:rsidRPr="00D51822" w:rsidRDefault="00924FA9" w:rsidP="00673231">
            <w:pPr>
              <w:spacing w:after="0" w:line="240" w:lineRule="auto"/>
              <w:jc w:val="both"/>
              <w:rPr>
                <w:rFonts w:ascii="Times New Roman" w:hAnsi="Times New Roman" w:cs="Times New Roman"/>
                <w:b/>
                <w:bCs/>
                <w:sz w:val="22"/>
                <w:szCs w:val="22"/>
              </w:rPr>
            </w:pPr>
          </w:p>
        </w:tc>
      </w:tr>
      <w:tr w:rsidR="00924FA9" w:rsidRPr="00D51822" w14:paraId="301023A6" w14:textId="77777777" w:rsidTr="0067323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58505" w14:textId="77777777" w:rsidR="00924FA9" w:rsidRPr="00D51822" w:rsidRDefault="00924FA9" w:rsidP="00673231">
            <w:pPr>
              <w:numPr>
                <w:ilvl w:val="0"/>
                <w:numId w:val="26"/>
              </w:numPr>
              <w:spacing w:after="0" w:line="240" w:lineRule="auto"/>
              <w:ind w:left="0" w:firstLine="0"/>
              <w:rPr>
                <w:rFonts w:ascii="Times New Roman" w:hAnsi="Times New Roman" w:cs="Times New Roman"/>
                <w:sz w:val="22"/>
                <w:szCs w:val="22"/>
              </w:rPr>
            </w:pPr>
          </w:p>
          <w:p w14:paraId="6D9D10B7" w14:textId="77777777" w:rsidR="00924FA9" w:rsidRPr="00D51822" w:rsidRDefault="00924FA9" w:rsidP="00673231">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73F15" w14:textId="77777777" w:rsidR="00924FA9" w:rsidRPr="00D51822" w:rsidRDefault="00924FA9" w:rsidP="00673231">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E5BD32E" w14:textId="77777777" w:rsidR="00924FA9" w:rsidRPr="00D51822" w:rsidRDefault="00924FA9" w:rsidP="00673231">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181A6" w14:textId="77777777" w:rsidR="00924FA9" w:rsidRPr="00D51822" w:rsidRDefault="00924FA9" w:rsidP="00673231">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4197938C" w14:textId="77777777" w:rsidR="00924FA9" w:rsidRPr="00D51822" w:rsidRDefault="00924FA9" w:rsidP="00673231">
            <w:pPr>
              <w:spacing w:after="0" w:line="240" w:lineRule="auto"/>
              <w:jc w:val="both"/>
              <w:rPr>
                <w:rFonts w:ascii="Times New Roman" w:eastAsia="Yu Mincho" w:hAnsi="Times New Roman" w:cs="Times New Roman"/>
                <w:sz w:val="22"/>
                <w:szCs w:val="22"/>
              </w:rPr>
            </w:pPr>
          </w:p>
          <w:p w14:paraId="6F043E51" w14:textId="77777777" w:rsidR="00924FA9" w:rsidRPr="00D51822" w:rsidRDefault="00924FA9" w:rsidP="00673231">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7AF2D" w14:textId="77777777" w:rsidR="00924FA9" w:rsidRPr="00D51822" w:rsidRDefault="00924FA9" w:rsidP="00673231">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3D680DAA" w14:textId="77777777" w:rsidR="00924FA9" w:rsidRPr="00D51822" w:rsidRDefault="00924FA9" w:rsidP="00673231">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BE11510" w14:textId="77777777" w:rsidR="00924FA9" w:rsidRPr="00D51822" w:rsidRDefault="00924FA9" w:rsidP="00673231">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64F1ECA3" w14:textId="77777777" w:rsidR="00924FA9" w:rsidRPr="00D51822" w:rsidRDefault="00924FA9" w:rsidP="00673231">
            <w:pPr>
              <w:spacing w:after="0" w:line="240" w:lineRule="auto"/>
              <w:jc w:val="both"/>
              <w:rPr>
                <w:rFonts w:ascii="Times New Roman" w:hAnsi="Times New Roman" w:cs="Times New Roman"/>
                <w:b/>
                <w:bCs/>
                <w:iCs/>
                <w:sz w:val="22"/>
                <w:szCs w:val="22"/>
              </w:rPr>
            </w:pPr>
          </w:p>
        </w:tc>
      </w:tr>
      <w:tr w:rsidR="00924FA9" w:rsidRPr="00D51822" w14:paraId="20569551" w14:textId="77777777" w:rsidTr="0067323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4697F" w14:textId="77777777" w:rsidR="00924FA9" w:rsidRPr="00D51822" w:rsidRDefault="00924FA9" w:rsidP="00673231">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0374E" w14:textId="77777777" w:rsidR="00924FA9" w:rsidRPr="00D51822" w:rsidRDefault="00924FA9" w:rsidP="00673231">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68315" w14:textId="77777777" w:rsidR="00924FA9" w:rsidRPr="00D51822" w:rsidRDefault="00924FA9" w:rsidP="00673231">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4AAF64A4" w14:textId="77777777" w:rsidR="00924FA9" w:rsidRPr="00D51822" w:rsidRDefault="00924FA9" w:rsidP="00673231">
            <w:pPr>
              <w:spacing w:after="0" w:line="240" w:lineRule="auto"/>
              <w:jc w:val="both"/>
              <w:rPr>
                <w:rFonts w:ascii="Times New Roman" w:eastAsia="Yu Mincho" w:hAnsi="Times New Roman" w:cs="Times New Roman"/>
                <w:sz w:val="22"/>
                <w:szCs w:val="22"/>
              </w:rPr>
            </w:pPr>
          </w:p>
          <w:p w14:paraId="45B4C144" w14:textId="77777777" w:rsidR="00924FA9" w:rsidRPr="00D51822" w:rsidRDefault="00924FA9" w:rsidP="00673231">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737CD" w14:textId="77777777" w:rsidR="00924FA9" w:rsidRPr="00D51822" w:rsidRDefault="00924FA9" w:rsidP="00673231">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CD4951C" w14:textId="77777777" w:rsidR="00924FA9" w:rsidRPr="00D51822" w:rsidRDefault="00924FA9" w:rsidP="00673231">
            <w:pPr>
              <w:spacing w:after="0" w:line="240" w:lineRule="auto"/>
              <w:jc w:val="both"/>
              <w:rPr>
                <w:rFonts w:ascii="Times New Roman" w:hAnsi="Times New Roman" w:cs="Times New Roman"/>
                <w:b/>
                <w:bCs/>
                <w:iCs/>
                <w:sz w:val="22"/>
                <w:szCs w:val="22"/>
                <w:lang w:eastAsia="en-US"/>
              </w:rPr>
            </w:pPr>
          </w:p>
          <w:p w14:paraId="5268FA49" w14:textId="77777777" w:rsidR="00924FA9" w:rsidRPr="00D51822" w:rsidRDefault="00924FA9" w:rsidP="00673231">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924FA9" w:rsidRPr="00D51822" w14:paraId="0FA66233" w14:textId="77777777" w:rsidTr="0067323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B1340" w14:textId="77777777" w:rsidR="00924FA9" w:rsidRPr="00D51822" w:rsidRDefault="00924FA9" w:rsidP="00673231">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E5B63" w14:textId="77777777" w:rsidR="00924FA9" w:rsidRPr="00D51822" w:rsidRDefault="00924FA9" w:rsidP="00673231">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4B657" w14:textId="77777777" w:rsidR="00924FA9" w:rsidRPr="00D51822" w:rsidRDefault="00924FA9" w:rsidP="00673231">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4A63E51F" w14:textId="77777777" w:rsidR="00924FA9" w:rsidRPr="00D51822" w:rsidRDefault="00924FA9" w:rsidP="00673231">
            <w:pPr>
              <w:spacing w:after="0" w:line="240" w:lineRule="auto"/>
              <w:jc w:val="both"/>
              <w:rPr>
                <w:rFonts w:ascii="Times New Roman" w:eastAsia="Yu Mincho" w:hAnsi="Times New Roman" w:cs="Times New Roman"/>
                <w:sz w:val="22"/>
                <w:szCs w:val="22"/>
              </w:rPr>
            </w:pPr>
          </w:p>
          <w:p w14:paraId="7559B4F8" w14:textId="77777777" w:rsidR="00924FA9" w:rsidRPr="00D51822" w:rsidRDefault="00924FA9" w:rsidP="00673231">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07EB7" w14:textId="77777777" w:rsidR="00924FA9" w:rsidRPr="00D51822" w:rsidRDefault="00924FA9" w:rsidP="00673231">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589E642" w14:textId="77777777" w:rsidR="00924FA9" w:rsidRPr="00D51822" w:rsidRDefault="00924FA9" w:rsidP="00673231">
            <w:pPr>
              <w:spacing w:after="0" w:line="240" w:lineRule="auto"/>
              <w:jc w:val="both"/>
              <w:rPr>
                <w:rFonts w:ascii="Times New Roman" w:hAnsi="Times New Roman" w:cs="Times New Roman"/>
                <w:bCs/>
                <w:iCs/>
                <w:sz w:val="22"/>
                <w:szCs w:val="22"/>
                <w:lang w:eastAsia="en-US"/>
              </w:rPr>
            </w:pPr>
          </w:p>
          <w:p w14:paraId="66533928" w14:textId="77777777" w:rsidR="00924FA9" w:rsidRPr="00D51822" w:rsidRDefault="00924FA9" w:rsidP="00673231">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1C4A2CD" w14:textId="77777777" w:rsidR="00924FA9" w:rsidRPr="00D51822" w:rsidRDefault="00924FA9" w:rsidP="00673231">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D11FC31" w14:textId="77777777" w:rsidR="00924FA9" w:rsidRPr="001620D3" w:rsidRDefault="00924FA9" w:rsidP="00924FA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604D073" w14:textId="77777777" w:rsidR="00924FA9" w:rsidRPr="001620D3" w:rsidRDefault="00924FA9" w:rsidP="00924FA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BD8DF0" w14:textId="77777777" w:rsidR="00924FA9" w:rsidRPr="001620D3" w:rsidRDefault="00924FA9" w:rsidP="00924FA9">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FB18F1" w14:textId="77777777" w:rsidR="00924FA9" w:rsidRDefault="00924FA9" w:rsidP="00924FA9">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EF886A1" w14:textId="77777777" w:rsidR="00924FA9" w:rsidRPr="001620D3" w:rsidRDefault="00924FA9" w:rsidP="00924FA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51A75B" w14:textId="77777777" w:rsidR="00924FA9" w:rsidRPr="001620D3" w:rsidRDefault="00924FA9" w:rsidP="00924FA9">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A8E11DE" w14:textId="77777777" w:rsidR="00924FA9" w:rsidRDefault="00924FA9" w:rsidP="00924FA9">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7505A40" w14:textId="77777777" w:rsidR="00924FA9" w:rsidRPr="001620D3" w:rsidRDefault="00924FA9" w:rsidP="00924FA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A3129A" w14:textId="77777777" w:rsidR="00924FA9" w:rsidRPr="001620D3" w:rsidRDefault="00924FA9" w:rsidP="00924FA9">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B0D977B" w14:textId="77777777" w:rsidR="00924FA9" w:rsidRDefault="00924FA9" w:rsidP="00924FA9">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E5"/>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117"/>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6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A4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EFE"/>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31F"/>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2C7"/>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8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6B26"/>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6CD3"/>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FA9"/>
    <w:rsid w:val="00925348"/>
    <w:rsid w:val="00925B2D"/>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9B"/>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61"/>
    <w:rsid w:val="00EF13E9"/>
    <w:rsid w:val="00EF22B7"/>
    <w:rsid w:val="00EF2BB9"/>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065"/>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249"/>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25</Pages>
  <Words>29652</Words>
  <Characters>16902</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17</cp:revision>
  <cp:lastPrinted>2024-08-12T11:05:00Z</cp:lastPrinted>
  <dcterms:created xsi:type="dcterms:W3CDTF">2024-12-04T07:05:00Z</dcterms:created>
  <dcterms:modified xsi:type="dcterms:W3CDTF">2025-03-06T08:08:00Z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