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1218"/>
        <w:gridCol w:w="1371"/>
        <w:gridCol w:w="1371"/>
        <w:gridCol w:w="1924"/>
        <w:gridCol w:w="236"/>
      </w:tblGrid>
      <w:tr w:rsidR="00664072" w:rsidRPr="00EF175A" w14:paraId="07759F08" w14:textId="77777777" w:rsidTr="00A86C0E">
        <w:trPr>
          <w:cantSplit/>
          <w:trHeight w:val="284"/>
        </w:trPr>
        <w:tc>
          <w:tcPr>
            <w:tcW w:w="37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D12A4" w14:textId="77777777" w:rsidR="00664072" w:rsidRPr="00EF175A" w:rsidRDefault="00DA6A87" w:rsidP="00597AAD">
            <w:pPr>
              <w:pStyle w:val="Antrats"/>
              <w:tabs>
                <w:tab w:val="left" w:pos="1296"/>
              </w:tabs>
            </w:pPr>
            <w:r w:rsidRPr="00EF175A">
              <w:t>Tiekėjams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109DA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3B5CF" w14:textId="77777777" w:rsidR="00664072" w:rsidRPr="00EF175A" w:rsidRDefault="00664072" w:rsidP="00E26393">
            <w:pPr>
              <w:jc w:val="right"/>
            </w:pPr>
            <w:r w:rsidRPr="00EF175A">
              <w:t xml:space="preserve">        </w:t>
            </w: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6FDC" w14:textId="18852E8A" w:rsidR="00664072" w:rsidRPr="00EF175A" w:rsidRDefault="00E26393" w:rsidP="00E26393">
            <w:pPr>
              <w:jc w:val="right"/>
            </w:pPr>
            <w:r w:rsidRPr="00EF175A">
              <w:t>202</w:t>
            </w:r>
            <w:r w:rsidR="00BE1A17">
              <w:t>5</w:t>
            </w:r>
            <w:r w:rsidR="00FA3681" w:rsidRPr="00EF175A">
              <w:t>-0</w:t>
            </w:r>
            <w:r w:rsidR="00BE1A17">
              <w:t>3</w:t>
            </w:r>
            <w:r w:rsidR="00FA3681" w:rsidRPr="00EF175A">
              <w:t>-</w:t>
            </w:r>
            <w:r w:rsidR="00BE1A17">
              <w:t>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A2475" w14:textId="77777777" w:rsidR="00664072" w:rsidRPr="00EF175A" w:rsidRDefault="00664072" w:rsidP="00597AAD"/>
        </w:tc>
      </w:tr>
      <w:tr w:rsidR="00664072" w:rsidRPr="00EF175A" w14:paraId="26815455" w14:textId="77777777" w:rsidTr="00A86C0E">
        <w:trPr>
          <w:cantSplit/>
          <w:trHeight w:val="283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B991" w14:textId="77777777" w:rsidR="00664072" w:rsidRPr="00EF175A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CA57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3D34" w14:textId="77777777" w:rsidR="00664072" w:rsidRPr="00EF175A" w:rsidRDefault="00664072" w:rsidP="00597AAD">
            <w:pPr>
              <w:jc w:val="right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C650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CBD68" w14:textId="77777777" w:rsidR="00664072" w:rsidRPr="00EF175A" w:rsidRDefault="00664072" w:rsidP="00597AAD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B3087" w14:textId="77777777" w:rsidR="00664072" w:rsidRPr="00EF175A" w:rsidRDefault="00664072" w:rsidP="00597AAD"/>
        </w:tc>
      </w:tr>
      <w:tr w:rsidR="00664072" w:rsidRPr="00EF175A" w14:paraId="3F543E3A" w14:textId="77777777" w:rsidTr="00A86C0E">
        <w:trPr>
          <w:cantSplit/>
          <w:trHeight w:val="565"/>
        </w:trPr>
        <w:tc>
          <w:tcPr>
            <w:tcW w:w="370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CF794" w14:textId="77777777" w:rsidR="00664072" w:rsidRPr="00EF175A" w:rsidRDefault="00664072" w:rsidP="00597AAD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2B32C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060A0" w14:textId="77777777" w:rsidR="00664072" w:rsidRPr="00EF175A" w:rsidRDefault="00664072" w:rsidP="00597AAD">
            <w:pPr>
              <w:jc w:val="center"/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79219" w14:textId="77777777" w:rsidR="00664072" w:rsidRPr="00EF175A" w:rsidRDefault="00664072" w:rsidP="00597AA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96DC" w14:textId="77777777" w:rsidR="00664072" w:rsidRPr="00EF175A" w:rsidRDefault="00664072" w:rsidP="00597AAD">
            <w:pPr>
              <w:jc w:val="center"/>
            </w:pPr>
          </w:p>
        </w:tc>
      </w:tr>
      <w:tr w:rsidR="00664072" w:rsidRPr="00EF175A" w14:paraId="530A5990" w14:textId="77777777" w:rsidTr="00A86C0E">
        <w:trPr>
          <w:cantSplit/>
          <w:trHeight w:val="995"/>
        </w:trPr>
        <w:tc>
          <w:tcPr>
            <w:tcW w:w="9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41BC7" w14:textId="51403BB5" w:rsidR="00664072" w:rsidRPr="00EF175A" w:rsidRDefault="00664072" w:rsidP="00A55A54">
            <w:pPr>
              <w:ind w:firstLine="37"/>
              <w:rPr>
                <w:b/>
              </w:rPr>
            </w:pPr>
            <w:r w:rsidRPr="00EF175A">
              <w:rPr>
                <w:b/>
              </w:rPr>
              <w:t xml:space="preserve">DĖL PIRKIMO </w:t>
            </w:r>
            <w:r w:rsidR="00BE1A17">
              <w:rPr>
                <w:b/>
              </w:rPr>
              <w:t>ID</w:t>
            </w:r>
            <w:r w:rsidRPr="00EF175A">
              <w:rPr>
                <w:b/>
              </w:rPr>
              <w:t xml:space="preserve"> </w:t>
            </w:r>
            <w:r w:rsidR="00BE1A17">
              <w:rPr>
                <w:b/>
              </w:rPr>
              <w:t>1</w:t>
            </w:r>
            <w:r w:rsidR="00F93ABA" w:rsidRPr="00EF175A">
              <w:rPr>
                <w:b/>
                <w:caps/>
              </w:rPr>
              <w:t>4</w:t>
            </w:r>
            <w:r w:rsidR="00BE1A17">
              <w:rPr>
                <w:b/>
                <w:caps/>
              </w:rPr>
              <w:t>2</w:t>
            </w:r>
            <w:r w:rsidR="00F93ABA" w:rsidRPr="00EF175A">
              <w:rPr>
                <w:b/>
                <w:caps/>
              </w:rPr>
              <w:t>8</w:t>
            </w:r>
            <w:r w:rsidR="00BE1A17">
              <w:rPr>
                <w:b/>
                <w:caps/>
              </w:rPr>
              <w:t>203</w:t>
            </w:r>
            <w:r w:rsidR="00C02076" w:rsidRPr="00EF175A">
              <w:rPr>
                <w:b/>
                <w:color w:val="333333"/>
                <w:shd w:val="clear" w:color="auto" w:fill="FFFFFF"/>
              </w:rPr>
              <w:t xml:space="preserve"> 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>ATSAKYM</w:t>
            </w:r>
            <w:r w:rsidR="00D8151B" w:rsidRPr="00EF175A">
              <w:rPr>
                <w:b/>
                <w:color w:val="333333"/>
                <w:shd w:val="clear" w:color="auto" w:fill="FFFFFF"/>
              </w:rPr>
              <w:t>Ų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 xml:space="preserve"> Į TIEKĖJ</w:t>
            </w:r>
            <w:r w:rsidR="00D8151B" w:rsidRPr="00EF175A">
              <w:rPr>
                <w:b/>
                <w:color w:val="333333"/>
                <w:shd w:val="clear" w:color="auto" w:fill="FFFFFF"/>
              </w:rPr>
              <w:t>Ų</w:t>
            </w:r>
            <w:r w:rsidR="00DA6A87" w:rsidRPr="00EF175A">
              <w:rPr>
                <w:b/>
                <w:color w:val="333333"/>
                <w:shd w:val="clear" w:color="auto" w:fill="FFFFFF"/>
              </w:rPr>
              <w:t xml:space="preserve"> </w:t>
            </w:r>
            <w:r w:rsidR="00F93ABA" w:rsidRPr="00EF175A">
              <w:rPr>
                <w:b/>
                <w:color w:val="333333"/>
                <w:shd w:val="clear" w:color="auto" w:fill="FFFFFF"/>
              </w:rPr>
              <w:t>KLAUSIMUS</w:t>
            </w:r>
          </w:p>
        </w:tc>
      </w:tr>
    </w:tbl>
    <w:p w14:paraId="4F1AD2F6" w14:textId="77777777" w:rsidR="00EE2AB4" w:rsidRPr="00EF175A" w:rsidRDefault="00EE2AB4" w:rsidP="008C4ADF">
      <w:pPr>
        <w:ind w:firstLine="1418"/>
        <w:jc w:val="both"/>
      </w:pPr>
    </w:p>
    <w:p w14:paraId="531C058D" w14:textId="22A2BD85" w:rsidR="00CD1C8E" w:rsidRPr="00EF175A" w:rsidRDefault="00CD1C8E" w:rsidP="00CD1C8E">
      <w:pPr>
        <w:ind w:firstLine="1418"/>
        <w:jc w:val="both"/>
      </w:pPr>
      <w:r w:rsidRPr="00EF175A">
        <w:t>CVP IS priemonėmis 202</w:t>
      </w:r>
      <w:r w:rsidR="00BE1A17">
        <w:t>5</w:t>
      </w:r>
      <w:r w:rsidRPr="00EF175A">
        <w:t>-0</w:t>
      </w:r>
      <w:r w:rsidR="00BE1A17">
        <w:t>3</w:t>
      </w:r>
      <w:r w:rsidRPr="00EF175A">
        <w:t>-</w:t>
      </w:r>
      <w:r w:rsidR="00BE1A17">
        <w:t>06</w:t>
      </w:r>
      <w:r w:rsidRPr="00EF175A">
        <w:t xml:space="preserve"> gaut</w:t>
      </w:r>
      <w:r w:rsidR="00416024" w:rsidRPr="00EF175A">
        <w:t>i</w:t>
      </w:r>
      <w:r w:rsidRPr="00EF175A">
        <w:t xml:space="preserve"> tiekėj</w:t>
      </w:r>
      <w:r w:rsidR="00515F52" w:rsidRPr="00EF175A">
        <w:t>ų</w:t>
      </w:r>
      <w:r w:rsidRPr="00EF175A">
        <w:t xml:space="preserve"> klausimai, į kuriuos komisija atsako taip, kaip nurodyta</w:t>
      </w:r>
      <w:r w:rsidR="001019B0" w:rsidRPr="00EF175A">
        <w:t xml:space="preserve"> 1 lentelės</w:t>
      </w:r>
      <w:r w:rsidRPr="00EF175A">
        <w:t xml:space="preserve"> tekste „Atsakymai“:</w:t>
      </w:r>
    </w:p>
    <w:p w14:paraId="750DD86C" w14:textId="77777777" w:rsidR="00052818" w:rsidRPr="00EF175A" w:rsidRDefault="00052818" w:rsidP="00CD1C8E">
      <w:pPr>
        <w:ind w:firstLine="1418"/>
        <w:jc w:val="both"/>
      </w:pPr>
    </w:p>
    <w:p w14:paraId="2F349E26" w14:textId="77777777" w:rsidR="001019B0" w:rsidRPr="00EF175A" w:rsidRDefault="001019B0" w:rsidP="001019B0">
      <w:pPr>
        <w:ind w:firstLine="1296"/>
        <w:jc w:val="both"/>
      </w:pPr>
      <w:r w:rsidRPr="00EF175A">
        <w:rPr>
          <w:rFonts w:cs="Arial"/>
        </w:rPr>
        <w:tab/>
      </w:r>
      <w:r w:rsidRPr="00EF175A">
        <w:rPr>
          <w:rFonts w:cs="Arial"/>
        </w:rPr>
        <w:tab/>
      </w:r>
      <w:r w:rsidRPr="00EF175A">
        <w:rPr>
          <w:rFonts w:cs="Arial"/>
        </w:rPr>
        <w:tab/>
      </w:r>
      <w:r w:rsidRPr="00EF175A">
        <w:rPr>
          <w:rFonts w:cs="Arial"/>
        </w:rPr>
        <w:tab/>
      </w:r>
      <w:r w:rsidRPr="00EF175A">
        <w:rPr>
          <w:rFonts w:cs="Arial"/>
        </w:rPr>
        <w:tab/>
      </w:r>
      <w:r w:rsidRPr="00EF175A">
        <w:t>1 lentelė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3254"/>
      </w:tblGrid>
      <w:tr w:rsidR="00BE1A17" w:rsidRPr="00D41D8D" w14:paraId="02BA52EF" w14:textId="77777777" w:rsidTr="00061D03">
        <w:tc>
          <w:tcPr>
            <w:tcW w:w="704" w:type="dxa"/>
          </w:tcPr>
          <w:p w14:paraId="3CDF2F65" w14:textId="77777777" w:rsidR="00BE1A17" w:rsidRPr="00D41D8D" w:rsidRDefault="00BE1A17" w:rsidP="00061D03">
            <w:pPr>
              <w:jc w:val="center"/>
              <w:rPr>
                <w:b/>
              </w:rPr>
            </w:pPr>
            <w:r w:rsidRPr="00D41D8D">
              <w:rPr>
                <w:b/>
              </w:rPr>
              <w:t>Eil. Nr.</w:t>
            </w:r>
          </w:p>
        </w:tc>
        <w:tc>
          <w:tcPr>
            <w:tcW w:w="5670" w:type="dxa"/>
          </w:tcPr>
          <w:p w14:paraId="5929FEE5" w14:textId="77777777" w:rsidR="00BE1A17" w:rsidRPr="00D41D8D" w:rsidRDefault="00BE1A17" w:rsidP="00061D03">
            <w:pPr>
              <w:jc w:val="center"/>
              <w:rPr>
                <w:b/>
              </w:rPr>
            </w:pPr>
            <w:r w:rsidRPr="00D41D8D">
              <w:rPr>
                <w:b/>
              </w:rPr>
              <w:t>Klausimai</w:t>
            </w:r>
          </w:p>
        </w:tc>
        <w:tc>
          <w:tcPr>
            <w:tcW w:w="3254" w:type="dxa"/>
          </w:tcPr>
          <w:p w14:paraId="3B2482CA" w14:textId="77777777" w:rsidR="00BE1A17" w:rsidRPr="00D41D8D" w:rsidRDefault="00BE1A17" w:rsidP="00061D03">
            <w:pPr>
              <w:jc w:val="center"/>
              <w:rPr>
                <w:b/>
              </w:rPr>
            </w:pPr>
            <w:r w:rsidRPr="00D41D8D">
              <w:rPr>
                <w:b/>
              </w:rPr>
              <w:t>Atsakymai</w:t>
            </w:r>
          </w:p>
        </w:tc>
      </w:tr>
      <w:tr w:rsidR="00BE1A17" w:rsidRPr="00D41D8D" w14:paraId="3D8E2918" w14:textId="77777777" w:rsidTr="00061D03">
        <w:tc>
          <w:tcPr>
            <w:tcW w:w="704" w:type="dxa"/>
          </w:tcPr>
          <w:p w14:paraId="410C3C3E" w14:textId="77777777" w:rsidR="00BE1A17" w:rsidRPr="00D41D8D" w:rsidRDefault="00BE1A17" w:rsidP="00061D03">
            <w:pPr>
              <w:jc w:val="both"/>
            </w:pPr>
            <w:r w:rsidRPr="00D41D8D">
              <w:t>1.</w:t>
            </w:r>
          </w:p>
        </w:tc>
        <w:tc>
          <w:tcPr>
            <w:tcW w:w="5670" w:type="dxa"/>
          </w:tcPr>
          <w:p w14:paraId="0D6FF0D1" w14:textId="77777777" w:rsidR="00BE1A17" w:rsidRPr="00D41D8D" w:rsidRDefault="00BE1A17" w:rsidP="00061D03">
            <w:pPr>
              <w:rPr>
                <w:b/>
                <w:bCs/>
              </w:rPr>
            </w:pPr>
            <w:r w:rsidRPr="00D41D8D">
              <w:rPr>
                <w:b/>
                <w:bCs/>
              </w:rPr>
              <w:t>Esama situacija</w:t>
            </w:r>
          </w:p>
          <w:p w14:paraId="1A7647B0" w14:textId="77777777" w:rsidR="00BE1A17" w:rsidRPr="00D41D8D" w:rsidRDefault="00BE1A17" w:rsidP="00061D03">
            <w:r w:rsidRPr="00D41D8D">
              <w:t xml:space="preserve">Projekto, Susisiekimo. Miesto gatvių dalies, techninių specifikacijų, 13 skyriuje pateiktos </w:t>
            </w:r>
            <w:proofErr w:type="spellStart"/>
            <w:r w:rsidRPr="00D41D8D">
              <w:t>geotinklo</w:t>
            </w:r>
            <w:proofErr w:type="spellEnd"/>
            <w:r w:rsidRPr="00D41D8D">
              <w:t xml:space="preserve"> 40/40 </w:t>
            </w:r>
            <w:proofErr w:type="spellStart"/>
            <w:r w:rsidRPr="00D41D8D">
              <w:t>kN</w:t>
            </w:r>
            <w:proofErr w:type="spellEnd"/>
            <w:r w:rsidRPr="00D41D8D">
              <w:t xml:space="preserve">/m techninės specifikacijos, kuriose nurodoma, kad </w:t>
            </w:r>
            <w:proofErr w:type="spellStart"/>
            <w:r w:rsidRPr="00D41D8D">
              <w:t>geotinklo</w:t>
            </w:r>
            <w:proofErr w:type="spellEnd"/>
            <w:r w:rsidRPr="00D41D8D">
              <w:t xml:space="preserve"> kiaurymės matmuo turi būti 30≤ x &lt;45 mm. Tačiau MN GEOSINT ŽD 13 nurodo, jog „Optimalus grunto dalelių susikabinimas su </w:t>
            </w:r>
            <w:proofErr w:type="spellStart"/>
            <w:r w:rsidRPr="00D41D8D">
              <w:t>geotinklu</w:t>
            </w:r>
            <w:proofErr w:type="spellEnd"/>
            <w:r w:rsidRPr="00D41D8D">
              <w:t xml:space="preserve"> yra įmanomas, kai yra laikomasi šio santykio tarp efektyvaus </w:t>
            </w:r>
            <w:proofErr w:type="spellStart"/>
            <w:r w:rsidRPr="00D41D8D">
              <w:t>geotinklo</w:t>
            </w:r>
            <w:proofErr w:type="spellEnd"/>
            <w:r w:rsidRPr="00D41D8D">
              <w:t xml:space="preserve"> akučių dydžio ir pamatinio grunto stambių dalelių (d85): d85 ≥ 0.5∙O</w:t>
            </w:r>
            <w:r w:rsidRPr="00D41D8D">
              <w:rPr>
                <w:vertAlign w:val="subscript"/>
              </w:rPr>
              <w:t>ef</w:t>
            </w:r>
            <w:r w:rsidRPr="00D41D8D">
              <w:t xml:space="preserve"> ir d85 ≤ 3.0∙O</w:t>
            </w:r>
            <w:r w:rsidRPr="00D41D8D">
              <w:rPr>
                <w:vertAlign w:val="subscript"/>
              </w:rPr>
              <w:t>ef</w:t>
            </w:r>
            <w:r w:rsidRPr="00D41D8D">
              <w:t>“. Žinant tai, kad projekte bus naudojamas AŠAS, numatomas optimalus akutės dydis turėtų būti 7,47 mm ≤ akutės dydis ≤ 44,8 mm.</w:t>
            </w:r>
          </w:p>
          <w:p w14:paraId="46A8E289" w14:textId="77777777" w:rsidR="00BE1A17" w:rsidRPr="00D41D8D" w:rsidRDefault="00BE1A17" w:rsidP="00061D03">
            <w:r w:rsidRPr="00D41D8D">
              <w:rPr>
                <w:b/>
                <w:bCs/>
              </w:rPr>
              <w:t>Klausimas</w:t>
            </w:r>
          </w:p>
          <w:p w14:paraId="58077311" w14:textId="77777777" w:rsidR="00BE1A17" w:rsidRPr="00D41D8D" w:rsidRDefault="00BE1A17" w:rsidP="00061D03">
            <w:r w:rsidRPr="00D41D8D">
              <w:t xml:space="preserve">Prašome patvirtinti, kad rangovas gali vertintis ir </w:t>
            </w:r>
            <w:proofErr w:type="spellStart"/>
            <w:r w:rsidRPr="00D41D8D">
              <w:t>geotinklą</w:t>
            </w:r>
            <w:proofErr w:type="spellEnd"/>
            <w:r w:rsidRPr="00D41D8D">
              <w:t>, kurio akutės matmuo yra 7,47 mm ≤ akutės dydis ≤ 44,8 mm.</w:t>
            </w:r>
          </w:p>
        </w:tc>
        <w:tc>
          <w:tcPr>
            <w:tcW w:w="3254" w:type="dxa"/>
          </w:tcPr>
          <w:p w14:paraId="30D63017" w14:textId="77777777" w:rsidR="00BE1A17" w:rsidRPr="00130501" w:rsidRDefault="00BE1A17" w:rsidP="00061D03">
            <w:r w:rsidRPr="00130501">
              <w:t xml:space="preserve">Patvirtiname, kad tiekėjas gali vertintis </w:t>
            </w:r>
            <w:proofErr w:type="spellStart"/>
            <w:r w:rsidRPr="00130501">
              <w:t>geotinklą</w:t>
            </w:r>
            <w:proofErr w:type="spellEnd"/>
            <w:r w:rsidRPr="00130501">
              <w:t>, kurio akutės matmuo yra 7,47 mm ≤ akutės dydis ≤ 44,8 mm.</w:t>
            </w:r>
          </w:p>
          <w:p w14:paraId="23FF9ED3" w14:textId="77777777" w:rsidR="00BE1A17" w:rsidRPr="00130501" w:rsidRDefault="00BE1A17" w:rsidP="00061D03"/>
          <w:p w14:paraId="207CCE89" w14:textId="77777777" w:rsidR="00BE1A17" w:rsidRDefault="00BE1A17" w:rsidP="00061D03">
            <w:proofErr w:type="spellStart"/>
            <w:r w:rsidRPr="00130501">
              <w:t>Geotinklo</w:t>
            </w:r>
            <w:proofErr w:type="spellEnd"/>
            <w:r w:rsidRPr="00130501">
              <w:t xml:space="preserve"> specifikacija yra pridėta</w:t>
            </w:r>
            <w:r>
              <w:t xml:space="preserve"> atskiru dokumentu</w:t>
            </w:r>
            <w:r w:rsidRPr="00130501">
              <w:t xml:space="preserve"> pirkimo sąlygų 4 priede prie Techninio darbo projekto.</w:t>
            </w:r>
          </w:p>
          <w:p w14:paraId="6F0C14FD" w14:textId="77777777" w:rsidR="00BE1A17" w:rsidRPr="00D41D8D" w:rsidRDefault="00BE1A17" w:rsidP="00061D03"/>
        </w:tc>
      </w:tr>
      <w:tr w:rsidR="00BE1A17" w:rsidRPr="00D41D8D" w14:paraId="46231835" w14:textId="77777777" w:rsidTr="00061D03">
        <w:tc>
          <w:tcPr>
            <w:tcW w:w="704" w:type="dxa"/>
          </w:tcPr>
          <w:p w14:paraId="11CB48E0" w14:textId="77777777" w:rsidR="00BE1A17" w:rsidRPr="00D41D8D" w:rsidRDefault="00BE1A17" w:rsidP="00061D03">
            <w:pPr>
              <w:jc w:val="both"/>
            </w:pPr>
            <w:r w:rsidRPr="00D41D8D">
              <w:t>2.</w:t>
            </w:r>
          </w:p>
        </w:tc>
        <w:tc>
          <w:tcPr>
            <w:tcW w:w="5670" w:type="dxa"/>
          </w:tcPr>
          <w:p w14:paraId="3EB773F8" w14:textId="77777777" w:rsidR="00BE1A17" w:rsidRPr="00D41D8D" w:rsidRDefault="00BE1A17" w:rsidP="00061D03">
            <w:pPr>
              <w:rPr>
                <w:b/>
                <w:bCs/>
              </w:rPr>
            </w:pPr>
            <w:r w:rsidRPr="00D41D8D">
              <w:rPr>
                <w:b/>
                <w:bCs/>
              </w:rPr>
              <w:t>Esama situacija</w:t>
            </w:r>
          </w:p>
          <w:p w14:paraId="1EE8CC95" w14:textId="77777777" w:rsidR="00BE1A17" w:rsidRPr="00D41D8D" w:rsidRDefault="00BE1A17" w:rsidP="00061D03">
            <w:pPr>
              <w:rPr>
                <w:b/>
                <w:bCs/>
              </w:rPr>
            </w:pPr>
            <w:r w:rsidRPr="00D41D8D">
              <w:t xml:space="preserve">Projekto, Susisiekimo. Miesto gatvių dalies, techninių specifikacijų, 13 skyriuje pateiktos </w:t>
            </w:r>
            <w:proofErr w:type="spellStart"/>
            <w:r w:rsidRPr="00D41D8D">
              <w:t>geotinklo</w:t>
            </w:r>
            <w:proofErr w:type="spellEnd"/>
            <w:r w:rsidRPr="00D41D8D">
              <w:t xml:space="preserve"> 40/40 </w:t>
            </w:r>
            <w:proofErr w:type="spellStart"/>
            <w:r w:rsidRPr="00D41D8D">
              <w:t>kN</w:t>
            </w:r>
            <w:proofErr w:type="spellEnd"/>
            <w:r w:rsidRPr="00D41D8D">
              <w:t>/m techninės specifikacijos, kuriose nurodoma, kad medžiagos žaliava turi būti polipropilenas (PP).</w:t>
            </w:r>
          </w:p>
          <w:p w14:paraId="63FD41A6" w14:textId="77777777" w:rsidR="00BE1A17" w:rsidRPr="00D41D8D" w:rsidRDefault="00BE1A17" w:rsidP="00061D03">
            <w:r w:rsidRPr="00D41D8D">
              <w:rPr>
                <w:b/>
                <w:bCs/>
              </w:rPr>
              <w:t>Klausimas</w:t>
            </w:r>
          </w:p>
          <w:p w14:paraId="05CC6F20" w14:textId="77777777" w:rsidR="00BE1A17" w:rsidRPr="00D41D8D" w:rsidRDefault="00BE1A17" w:rsidP="00061D03">
            <w:r w:rsidRPr="00D41D8D">
              <w:t xml:space="preserve">Prašome patvirtinti, kad rangovas gali vertintis ir ne prastesnių savybių </w:t>
            </w:r>
            <w:proofErr w:type="spellStart"/>
            <w:r w:rsidRPr="00D41D8D">
              <w:t>geotinklus</w:t>
            </w:r>
            <w:proofErr w:type="spellEnd"/>
            <w:r w:rsidRPr="00D41D8D">
              <w:t>, kurių medžiagos žaliava poliesteris (PET).</w:t>
            </w:r>
          </w:p>
        </w:tc>
        <w:tc>
          <w:tcPr>
            <w:tcW w:w="3254" w:type="dxa"/>
          </w:tcPr>
          <w:p w14:paraId="0ECFCEBB" w14:textId="77777777" w:rsidR="00BE1A17" w:rsidRDefault="00BE1A17" w:rsidP="00061D03">
            <w:r>
              <w:t>P</w:t>
            </w:r>
            <w:r w:rsidRPr="00E2680F">
              <w:t xml:space="preserve">atvirtiname, kad Rangovas galės naudoti </w:t>
            </w:r>
            <w:proofErr w:type="spellStart"/>
            <w:r w:rsidRPr="00E2680F">
              <w:t>geotinklą</w:t>
            </w:r>
            <w:proofErr w:type="spellEnd"/>
            <w:r w:rsidRPr="00E2680F">
              <w:t xml:space="preserve">, kurio medžiagos žaliava poliesteris (PET) </w:t>
            </w:r>
          </w:p>
          <w:p w14:paraId="553AA6F0" w14:textId="77777777" w:rsidR="00BE1A17" w:rsidRPr="00D41D8D" w:rsidRDefault="00BE1A17" w:rsidP="00061D03">
            <w:r>
              <w:t>(Vadovautis</w:t>
            </w:r>
            <w:r w:rsidRPr="00E2680F">
              <w:t xml:space="preserve"> </w:t>
            </w:r>
            <w:proofErr w:type="spellStart"/>
            <w:r w:rsidRPr="00E2680F">
              <w:t>Geotinklo</w:t>
            </w:r>
            <w:proofErr w:type="spellEnd"/>
            <w:r w:rsidRPr="00E2680F">
              <w:t xml:space="preserve"> specifikacija)</w:t>
            </w:r>
          </w:p>
        </w:tc>
      </w:tr>
      <w:tr w:rsidR="00BE1A17" w:rsidRPr="00D41D8D" w14:paraId="4D079A16" w14:textId="77777777" w:rsidTr="00061D03">
        <w:tc>
          <w:tcPr>
            <w:tcW w:w="704" w:type="dxa"/>
          </w:tcPr>
          <w:p w14:paraId="4B648CFC" w14:textId="77777777" w:rsidR="00BE1A17" w:rsidRPr="00D41D8D" w:rsidRDefault="00BE1A17" w:rsidP="00061D03">
            <w:pPr>
              <w:jc w:val="both"/>
            </w:pPr>
            <w:r w:rsidRPr="00D41D8D">
              <w:t>3.</w:t>
            </w:r>
          </w:p>
        </w:tc>
        <w:tc>
          <w:tcPr>
            <w:tcW w:w="5670" w:type="dxa"/>
          </w:tcPr>
          <w:p w14:paraId="6B817051" w14:textId="77777777" w:rsidR="00BE1A17" w:rsidRPr="00D41D8D" w:rsidRDefault="00BE1A17" w:rsidP="00061D03">
            <w:pPr>
              <w:rPr>
                <w:b/>
                <w:bCs/>
              </w:rPr>
            </w:pPr>
            <w:r w:rsidRPr="00D41D8D">
              <w:rPr>
                <w:b/>
                <w:bCs/>
              </w:rPr>
              <w:t>Esama situacija</w:t>
            </w:r>
          </w:p>
          <w:p w14:paraId="5FBECC49" w14:textId="77777777" w:rsidR="00BE1A17" w:rsidRPr="00D41D8D" w:rsidRDefault="00BE1A17" w:rsidP="00061D03">
            <w:pPr>
              <w:pStyle w:val="Betarp"/>
              <w:jc w:val="both"/>
              <w:rPr>
                <w:szCs w:val="24"/>
              </w:rPr>
            </w:pPr>
            <w:r w:rsidRPr="00D41D8D">
              <w:rPr>
                <w:szCs w:val="24"/>
              </w:rPr>
              <w:t xml:space="preserve">Projekto, Susisiekimo. Miesto gatvių dalies, techninių specifikacijų, 13 skyriuje pateiktos </w:t>
            </w:r>
            <w:proofErr w:type="spellStart"/>
            <w:r w:rsidRPr="00D41D8D">
              <w:rPr>
                <w:szCs w:val="24"/>
              </w:rPr>
              <w:t>geotinklo</w:t>
            </w:r>
            <w:proofErr w:type="spellEnd"/>
            <w:r w:rsidRPr="00D41D8D">
              <w:rPr>
                <w:szCs w:val="24"/>
              </w:rPr>
              <w:t xml:space="preserve"> 40/40 </w:t>
            </w:r>
            <w:proofErr w:type="spellStart"/>
            <w:r w:rsidRPr="00D41D8D">
              <w:rPr>
                <w:szCs w:val="24"/>
              </w:rPr>
              <w:t>kN</w:t>
            </w:r>
            <w:proofErr w:type="spellEnd"/>
            <w:r w:rsidRPr="00D41D8D">
              <w:rPr>
                <w:szCs w:val="24"/>
              </w:rPr>
              <w:t>/m techninės specifikacijos, kuriose keliami reikalavimai stipriui tempiant esant 1</w:t>
            </w:r>
            <w:r w:rsidRPr="00D41D8D">
              <w:rPr>
                <w:szCs w:val="24"/>
                <w:lang w:val="en-US"/>
              </w:rPr>
              <w:t xml:space="preserve">% </w:t>
            </w:r>
            <w:proofErr w:type="spellStart"/>
            <w:r w:rsidRPr="00D41D8D">
              <w:rPr>
                <w:szCs w:val="24"/>
                <w:lang w:val="en-US"/>
              </w:rPr>
              <w:t>ir</w:t>
            </w:r>
            <w:proofErr w:type="spellEnd"/>
            <w:r w:rsidRPr="00D41D8D">
              <w:rPr>
                <w:szCs w:val="24"/>
                <w:lang w:val="en-US"/>
              </w:rPr>
              <w:t xml:space="preserve"> 2% </w:t>
            </w:r>
            <w:proofErr w:type="spellStart"/>
            <w:r w:rsidRPr="00D41D8D">
              <w:rPr>
                <w:szCs w:val="24"/>
                <w:lang w:val="en-US"/>
              </w:rPr>
              <w:t>pailgėjimui</w:t>
            </w:r>
            <w:proofErr w:type="spellEnd"/>
            <w:r w:rsidRPr="00D41D8D">
              <w:rPr>
                <w:szCs w:val="24"/>
                <w:lang w:val="en-US"/>
              </w:rPr>
              <w:t xml:space="preserve">, </w:t>
            </w:r>
            <w:r w:rsidRPr="00D41D8D">
              <w:rPr>
                <w:szCs w:val="24"/>
              </w:rPr>
              <w:t xml:space="preserve">tačiau nurodytos šių reikalavimų vertės būdingos tik standiems </w:t>
            </w:r>
            <w:proofErr w:type="spellStart"/>
            <w:r w:rsidRPr="00D41D8D">
              <w:rPr>
                <w:szCs w:val="24"/>
              </w:rPr>
              <w:t>geotinklams</w:t>
            </w:r>
            <w:proofErr w:type="spellEnd"/>
            <w:r w:rsidRPr="00D41D8D">
              <w:rPr>
                <w:szCs w:val="24"/>
              </w:rPr>
              <w:t xml:space="preserve">. Tokie </w:t>
            </w:r>
            <w:proofErr w:type="spellStart"/>
            <w:r w:rsidRPr="00D41D8D">
              <w:rPr>
                <w:szCs w:val="24"/>
              </w:rPr>
              <w:t>geotinklo</w:t>
            </w:r>
            <w:proofErr w:type="spellEnd"/>
            <w:r w:rsidRPr="00D41D8D">
              <w:rPr>
                <w:szCs w:val="24"/>
              </w:rPr>
              <w:t xml:space="preserve"> reikalavimai riboja konkurenciją ir neleidžia tiekėjams pateikti tokio pat tempiamojo stiprio lygiaverčius lanksčius </w:t>
            </w:r>
            <w:proofErr w:type="spellStart"/>
            <w:r w:rsidRPr="00D41D8D">
              <w:rPr>
                <w:szCs w:val="24"/>
              </w:rPr>
              <w:t>geotinklus</w:t>
            </w:r>
            <w:proofErr w:type="spellEnd"/>
            <w:r w:rsidRPr="00D41D8D">
              <w:rPr>
                <w:szCs w:val="24"/>
              </w:rPr>
              <w:t xml:space="preserve">. </w:t>
            </w:r>
            <w:r w:rsidRPr="00D41D8D">
              <w:rPr>
                <w:szCs w:val="24"/>
              </w:rPr>
              <w:lastRenderedPageBreak/>
              <w:t xml:space="preserve">Išanalizavus paskelbtą projekto dokumentaciją matome, kad projekte reikalaujami dangų sluoksnių deformacijos moduliai bus pasiekti su šiuo metu rinkoje esančiais lygiaverčiais ≥40/40 </w:t>
            </w:r>
            <w:proofErr w:type="spellStart"/>
            <w:r w:rsidRPr="00D41D8D">
              <w:rPr>
                <w:szCs w:val="24"/>
              </w:rPr>
              <w:t>kN</w:t>
            </w:r>
            <w:proofErr w:type="spellEnd"/>
            <w:r w:rsidRPr="00D41D8D">
              <w:rPr>
                <w:szCs w:val="24"/>
              </w:rPr>
              <w:t xml:space="preserve">/m stiprio tempiant </w:t>
            </w:r>
            <w:proofErr w:type="spellStart"/>
            <w:r w:rsidRPr="00D41D8D">
              <w:rPr>
                <w:szCs w:val="24"/>
              </w:rPr>
              <w:t>geotinklais</w:t>
            </w:r>
            <w:proofErr w:type="spellEnd"/>
            <w:r w:rsidRPr="00D41D8D">
              <w:rPr>
                <w:szCs w:val="24"/>
              </w:rPr>
              <w:t>, kurių ilgaamžiškumas yra ≥100metų ir užtikrinamas nemažesnis, projekte reikalaujamas minimalus projektinis ilgalaikis stipris tempiant.</w:t>
            </w:r>
          </w:p>
          <w:p w14:paraId="35AFE5E9" w14:textId="77777777" w:rsidR="00BE1A17" w:rsidRPr="00D41D8D" w:rsidRDefault="00BE1A17" w:rsidP="00061D03">
            <w:pPr>
              <w:pStyle w:val="Betarp"/>
              <w:jc w:val="both"/>
              <w:rPr>
                <w:szCs w:val="24"/>
              </w:rPr>
            </w:pPr>
            <w:r w:rsidRPr="00D41D8D">
              <w:rPr>
                <w:szCs w:val="24"/>
              </w:rPr>
              <w:t xml:space="preserve">Atkreiptinas Statytojo dėmesys, jog Lietuvoje yra pastatytų ir sėkmingai eksploatuojamų įvairių kategorijų automobilių kelių, aikštelių bei pastatų, kuriuose rengiant sankasas ant silpnų pagrindų buvo naudojami, skaičiavimais pagrįsti lankstūs </w:t>
            </w:r>
            <w:proofErr w:type="spellStart"/>
            <w:r w:rsidRPr="00D41D8D">
              <w:rPr>
                <w:szCs w:val="24"/>
              </w:rPr>
              <w:t>geotinklai</w:t>
            </w:r>
            <w:proofErr w:type="spellEnd"/>
            <w:r w:rsidRPr="00D41D8D">
              <w:rPr>
                <w:szCs w:val="24"/>
              </w:rPr>
              <w:t xml:space="preserve">. Naudojant šiuos </w:t>
            </w:r>
            <w:proofErr w:type="spellStart"/>
            <w:r w:rsidRPr="00D41D8D">
              <w:rPr>
                <w:szCs w:val="24"/>
              </w:rPr>
              <w:t>geotinklus</w:t>
            </w:r>
            <w:proofErr w:type="spellEnd"/>
            <w:r w:rsidRPr="00D41D8D">
              <w:rPr>
                <w:szCs w:val="24"/>
              </w:rPr>
              <w:t xml:space="preserve"> pasiekti reikalaujami deformacijų moduliai ir sankasų geometrija.</w:t>
            </w:r>
          </w:p>
          <w:p w14:paraId="3813E9DF" w14:textId="77777777" w:rsidR="00BE1A17" w:rsidRPr="00D41D8D" w:rsidRDefault="00BE1A17" w:rsidP="00061D03">
            <w:pPr>
              <w:rPr>
                <w:b/>
                <w:bCs/>
              </w:rPr>
            </w:pPr>
            <w:r w:rsidRPr="00D41D8D">
              <w:t xml:space="preserve">Viešųjų pirkimų įstatymo 37 straipsnio 5 dalyje nurodoma, kad: „techninėje specifikacijoje negali būti nurodytas konkretus modelis ar tiekimo šaltinis, konkretus procesas, būdingas konkretaus tiekėjo tiekiamoms prekėms ar teikiamoms paslaugoms, ar prekių ženklas, patentas, tipai, konkreti kilmė ar gamyba, </w:t>
            </w:r>
            <w:r w:rsidRPr="00D41D8D">
              <w:rPr>
                <w:b/>
                <w:bCs/>
                <w:u w:val="single"/>
              </w:rPr>
              <w:t>dėl kurių tam tikriems subjektams ar tam tikriems produktams būtų sudarytos palankesnės sąlygos arba jie būtų atmesti</w:t>
            </w:r>
            <w:r w:rsidRPr="00D41D8D">
              <w:t xml:space="preserve">.“ Tokio tipo techninė specifikacija diskriminuoja lanksčių, austinių ar </w:t>
            </w:r>
            <w:proofErr w:type="spellStart"/>
            <w:r w:rsidRPr="00D41D8D">
              <w:t>ekstrūzinių</w:t>
            </w:r>
            <w:proofErr w:type="spellEnd"/>
            <w:r w:rsidRPr="00D41D8D">
              <w:t xml:space="preserve"> </w:t>
            </w:r>
            <w:proofErr w:type="spellStart"/>
            <w:r w:rsidRPr="00D41D8D">
              <w:t>geotinklų</w:t>
            </w:r>
            <w:proofErr w:type="spellEnd"/>
            <w:r w:rsidRPr="00D41D8D">
              <w:t xml:space="preserve"> tiekėjus bei neužtikrina laisvos konkurencinės aplinkos </w:t>
            </w:r>
            <w:r w:rsidRPr="00D41D8D">
              <w:rPr>
                <w:u w:val="single"/>
              </w:rPr>
              <w:t xml:space="preserve">sudarant palankesnes sąlygas standžių </w:t>
            </w:r>
            <w:proofErr w:type="spellStart"/>
            <w:r w:rsidRPr="00D41D8D">
              <w:rPr>
                <w:u w:val="single"/>
              </w:rPr>
              <w:t>geotinklų</w:t>
            </w:r>
            <w:proofErr w:type="spellEnd"/>
            <w:r w:rsidRPr="00D41D8D">
              <w:rPr>
                <w:u w:val="single"/>
              </w:rPr>
              <w:t xml:space="preserve"> gamintojų atstovaujantiems tiekėjams</w:t>
            </w:r>
            <w:r w:rsidRPr="00D41D8D">
              <w:t>.</w:t>
            </w:r>
          </w:p>
          <w:p w14:paraId="6EFFDBC3" w14:textId="77777777" w:rsidR="00BE1A17" w:rsidRPr="00D41D8D" w:rsidRDefault="00BE1A17" w:rsidP="00061D03">
            <w:r w:rsidRPr="00D41D8D">
              <w:rPr>
                <w:b/>
                <w:bCs/>
              </w:rPr>
              <w:t>Klausimas</w:t>
            </w:r>
          </w:p>
          <w:p w14:paraId="689EBA2E" w14:textId="77777777" w:rsidR="00BE1A17" w:rsidRPr="00D41D8D" w:rsidRDefault="00BE1A17" w:rsidP="00061D03">
            <w:r w:rsidRPr="00D41D8D">
              <w:rPr>
                <w:i/>
                <w:iCs/>
              </w:rPr>
              <w:t xml:space="preserve">Prašome atsižvelgti į pateiktus argumentus ir praplėsti potencialių tiekėjų ratą, pašalinant standiems </w:t>
            </w:r>
            <w:proofErr w:type="spellStart"/>
            <w:r w:rsidRPr="00D41D8D">
              <w:rPr>
                <w:i/>
                <w:iCs/>
              </w:rPr>
              <w:t>geotinklams</w:t>
            </w:r>
            <w:proofErr w:type="spellEnd"/>
            <w:r w:rsidRPr="00D41D8D">
              <w:rPr>
                <w:i/>
                <w:iCs/>
              </w:rPr>
              <w:t xml:space="preserve"> būdingas savybes, tokias kaip stipris tempiant esant 1</w:t>
            </w:r>
            <w:r w:rsidRPr="00D41D8D">
              <w:rPr>
                <w:i/>
                <w:iCs/>
                <w:lang w:val="en-US"/>
              </w:rPr>
              <w:t xml:space="preserve">% </w:t>
            </w:r>
            <w:proofErr w:type="spellStart"/>
            <w:r w:rsidRPr="00D41D8D">
              <w:rPr>
                <w:i/>
                <w:iCs/>
                <w:lang w:val="en-US"/>
              </w:rPr>
              <w:t>ir</w:t>
            </w:r>
            <w:proofErr w:type="spellEnd"/>
            <w:r w:rsidRPr="00D41D8D">
              <w:rPr>
                <w:i/>
                <w:iCs/>
              </w:rPr>
              <w:t xml:space="preserve"> 2</w:t>
            </w:r>
            <w:r w:rsidRPr="00D41D8D">
              <w:rPr>
                <w:i/>
                <w:iCs/>
                <w:lang w:val="en-US"/>
              </w:rPr>
              <w:t xml:space="preserve">% </w:t>
            </w:r>
            <w:proofErr w:type="spellStart"/>
            <w:r w:rsidRPr="00D41D8D">
              <w:rPr>
                <w:i/>
                <w:iCs/>
                <w:lang w:val="en-US"/>
              </w:rPr>
              <w:t>pailgėjimui</w:t>
            </w:r>
            <w:proofErr w:type="spellEnd"/>
            <w:r w:rsidRPr="00D41D8D">
              <w:rPr>
                <w:i/>
                <w:iCs/>
              </w:rPr>
              <w:t xml:space="preserve">, kurios riboja laisvą konkurenciją, sudarant palankesnes sąlygas standžių </w:t>
            </w:r>
            <w:proofErr w:type="spellStart"/>
            <w:r w:rsidRPr="00D41D8D">
              <w:rPr>
                <w:i/>
                <w:iCs/>
              </w:rPr>
              <w:t>geotinklų</w:t>
            </w:r>
            <w:proofErr w:type="spellEnd"/>
            <w:r w:rsidRPr="00D41D8D">
              <w:rPr>
                <w:i/>
                <w:iCs/>
              </w:rPr>
              <w:t xml:space="preserve"> tiekėjams norint pasiekti tokius pat projekte reikalaujamus sankasos deformacijos modulius.</w:t>
            </w:r>
          </w:p>
        </w:tc>
        <w:tc>
          <w:tcPr>
            <w:tcW w:w="3254" w:type="dxa"/>
          </w:tcPr>
          <w:p w14:paraId="2C5957BF" w14:textId="77777777" w:rsidR="00BE1A17" w:rsidRDefault="00BE1A17" w:rsidP="00061D03">
            <w:r w:rsidRPr="00E2680F">
              <w:lastRenderedPageBreak/>
              <w:t>Atsižvelgiant į pateiktus argumentus, pakoreguo</w:t>
            </w:r>
            <w:r>
              <w:t>ta</w:t>
            </w:r>
            <w:r w:rsidRPr="00E2680F">
              <w:t xml:space="preserve">jame Susisiekimo. Miesto gatvių dalies, techninių specifikacijų, 13 skyriuje pateiktus techninius reikalavimus </w:t>
            </w:r>
            <w:proofErr w:type="spellStart"/>
            <w:r w:rsidRPr="00E2680F">
              <w:t>geotinklui</w:t>
            </w:r>
            <w:proofErr w:type="spellEnd"/>
            <w:r w:rsidRPr="00E2680F">
              <w:t xml:space="preserve">. </w:t>
            </w:r>
          </w:p>
          <w:p w14:paraId="7A87F67A" w14:textId="77777777" w:rsidR="00BE1A17" w:rsidRPr="00D41D8D" w:rsidRDefault="00BE1A17" w:rsidP="00061D03">
            <w:r>
              <w:t>(Vadovautis</w:t>
            </w:r>
            <w:r w:rsidRPr="00E2680F">
              <w:t xml:space="preserve"> </w:t>
            </w:r>
            <w:proofErr w:type="spellStart"/>
            <w:r w:rsidRPr="00E2680F">
              <w:t>Geotinklo</w:t>
            </w:r>
            <w:proofErr w:type="spellEnd"/>
            <w:r w:rsidRPr="00E2680F">
              <w:t xml:space="preserve"> specifikacija)</w:t>
            </w:r>
          </w:p>
        </w:tc>
      </w:tr>
    </w:tbl>
    <w:p w14:paraId="1A0AD0E2" w14:textId="77777777" w:rsidR="00664072" w:rsidRPr="00004883" w:rsidRDefault="00664072" w:rsidP="00664072"/>
    <w:p w14:paraId="2BFC301D" w14:textId="77777777" w:rsidR="001019B0" w:rsidRPr="00004883" w:rsidRDefault="001019B0" w:rsidP="00664072"/>
    <w:p w14:paraId="065D6CDF" w14:textId="2987E3C6" w:rsidR="00382263" w:rsidRDefault="00664072" w:rsidP="00BE1A17">
      <w:r w:rsidRPr="00004883">
        <w:t>Viešojo pirkimo komisija</w:t>
      </w:r>
    </w:p>
    <w:sectPr w:rsidR="00382263" w:rsidSect="008709DC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FE5B" w14:textId="77777777" w:rsidR="008709DC" w:rsidRDefault="008709DC" w:rsidP="008709DC">
      <w:r>
        <w:separator/>
      </w:r>
    </w:p>
  </w:endnote>
  <w:endnote w:type="continuationSeparator" w:id="0">
    <w:p w14:paraId="586D660E" w14:textId="77777777" w:rsidR="008709DC" w:rsidRDefault="008709DC" w:rsidP="0087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7A1C" w14:textId="77777777" w:rsidR="008709DC" w:rsidRDefault="008709DC" w:rsidP="008709DC">
      <w:r>
        <w:separator/>
      </w:r>
    </w:p>
  </w:footnote>
  <w:footnote w:type="continuationSeparator" w:id="0">
    <w:p w14:paraId="7A582DA9" w14:textId="77777777" w:rsidR="008709DC" w:rsidRDefault="008709DC" w:rsidP="00870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898889"/>
      <w:docPartObj>
        <w:docPartGallery w:val="Page Numbers (Top of Page)"/>
        <w:docPartUnique/>
      </w:docPartObj>
    </w:sdtPr>
    <w:sdtEndPr/>
    <w:sdtContent>
      <w:p w14:paraId="74C2E9FF" w14:textId="77777777" w:rsidR="008709DC" w:rsidRDefault="008709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7E414" w14:textId="77777777" w:rsidR="008709DC" w:rsidRDefault="008709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53DAA"/>
    <w:multiLevelType w:val="hybridMultilevel"/>
    <w:tmpl w:val="14B49184"/>
    <w:lvl w:ilvl="0" w:tplc="0622B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76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2"/>
    <w:rsid w:val="00004883"/>
    <w:rsid w:val="00052818"/>
    <w:rsid w:val="00053C8C"/>
    <w:rsid w:val="00060BAF"/>
    <w:rsid w:val="00080D94"/>
    <w:rsid w:val="00081491"/>
    <w:rsid w:val="001019B0"/>
    <w:rsid w:val="00126893"/>
    <w:rsid w:val="002043AF"/>
    <w:rsid w:val="00204B2A"/>
    <w:rsid w:val="00291D4D"/>
    <w:rsid w:val="002A3DE3"/>
    <w:rsid w:val="002E73F9"/>
    <w:rsid w:val="002F16F3"/>
    <w:rsid w:val="00313465"/>
    <w:rsid w:val="003173A8"/>
    <w:rsid w:val="00331196"/>
    <w:rsid w:val="00382263"/>
    <w:rsid w:val="00396583"/>
    <w:rsid w:val="00416024"/>
    <w:rsid w:val="00423329"/>
    <w:rsid w:val="0044718D"/>
    <w:rsid w:val="00494F3D"/>
    <w:rsid w:val="00502C09"/>
    <w:rsid w:val="00515F52"/>
    <w:rsid w:val="005D6DA7"/>
    <w:rsid w:val="00664072"/>
    <w:rsid w:val="006863AC"/>
    <w:rsid w:val="006C06F4"/>
    <w:rsid w:val="00702FC2"/>
    <w:rsid w:val="00734643"/>
    <w:rsid w:val="00766852"/>
    <w:rsid w:val="007805F4"/>
    <w:rsid w:val="0078199D"/>
    <w:rsid w:val="007C01DE"/>
    <w:rsid w:val="00825B08"/>
    <w:rsid w:val="008709DC"/>
    <w:rsid w:val="00880C04"/>
    <w:rsid w:val="008C4ADF"/>
    <w:rsid w:val="008D228B"/>
    <w:rsid w:val="00917513"/>
    <w:rsid w:val="00921D49"/>
    <w:rsid w:val="00923935"/>
    <w:rsid w:val="00962524"/>
    <w:rsid w:val="00993B81"/>
    <w:rsid w:val="009D12E1"/>
    <w:rsid w:val="00A00B61"/>
    <w:rsid w:val="00A31979"/>
    <w:rsid w:val="00A55A54"/>
    <w:rsid w:val="00A80537"/>
    <w:rsid w:val="00A86C0E"/>
    <w:rsid w:val="00AA25EF"/>
    <w:rsid w:val="00AC003E"/>
    <w:rsid w:val="00B03AF2"/>
    <w:rsid w:val="00B2148F"/>
    <w:rsid w:val="00B56D27"/>
    <w:rsid w:val="00B83970"/>
    <w:rsid w:val="00BA283A"/>
    <w:rsid w:val="00BE1A17"/>
    <w:rsid w:val="00BE7D78"/>
    <w:rsid w:val="00C02076"/>
    <w:rsid w:val="00C27135"/>
    <w:rsid w:val="00C32344"/>
    <w:rsid w:val="00C5021A"/>
    <w:rsid w:val="00C6402A"/>
    <w:rsid w:val="00CD1C8E"/>
    <w:rsid w:val="00CD3753"/>
    <w:rsid w:val="00D40690"/>
    <w:rsid w:val="00D562CD"/>
    <w:rsid w:val="00D8151B"/>
    <w:rsid w:val="00DA6A87"/>
    <w:rsid w:val="00DB18C9"/>
    <w:rsid w:val="00DE0164"/>
    <w:rsid w:val="00E26393"/>
    <w:rsid w:val="00E27ACC"/>
    <w:rsid w:val="00E53049"/>
    <w:rsid w:val="00EB1B20"/>
    <w:rsid w:val="00EE2AB4"/>
    <w:rsid w:val="00EF175A"/>
    <w:rsid w:val="00F93ABA"/>
    <w:rsid w:val="00F971BB"/>
    <w:rsid w:val="00FA3681"/>
    <w:rsid w:val="00FD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A5E9"/>
  <w15:chartTrackingRefBased/>
  <w15:docId w15:val="{5A4FC2DA-72ED-41E1-A8AF-E15EB607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640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4072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link w:val="BetarpDiagrama"/>
    <w:uiPriority w:val="1"/>
    <w:qFormat/>
    <w:rsid w:val="006640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Lentelstinklelis112">
    <w:name w:val="Lentelės tinklelis112"/>
    <w:basedOn w:val="prastojilentel"/>
    <w:next w:val="Lentelstinklelis"/>
    <w:uiPriority w:val="59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664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Sąrašo pastraipa2,List Paragraph21,lp1,Bullet 1,Use Case List Paragraph,List Paragraph111,Paragraph,List Paragraph Red,Sąrašo pastraipa11,Bullet EY,List Paragraph1,List Paragraph2,Numbering,ERP-List Paragraph,List Paragraph11"/>
    <w:basedOn w:val="prastasis"/>
    <w:link w:val="SraopastraipaDiagrama"/>
    <w:uiPriority w:val="34"/>
    <w:qFormat/>
    <w:rsid w:val="00E263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Buletai Diagrama,Sąrašo pastraipa2 Diagrama,List Paragraph21 Diagrama,lp1 Diagrama,Bullet 1 Diagrama,Use Case List Paragraph Diagrama,List Paragraph111 Diagrama,Paragraph Diagrama,List Paragraph Red Diagrama,Bullet EY Diagrama"/>
    <w:link w:val="Sraopastraipa"/>
    <w:uiPriority w:val="34"/>
    <w:qFormat/>
    <w:locked/>
    <w:rsid w:val="00E26393"/>
  </w:style>
  <w:style w:type="paragraph" w:customStyle="1" w:styleId="Default">
    <w:name w:val="Default"/>
    <w:rsid w:val="00FA36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tarpDiagrama">
    <w:name w:val="Be tarpų Diagrama"/>
    <w:link w:val="Betarp"/>
    <w:uiPriority w:val="99"/>
    <w:rsid w:val="00CD1C8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etarp1">
    <w:name w:val="Be tarpų1"/>
    <w:qFormat/>
    <w:rsid w:val="00CD1C8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Pagrindiniotekstotrauka2">
    <w:name w:val="Body Text Indent 2"/>
    <w:basedOn w:val="prastasis"/>
    <w:link w:val="Pagrindiniotekstotrauka2Diagrama"/>
    <w:unhideWhenUsed/>
    <w:rsid w:val="001019B0"/>
    <w:pPr>
      <w:ind w:firstLine="426"/>
    </w:pPr>
    <w:rPr>
      <w:rFonts w:ascii="Arial" w:hAnsi="Arial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019B0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709D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9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2656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9</cp:revision>
  <cp:lastPrinted>2024-03-13T07:29:00Z</cp:lastPrinted>
  <dcterms:created xsi:type="dcterms:W3CDTF">2024-06-18T13:01:00Z</dcterms:created>
  <dcterms:modified xsi:type="dcterms:W3CDTF">2025-03-07T09:10:00Z</dcterms:modified>
</cp:coreProperties>
</file>