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0A8BD" w14:textId="772961CF" w:rsidR="00373B7A" w:rsidRPr="00281355" w:rsidRDefault="00281355" w:rsidP="00281355">
      <w:pPr>
        <w:jc w:val="right"/>
        <w:rPr>
          <w:rFonts w:eastAsia="Calibri"/>
          <w:b/>
          <w:bCs/>
          <w:sz w:val="22"/>
          <w:szCs w:val="22"/>
        </w:rPr>
      </w:pPr>
      <w:r w:rsidRPr="00281355">
        <w:rPr>
          <w:rFonts w:eastAsia="Calibri"/>
          <w:b/>
          <w:bCs/>
          <w:sz w:val="22"/>
          <w:szCs w:val="22"/>
        </w:rPr>
        <w:t>2 priedas</w:t>
      </w:r>
    </w:p>
    <w:p w14:paraId="0E043C9C" w14:textId="5D3F331D" w:rsidR="00200EF6" w:rsidRPr="00200EF6" w:rsidRDefault="00200EF6" w:rsidP="00200EF6">
      <w:pPr>
        <w:jc w:val="center"/>
        <w:rPr>
          <w:rFonts w:eastAsiaTheme="minorHAnsi"/>
          <w:b/>
          <w:bCs/>
          <w:kern w:val="2"/>
          <w:sz w:val="22"/>
          <w:szCs w:val="22"/>
          <w14:ligatures w14:val="standardContextual"/>
        </w:rPr>
      </w:pPr>
      <w:r w:rsidRPr="00200EF6">
        <w:rPr>
          <w:rFonts w:eastAsiaTheme="minorHAnsi"/>
          <w:b/>
          <w:bCs/>
          <w:kern w:val="2"/>
          <w:sz w:val="22"/>
          <w:szCs w:val="22"/>
          <w14:ligatures w14:val="standardContextual"/>
        </w:rPr>
        <w:t xml:space="preserve">REAGENTŲ IR PAPILDOMŲ PRIEMONIŲ </w:t>
      </w:r>
      <w:r w:rsidRPr="00200EF6">
        <w:rPr>
          <w:b/>
          <w:bCs/>
          <w:color w:val="000000"/>
          <w:sz w:val="22"/>
          <w:szCs w:val="22"/>
        </w:rPr>
        <w:t>KRAUJO KREŠĖJIMO</w:t>
      </w:r>
      <w:r w:rsidRPr="00200EF6">
        <w:rPr>
          <w:rFonts w:eastAsiaTheme="minorHAnsi"/>
          <w:b/>
          <w:bCs/>
          <w:kern w:val="2"/>
          <w:sz w:val="22"/>
          <w:szCs w:val="22"/>
          <w14:ligatures w14:val="standardContextual"/>
        </w:rPr>
        <w:t xml:space="preserve"> TYRIMAMS ATLIKTI SU ĮRANGOS ĮSIGIJIMU PANAUDOS BŪDU</w:t>
      </w:r>
    </w:p>
    <w:p w14:paraId="5395D475" w14:textId="77777777" w:rsidR="00200EF6" w:rsidRPr="00200EF6" w:rsidRDefault="00200EF6" w:rsidP="00200EF6">
      <w:pPr>
        <w:jc w:val="center"/>
        <w:rPr>
          <w:b/>
          <w:bCs/>
          <w:color w:val="000000"/>
          <w:sz w:val="22"/>
          <w:szCs w:val="22"/>
          <w:lang w:eastAsia="lt-LT"/>
        </w:rPr>
      </w:pPr>
      <w:r w:rsidRPr="00200EF6">
        <w:rPr>
          <w:b/>
          <w:bCs/>
          <w:sz w:val="22"/>
          <w:szCs w:val="22"/>
        </w:rPr>
        <w:t>TECHNINĖ SPECIFIKACIJA</w:t>
      </w:r>
    </w:p>
    <w:p w14:paraId="28BC018D" w14:textId="77777777" w:rsidR="00CB6518" w:rsidRPr="00A744B0" w:rsidRDefault="00CB6518" w:rsidP="00CB6518">
      <w:pPr>
        <w:ind w:left="-851"/>
        <w:jc w:val="both"/>
        <w:rPr>
          <w:b/>
          <w:sz w:val="22"/>
          <w:szCs w:val="22"/>
        </w:rPr>
      </w:pPr>
    </w:p>
    <w:p w14:paraId="7FE98498" w14:textId="77777777" w:rsidR="00373B7A" w:rsidRPr="00A744B0" w:rsidRDefault="00373B7A" w:rsidP="00373B7A">
      <w:pPr>
        <w:tabs>
          <w:tab w:val="left" w:pos="1350"/>
          <w:tab w:val="left" w:pos="1440"/>
        </w:tabs>
        <w:suppressAutoHyphens/>
        <w:ind w:left="450" w:hanging="90"/>
        <w:jc w:val="right"/>
        <w:rPr>
          <w:b/>
          <w:bCs/>
          <w:sz w:val="22"/>
          <w:szCs w:val="22"/>
          <w:lang w:eastAsia="ar-SA"/>
        </w:rPr>
      </w:pPr>
    </w:p>
    <w:tbl>
      <w:tblPr>
        <w:tblStyle w:val="TableGrid"/>
        <w:tblW w:w="15411" w:type="dxa"/>
        <w:tblInd w:w="-815" w:type="dxa"/>
        <w:tblLayout w:type="fixed"/>
        <w:tblLook w:val="04A0" w:firstRow="1" w:lastRow="0" w:firstColumn="1" w:lastColumn="0" w:noHBand="0" w:noVBand="1"/>
      </w:tblPr>
      <w:tblGrid>
        <w:gridCol w:w="668"/>
        <w:gridCol w:w="6238"/>
        <w:gridCol w:w="4536"/>
        <w:gridCol w:w="3969"/>
      </w:tblGrid>
      <w:tr w:rsidR="00373B7A" w:rsidRPr="00A744B0" w14:paraId="5E2ECE54" w14:textId="77777777" w:rsidTr="00E42665">
        <w:tc>
          <w:tcPr>
            <w:tcW w:w="668" w:type="dxa"/>
            <w:vAlign w:val="center"/>
          </w:tcPr>
          <w:p w14:paraId="3C90C11E" w14:textId="77777777" w:rsidR="00373B7A" w:rsidRPr="00A744B0" w:rsidRDefault="00373B7A" w:rsidP="008660D4">
            <w:pPr>
              <w:jc w:val="center"/>
              <w:rPr>
                <w:rFonts w:eastAsia="Calibri"/>
                <w:b/>
                <w:sz w:val="22"/>
                <w:szCs w:val="22"/>
              </w:rPr>
            </w:pPr>
            <w:r w:rsidRPr="00A744B0">
              <w:rPr>
                <w:rFonts w:eastAsia="Calibri"/>
                <w:b/>
                <w:sz w:val="22"/>
                <w:szCs w:val="22"/>
              </w:rPr>
              <w:t>Eil.</w:t>
            </w:r>
          </w:p>
          <w:p w14:paraId="184D6628" w14:textId="77777777" w:rsidR="00373B7A" w:rsidRPr="00A744B0" w:rsidRDefault="00373B7A" w:rsidP="008660D4">
            <w:pPr>
              <w:jc w:val="center"/>
              <w:rPr>
                <w:sz w:val="22"/>
                <w:szCs w:val="22"/>
              </w:rPr>
            </w:pPr>
            <w:r w:rsidRPr="00A744B0">
              <w:rPr>
                <w:rFonts w:eastAsia="Calibri"/>
                <w:b/>
                <w:sz w:val="22"/>
                <w:szCs w:val="22"/>
              </w:rPr>
              <w:t>Nr.</w:t>
            </w:r>
          </w:p>
        </w:tc>
        <w:tc>
          <w:tcPr>
            <w:tcW w:w="6238" w:type="dxa"/>
            <w:vAlign w:val="center"/>
          </w:tcPr>
          <w:p w14:paraId="6C54C03B" w14:textId="77777777" w:rsidR="00373B7A" w:rsidRPr="00A744B0" w:rsidRDefault="00373B7A" w:rsidP="008660D4">
            <w:pPr>
              <w:jc w:val="center"/>
              <w:rPr>
                <w:b/>
                <w:sz w:val="22"/>
                <w:szCs w:val="22"/>
              </w:rPr>
            </w:pPr>
            <w:r w:rsidRPr="00A744B0">
              <w:rPr>
                <w:b/>
                <w:sz w:val="22"/>
                <w:szCs w:val="22"/>
              </w:rPr>
              <w:t>Reikalaujami techniniai parametrai arba reikalavimai</w:t>
            </w:r>
          </w:p>
        </w:tc>
        <w:tc>
          <w:tcPr>
            <w:tcW w:w="4536" w:type="dxa"/>
            <w:vAlign w:val="center"/>
          </w:tcPr>
          <w:p w14:paraId="0A5F7E04" w14:textId="77777777" w:rsidR="00373B7A" w:rsidRPr="00A744B0" w:rsidRDefault="00373B7A" w:rsidP="008660D4">
            <w:pPr>
              <w:jc w:val="center"/>
              <w:rPr>
                <w:b/>
                <w:bCs/>
                <w:color w:val="000000"/>
                <w:sz w:val="22"/>
                <w:szCs w:val="22"/>
              </w:rPr>
            </w:pPr>
            <w:r w:rsidRPr="00A744B0">
              <w:rPr>
                <w:b/>
                <w:bCs/>
                <w:color w:val="000000"/>
                <w:sz w:val="22"/>
                <w:szCs w:val="22"/>
              </w:rPr>
              <w:t>Atitikimas reikalavimui</w:t>
            </w:r>
          </w:p>
          <w:p w14:paraId="0C720632" w14:textId="0E575330" w:rsidR="00373B7A" w:rsidRPr="00A744B0" w:rsidRDefault="00373B7A" w:rsidP="008660D4">
            <w:pPr>
              <w:jc w:val="center"/>
              <w:rPr>
                <w:b/>
                <w:bCs/>
                <w:color w:val="000000"/>
                <w:sz w:val="22"/>
                <w:szCs w:val="22"/>
              </w:rPr>
            </w:pPr>
            <w:r w:rsidRPr="00A744B0">
              <w:rPr>
                <w:b/>
                <w:bCs/>
                <w:color w:val="000000"/>
                <w:sz w:val="22"/>
                <w:szCs w:val="22"/>
              </w:rPr>
              <w:t>Siūloma techninio parametro reikšmė (</w:t>
            </w:r>
            <w:r w:rsidRPr="00A744B0">
              <w:rPr>
                <w:b/>
                <w:bCs/>
                <w:i/>
                <w:iCs/>
                <w:color w:val="000000"/>
                <w:sz w:val="22"/>
                <w:szCs w:val="22"/>
              </w:rPr>
              <w:t xml:space="preserve">tiekėjas </w:t>
            </w:r>
            <w:r w:rsidRPr="00A744B0">
              <w:rPr>
                <w:b/>
                <w:bCs/>
                <w:i/>
                <w:iCs/>
                <w:color w:val="000000"/>
                <w:sz w:val="22"/>
                <w:szCs w:val="22"/>
                <w:u w:val="single"/>
              </w:rPr>
              <w:t>privalo</w:t>
            </w:r>
            <w:r w:rsidRPr="00A744B0">
              <w:rPr>
                <w:b/>
                <w:bCs/>
                <w:i/>
                <w:iCs/>
                <w:color w:val="000000"/>
                <w:sz w:val="22"/>
                <w:szCs w:val="22"/>
              </w:rPr>
              <w:t xml:space="preserve"> aprašyti siūlomos prekės atitiktį reikalaujamiems parametrams, nurodant konkrečias reikšmes</w:t>
            </w:r>
            <w:r w:rsidR="008660D4" w:rsidRPr="00A744B0">
              <w:rPr>
                <w:b/>
                <w:bCs/>
                <w:i/>
                <w:iCs/>
                <w:color w:val="000000"/>
                <w:sz w:val="22"/>
                <w:szCs w:val="22"/>
              </w:rPr>
              <w:t xml:space="preserve">, </w:t>
            </w:r>
            <w:r w:rsidRPr="00A744B0">
              <w:rPr>
                <w:b/>
                <w:bCs/>
                <w:i/>
                <w:iCs/>
                <w:color w:val="000000"/>
                <w:sz w:val="22"/>
                <w:szCs w:val="22"/>
              </w:rPr>
              <w:t>įrašyti „Taip“, „Atitinka“ draudžiama</w:t>
            </w:r>
          </w:p>
        </w:tc>
        <w:tc>
          <w:tcPr>
            <w:tcW w:w="3969" w:type="dxa"/>
            <w:vAlign w:val="center"/>
          </w:tcPr>
          <w:p w14:paraId="0D645C1F" w14:textId="61851A6C" w:rsidR="00373B7A" w:rsidRPr="00A744B0" w:rsidRDefault="00373B7A" w:rsidP="00022F7B">
            <w:pPr>
              <w:jc w:val="center"/>
              <w:rPr>
                <w:b/>
                <w:bCs/>
                <w:color w:val="000000"/>
                <w:sz w:val="22"/>
                <w:szCs w:val="22"/>
              </w:rPr>
            </w:pPr>
            <w:r w:rsidRPr="00A744B0">
              <w:rPr>
                <w:b/>
                <w:bCs/>
                <w:color w:val="000000"/>
                <w:sz w:val="22"/>
                <w:szCs w:val="22"/>
              </w:rPr>
              <w:t xml:space="preserve">Reikalavimų atitikimas </w:t>
            </w:r>
            <w:r w:rsidRPr="00A744B0">
              <w:rPr>
                <w:b/>
                <w:bCs/>
                <w:i/>
                <w:iCs/>
                <w:color w:val="000000"/>
                <w:sz w:val="22"/>
                <w:szCs w:val="22"/>
              </w:rPr>
              <w:t>(tiksliai pažymimas techninis parametras gamintojo parengtoje  dokumentacijoje</w:t>
            </w:r>
            <w:r w:rsidR="008660D4" w:rsidRPr="00A744B0">
              <w:rPr>
                <w:b/>
                <w:bCs/>
                <w:i/>
                <w:iCs/>
                <w:color w:val="000000"/>
                <w:sz w:val="22"/>
                <w:szCs w:val="22"/>
              </w:rPr>
              <w:t>.</w:t>
            </w:r>
          </w:p>
        </w:tc>
      </w:tr>
      <w:tr w:rsidR="00CB6518" w:rsidRPr="00A744B0" w14:paraId="2ED57753" w14:textId="77777777" w:rsidTr="00E42665">
        <w:tc>
          <w:tcPr>
            <w:tcW w:w="668" w:type="dxa"/>
            <w:vAlign w:val="center"/>
          </w:tcPr>
          <w:p w14:paraId="3932B5F2" w14:textId="4E4F807F" w:rsidR="00CB6518" w:rsidRPr="00A744B0" w:rsidRDefault="00CB6518" w:rsidP="008660D4">
            <w:pPr>
              <w:jc w:val="center"/>
              <w:rPr>
                <w:rFonts w:eastAsia="Calibri"/>
                <w:b/>
                <w:sz w:val="22"/>
                <w:szCs w:val="22"/>
              </w:rPr>
            </w:pPr>
            <w:r w:rsidRPr="00A744B0">
              <w:rPr>
                <w:rFonts w:eastAsia="Calibri"/>
                <w:b/>
                <w:sz w:val="22"/>
                <w:szCs w:val="22"/>
              </w:rPr>
              <w:t>1</w:t>
            </w:r>
          </w:p>
        </w:tc>
        <w:tc>
          <w:tcPr>
            <w:tcW w:w="6238" w:type="dxa"/>
            <w:vAlign w:val="center"/>
          </w:tcPr>
          <w:p w14:paraId="697AE857" w14:textId="5B015DB4" w:rsidR="00CB6518" w:rsidRPr="00A744B0" w:rsidRDefault="00CB6518" w:rsidP="008660D4">
            <w:pPr>
              <w:jc w:val="center"/>
              <w:rPr>
                <w:b/>
                <w:sz w:val="22"/>
                <w:szCs w:val="22"/>
              </w:rPr>
            </w:pPr>
            <w:r w:rsidRPr="00A744B0">
              <w:rPr>
                <w:b/>
                <w:sz w:val="22"/>
                <w:szCs w:val="22"/>
              </w:rPr>
              <w:t>2</w:t>
            </w:r>
          </w:p>
        </w:tc>
        <w:tc>
          <w:tcPr>
            <w:tcW w:w="4536" w:type="dxa"/>
            <w:vAlign w:val="center"/>
          </w:tcPr>
          <w:p w14:paraId="2B30533C" w14:textId="5E74ACDD" w:rsidR="00CB6518" w:rsidRPr="00A744B0" w:rsidRDefault="00CB6518" w:rsidP="008660D4">
            <w:pPr>
              <w:jc w:val="center"/>
              <w:rPr>
                <w:b/>
                <w:bCs/>
                <w:color w:val="000000"/>
                <w:sz w:val="22"/>
                <w:szCs w:val="22"/>
              </w:rPr>
            </w:pPr>
            <w:r w:rsidRPr="00A744B0">
              <w:rPr>
                <w:b/>
                <w:bCs/>
                <w:color w:val="000000"/>
                <w:sz w:val="22"/>
                <w:szCs w:val="22"/>
              </w:rPr>
              <w:t>3</w:t>
            </w:r>
          </w:p>
        </w:tc>
        <w:tc>
          <w:tcPr>
            <w:tcW w:w="3969" w:type="dxa"/>
          </w:tcPr>
          <w:p w14:paraId="77F5E169" w14:textId="3D187865" w:rsidR="00CB6518" w:rsidRPr="00A744B0" w:rsidRDefault="00CB6518" w:rsidP="0049487A">
            <w:pPr>
              <w:jc w:val="center"/>
              <w:rPr>
                <w:b/>
                <w:bCs/>
                <w:color w:val="000000"/>
                <w:sz w:val="22"/>
                <w:szCs w:val="22"/>
              </w:rPr>
            </w:pPr>
            <w:r w:rsidRPr="00A744B0">
              <w:rPr>
                <w:b/>
                <w:bCs/>
                <w:color w:val="000000"/>
                <w:sz w:val="22"/>
                <w:szCs w:val="22"/>
              </w:rPr>
              <w:t>4</w:t>
            </w:r>
          </w:p>
        </w:tc>
      </w:tr>
      <w:tr w:rsidR="00373B7A" w:rsidRPr="00A744B0" w14:paraId="4FBA5800" w14:textId="77777777" w:rsidTr="00E42665">
        <w:tc>
          <w:tcPr>
            <w:tcW w:w="668" w:type="dxa"/>
          </w:tcPr>
          <w:p w14:paraId="44AE47C7" w14:textId="77777777" w:rsidR="00373B7A" w:rsidRPr="00A744B0" w:rsidRDefault="00373B7A" w:rsidP="0049487A">
            <w:pPr>
              <w:ind w:hanging="4"/>
              <w:jc w:val="center"/>
              <w:rPr>
                <w:sz w:val="22"/>
                <w:szCs w:val="22"/>
              </w:rPr>
            </w:pPr>
            <w:r w:rsidRPr="00A744B0">
              <w:rPr>
                <w:sz w:val="22"/>
                <w:szCs w:val="22"/>
              </w:rPr>
              <w:t>1.</w:t>
            </w:r>
          </w:p>
        </w:tc>
        <w:tc>
          <w:tcPr>
            <w:tcW w:w="6238" w:type="dxa"/>
          </w:tcPr>
          <w:p w14:paraId="6D048045" w14:textId="6E609D0D" w:rsidR="00373B7A" w:rsidRPr="00A744B0" w:rsidRDefault="00373B7A" w:rsidP="0049487A">
            <w:pPr>
              <w:jc w:val="both"/>
              <w:rPr>
                <w:rFonts w:eastAsia="Calibri"/>
                <w:sz w:val="22"/>
                <w:szCs w:val="22"/>
              </w:rPr>
            </w:pPr>
            <w:r w:rsidRPr="00A744B0">
              <w:rPr>
                <w:rFonts w:eastAsia="Calibri"/>
                <w:sz w:val="22"/>
                <w:szCs w:val="22"/>
              </w:rPr>
              <w:t xml:space="preserve">Analizatorius kraujo krešėjimo tyrimams atlikti </w:t>
            </w:r>
          </w:p>
        </w:tc>
        <w:tc>
          <w:tcPr>
            <w:tcW w:w="4536" w:type="dxa"/>
          </w:tcPr>
          <w:p w14:paraId="60B9D53E" w14:textId="4D00CA32" w:rsidR="00373B7A" w:rsidRPr="00A744B0" w:rsidRDefault="00373B7A" w:rsidP="0049487A">
            <w:pPr>
              <w:rPr>
                <w:i/>
                <w:iCs/>
                <w:sz w:val="22"/>
                <w:szCs w:val="22"/>
              </w:rPr>
            </w:pPr>
          </w:p>
        </w:tc>
        <w:tc>
          <w:tcPr>
            <w:tcW w:w="3969" w:type="dxa"/>
          </w:tcPr>
          <w:p w14:paraId="5436A73B" w14:textId="4E9BE082" w:rsidR="00373B7A" w:rsidRPr="00A744B0" w:rsidRDefault="00373B7A" w:rsidP="0049487A">
            <w:pPr>
              <w:rPr>
                <w:sz w:val="22"/>
                <w:szCs w:val="22"/>
              </w:rPr>
            </w:pPr>
          </w:p>
        </w:tc>
      </w:tr>
      <w:tr w:rsidR="00373B7A" w:rsidRPr="00A744B0" w14:paraId="60071BDC" w14:textId="77777777" w:rsidTr="00E42665">
        <w:tc>
          <w:tcPr>
            <w:tcW w:w="668" w:type="dxa"/>
          </w:tcPr>
          <w:p w14:paraId="3ACEE279" w14:textId="77777777" w:rsidR="00373B7A" w:rsidRPr="00A744B0" w:rsidRDefault="00373B7A" w:rsidP="0049487A">
            <w:pPr>
              <w:ind w:hanging="4"/>
              <w:jc w:val="center"/>
              <w:rPr>
                <w:sz w:val="22"/>
                <w:szCs w:val="22"/>
              </w:rPr>
            </w:pPr>
            <w:r w:rsidRPr="00A744B0">
              <w:rPr>
                <w:sz w:val="22"/>
                <w:szCs w:val="22"/>
              </w:rPr>
              <w:t>2.</w:t>
            </w:r>
          </w:p>
        </w:tc>
        <w:tc>
          <w:tcPr>
            <w:tcW w:w="6238" w:type="dxa"/>
          </w:tcPr>
          <w:p w14:paraId="2DD31A12" w14:textId="77777777" w:rsidR="00373B7A" w:rsidRPr="00A744B0" w:rsidRDefault="00373B7A" w:rsidP="0049487A">
            <w:pPr>
              <w:jc w:val="both"/>
              <w:rPr>
                <w:sz w:val="22"/>
                <w:szCs w:val="22"/>
              </w:rPr>
            </w:pPr>
            <w:r w:rsidRPr="00A744B0">
              <w:rPr>
                <w:sz w:val="22"/>
                <w:szCs w:val="22"/>
              </w:rPr>
              <w:t xml:space="preserve">Matavimo metodai: </w:t>
            </w:r>
          </w:p>
          <w:p w14:paraId="169BDD6A" w14:textId="77777777" w:rsidR="00373B7A" w:rsidRPr="00A744B0" w:rsidRDefault="00373B7A" w:rsidP="0049487A">
            <w:pPr>
              <w:jc w:val="both"/>
              <w:rPr>
                <w:sz w:val="22"/>
                <w:szCs w:val="22"/>
              </w:rPr>
            </w:pPr>
            <w:r w:rsidRPr="00A744B0">
              <w:rPr>
                <w:sz w:val="22"/>
                <w:szCs w:val="22"/>
              </w:rPr>
              <w:t xml:space="preserve">a) chronometrinis elektromagnetinis mechaninis arba  lygiavertis metodas, leidžiantis išmatuoti normalias, bet kokio lygio lipemiškas, hemolizuotas, ikterines plazmas be įtakos analizei; </w:t>
            </w:r>
          </w:p>
          <w:p w14:paraId="7489D9D0" w14:textId="77777777" w:rsidR="00373B7A" w:rsidRPr="00A744B0" w:rsidRDefault="00373B7A" w:rsidP="0049487A">
            <w:pPr>
              <w:jc w:val="both"/>
              <w:rPr>
                <w:sz w:val="22"/>
                <w:szCs w:val="22"/>
              </w:rPr>
            </w:pPr>
            <w:r w:rsidRPr="00A744B0">
              <w:rPr>
                <w:sz w:val="22"/>
                <w:szCs w:val="22"/>
              </w:rPr>
              <w:t xml:space="preserve">b) imunoturbidimetrinis, </w:t>
            </w:r>
          </w:p>
          <w:p w14:paraId="6775E424" w14:textId="77777777" w:rsidR="00373B7A" w:rsidRPr="00A744B0" w:rsidRDefault="00373B7A" w:rsidP="0049487A">
            <w:pPr>
              <w:jc w:val="both"/>
              <w:rPr>
                <w:rFonts w:eastAsia="Calibri"/>
                <w:sz w:val="22"/>
                <w:szCs w:val="22"/>
              </w:rPr>
            </w:pPr>
            <w:r w:rsidRPr="00A744B0">
              <w:rPr>
                <w:sz w:val="22"/>
                <w:szCs w:val="22"/>
              </w:rPr>
              <w:t>c) kolorimetrinis.</w:t>
            </w:r>
          </w:p>
        </w:tc>
        <w:tc>
          <w:tcPr>
            <w:tcW w:w="4536" w:type="dxa"/>
          </w:tcPr>
          <w:p w14:paraId="30BE225B" w14:textId="374FE964" w:rsidR="00373B7A" w:rsidRPr="00A744B0" w:rsidRDefault="00373B7A" w:rsidP="00E42665">
            <w:pPr>
              <w:rPr>
                <w:sz w:val="22"/>
                <w:szCs w:val="22"/>
              </w:rPr>
            </w:pPr>
          </w:p>
        </w:tc>
        <w:tc>
          <w:tcPr>
            <w:tcW w:w="3969" w:type="dxa"/>
          </w:tcPr>
          <w:p w14:paraId="0938B868" w14:textId="3259BA61" w:rsidR="00E42665" w:rsidRPr="00A744B0" w:rsidRDefault="00E42665" w:rsidP="0049487A">
            <w:pPr>
              <w:rPr>
                <w:sz w:val="22"/>
                <w:szCs w:val="22"/>
              </w:rPr>
            </w:pPr>
          </w:p>
        </w:tc>
      </w:tr>
      <w:tr w:rsidR="00373B7A" w:rsidRPr="00A744B0" w14:paraId="007B65D9" w14:textId="77777777" w:rsidTr="00E42665">
        <w:tc>
          <w:tcPr>
            <w:tcW w:w="668" w:type="dxa"/>
          </w:tcPr>
          <w:p w14:paraId="0BC4BBF7" w14:textId="77777777" w:rsidR="00373B7A" w:rsidRPr="00A744B0" w:rsidRDefault="00373B7A" w:rsidP="0049487A">
            <w:pPr>
              <w:ind w:hanging="4"/>
              <w:jc w:val="center"/>
              <w:rPr>
                <w:sz w:val="22"/>
                <w:szCs w:val="22"/>
              </w:rPr>
            </w:pPr>
            <w:r w:rsidRPr="00A744B0">
              <w:rPr>
                <w:sz w:val="22"/>
                <w:szCs w:val="22"/>
              </w:rPr>
              <w:t>3.</w:t>
            </w:r>
          </w:p>
        </w:tc>
        <w:tc>
          <w:tcPr>
            <w:tcW w:w="6238" w:type="dxa"/>
          </w:tcPr>
          <w:p w14:paraId="156B9B92" w14:textId="0AC2F42F" w:rsidR="00373B7A" w:rsidRPr="00A744B0" w:rsidRDefault="00373B7A" w:rsidP="0049487A">
            <w:pPr>
              <w:jc w:val="both"/>
              <w:rPr>
                <w:rFonts w:eastAsia="Calibri"/>
                <w:sz w:val="22"/>
                <w:szCs w:val="22"/>
              </w:rPr>
            </w:pPr>
            <w:r w:rsidRPr="00A744B0">
              <w:rPr>
                <w:sz w:val="22"/>
                <w:szCs w:val="22"/>
              </w:rPr>
              <w:t>Našumas: PT, ADTL ir FIB ne mažiau kaip 100 tyrimų per valandą. Mėginio savybės neturi įtakoti našumo</w:t>
            </w:r>
            <w:r w:rsidR="008660D4" w:rsidRPr="00A744B0">
              <w:rPr>
                <w:sz w:val="22"/>
                <w:szCs w:val="22"/>
              </w:rPr>
              <w:t>, tai reiškia, kad bet koks mėginys privalo būti analizuojamas, o pateikiant jo rezultatą turi būti išlaikomas reikalavime nurodytas našumas.</w:t>
            </w:r>
          </w:p>
        </w:tc>
        <w:tc>
          <w:tcPr>
            <w:tcW w:w="4536" w:type="dxa"/>
          </w:tcPr>
          <w:p w14:paraId="5C3BE34A" w14:textId="568F36A2" w:rsidR="00373B7A" w:rsidRPr="00A744B0" w:rsidRDefault="00373B7A" w:rsidP="0049487A">
            <w:pPr>
              <w:rPr>
                <w:sz w:val="22"/>
                <w:szCs w:val="22"/>
              </w:rPr>
            </w:pPr>
          </w:p>
        </w:tc>
        <w:tc>
          <w:tcPr>
            <w:tcW w:w="3969" w:type="dxa"/>
          </w:tcPr>
          <w:p w14:paraId="008B7104" w14:textId="0FB9661E" w:rsidR="00373B7A" w:rsidRPr="00A744B0" w:rsidRDefault="00373B7A" w:rsidP="0049487A">
            <w:pPr>
              <w:rPr>
                <w:sz w:val="22"/>
                <w:szCs w:val="22"/>
              </w:rPr>
            </w:pPr>
          </w:p>
        </w:tc>
      </w:tr>
      <w:tr w:rsidR="00373B7A" w:rsidRPr="00A744B0" w14:paraId="48667DE6" w14:textId="77777777" w:rsidTr="00E42665">
        <w:tc>
          <w:tcPr>
            <w:tcW w:w="668" w:type="dxa"/>
          </w:tcPr>
          <w:p w14:paraId="18FEDC93" w14:textId="77777777" w:rsidR="00373B7A" w:rsidRPr="00A744B0" w:rsidRDefault="00373B7A" w:rsidP="0049487A">
            <w:pPr>
              <w:ind w:hanging="4"/>
              <w:jc w:val="center"/>
              <w:rPr>
                <w:sz w:val="22"/>
                <w:szCs w:val="22"/>
              </w:rPr>
            </w:pPr>
            <w:r w:rsidRPr="00A744B0">
              <w:rPr>
                <w:sz w:val="22"/>
                <w:szCs w:val="22"/>
              </w:rPr>
              <w:t>4.</w:t>
            </w:r>
          </w:p>
        </w:tc>
        <w:tc>
          <w:tcPr>
            <w:tcW w:w="6238" w:type="dxa"/>
          </w:tcPr>
          <w:p w14:paraId="0460AEDC" w14:textId="77777777" w:rsidR="00373B7A" w:rsidRPr="00A744B0" w:rsidRDefault="00373B7A" w:rsidP="0049487A">
            <w:pPr>
              <w:jc w:val="both"/>
              <w:rPr>
                <w:sz w:val="22"/>
                <w:szCs w:val="22"/>
              </w:rPr>
            </w:pPr>
            <w:r w:rsidRPr="00A744B0">
              <w:rPr>
                <w:sz w:val="22"/>
                <w:szCs w:val="22"/>
              </w:rPr>
              <w:t>- Galimybė pakartoti tyrimus iš tos pačios tiriamos plazmos, neišimant mėgintuvėlio iš analizatoriaus;</w:t>
            </w:r>
          </w:p>
          <w:p w14:paraId="0C20E2A3" w14:textId="77777777" w:rsidR="00373B7A" w:rsidRPr="00A744B0" w:rsidRDefault="00373B7A" w:rsidP="0049487A">
            <w:pPr>
              <w:jc w:val="both"/>
              <w:rPr>
                <w:rFonts w:eastAsia="Calibri"/>
                <w:sz w:val="22"/>
                <w:szCs w:val="22"/>
              </w:rPr>
            </w:pPr>
            <w:r w:rsidRPr="00A744B0">
              <w:rPr>
                <w:sz w:val="22"/>
                <w:szCs w:val="22"/>
              </w:rPr>
              <w:t>- Galimybė nuskaityti brūkšninius kodus (mėginiai, matavimo laikmenos, t.t).</w:t>
            </w:r>
          </w:p>
        </w:tc>
        <w:tc>
          <w:tcPr>
            <w:tcW w:w="4536" w:type="dxa"/>
          </w:tcPr>
          <w:p w14:paraId="64A34597" w14:textId="76B33276" w:rsidR="00373B7A" w:rsidRPr="00A744B0" w:rsidRDefault="00373B7A" w:rsidP="008B3BCA">
            <w:pPr>
              <w:rPr>
                <w:sz w:val="22"/>
                <w:szCs w:val="22"/>
              </w:rPr>
            </w:pPr>
          </w:p>
        </w:tc>
        <w:tc>
          <w:tcPr>
            <w:tcW w:w="3969" w:type="dxa"/>
          </w:tcPr>
          <w:p w14:paraId="66B1A727" w14:textId="4F2FC55C" w:rsidR="005224C0" w:rsidRPr="00A744B0" w:rsidRDefault="005224C0" w:rsidP="0049487A">
            <w:pPr>
              <w:rPr>
                <w:sz w:val="22"/>
                <w:szCs w:val="22"/>
              </w:rPr>
            </w:pPr>
          </w:p>
        </w:tc>
      </w:tr>
      <w:tr w:rsidR="00373B7A" w:rsidRPr="00A744B0" w14:paraId="712643C8" w14:textId="77777777" w:rsidTr="00E42665">
        <w:tc>
          <w:tcPr>
            <w:tcW w:w="668" w:type="dxa"/>
          </w:tcPr>
          <w:p w14:paraId="1EF8CEA0" w14:textId="77777777" w:rsidR="00373B7A" w:rsidRPr="00A744B0" w:rsidRDefault="00373B7A" w:rsidP="0049487A">
            <w:pPr>
              <w:ind w:hanging="4"/>
              <w:jc w:val="center"/>
              <w:rPr>
                <w:sz w:val="22"/>
                <w:szCs w:val="22"/>
              </w:rPr>
            </w:pPr>
            <w:r w:rsidRPr="00A744B0">
              <w:rPr>
                <w:sz w:val="22"/>
                <w:szCs w:val="22"/>
              </w:rPr>
              <w:t xml:space="preserve">5. </w:t>
            </w:r>
          </w:p>
        </w:tc>
        <w:tc>
          <w:tcPr>
            <w:tcW w:w="6238" w:type="dxa"/>
          </w:tcPr>
          <w:p w14:paraId="4A1BA372" w14:textId="77777777" w:rsidR="00373B7A" w:rsidRPr="00A744B0" w:rsidRDefault="00373B7A" w:rsidP="0049487A">
            <w:pPr>
              <w:jc w:val="both"/>
              <w:rPr>
                <w:rFonts w:eastAsia="Calibri"/>
                <w:sz w:val="22"/>
                <w:szCs w:val="22"/>
              </w:rPr>
            </w:pPr>
            <w:r w:rsidRPr="00A744B0">
              <w:rPr>
                <w:sz w:val="22"/>
                <w:szCs w:val="22"/>
              </w:rPr>
              <w:t>Ne mažiau 45 vietų reagentams.</w:t>
            </w:r>
          </w:p>
        </w:tc>
        <w:tc>
          <w:tcPr>
            <w:tcW w:w="4536" w:type="dxa"/>
          </w:tcPr>
          <w:p w14:paraId="215A25A8" w14:textId="4C811F41" w:rsidR="00373B7A" w:rsidRPr="00A744B0" w:rsidRDefault="00373B7A" w:rsidP="0049487A">
            <w:pPr>
              <w:rPr>
                <w:sz w:val="22"/>
                <w:szCs w:val="22"/>
              </w:rPr>
            </w:pPr>
          </w:p>
        </w:tc>
        <w:tc>
          <w:tcPr>
            <w:tcW w:w="3969" w:type="dxa"/>
          </w:tcPr>
          <w:p w14:paraId="1A635E53" w14:textId="53A3C31D" w:rsidR="00373B7A" w:rsidRPr="00A744B0" w:rsidRDefault="00373B7A" w:rsidP="0051760B">
            <w:pPr>
              <w:rPr>
                <w:sz w:val="22"/>
                <w:szCs w:val="22"/>
              </w:rPr>
            </w:pPr>
          </w:p>
        </w:tc>
      </w:tr>
      <w:tr w:rsidR="00373B7A" w:rsidRPr="00A744B0" w14:paraId="192BB819" w14:textId="77777777" w:rsidTr="00E42665">
        <w:tc>
          <w:tcPr>
            <w:tcW w:w="668" w:type="dxa"/>
          </w:tcPr>
          <w:p w14:paraId="6403413F" w14:textId="77777777" w:rsidR="00373B7A" w:rsidRPr="00A744B0" w:rsidRDefault="00373B7A" w:rsidP="0049487A">
            <w:pPr>
              <w:ind w:hanging="4"/>
              <w:jc w:val="center"/>
              <w:rPr>
                <w:sz w:val="22"/>
                <w:szCs w:val="22"/>
              </w:rPr>
            </w:pPr>
            <w:r w:rsidRPr="00A744B0">
              <w:rPr>
                <w:sz w:val="22"/>
                <w:szCs w:val="22"/>
              </w:rPr>
              <w:t xml:space="preserve">6. </w:t>
            </w:r>
          </w:p>
        </w:tc>
        <w:tc>
          <w:tcPr>
            <w:tcW w:w="6238" w:type="dxa"/>
          </w:tcPr>
          <w:p w14:paraId="6BEAF5CF" w14:textId="77777777" w:rsidR="00373B7A" w:rsidRPr="00A744B0" w:rsidRDefault="00373B7A" w:rsidP="0049487A">
            <w:pPr>
              <w:jc w:val="both"/>
              <w:rPr>
                <w:rFonts w:eastAsia="Calibri"/>
                <w:sz w:val="22"/>
                <w:szCs w:val="22"/>
              </w:rPr>
            </w:pPr>
            <w:r w:rsidRPr="00A744B0">
              <w:rPr>
                <w:sz w:val="22"/>
                <w:szCs w:val="22"/>
              </w:rPr>
              <w:t>Nemažiau kaip 80 vietų mėginiams pirminiuose kraujo ėmimo mėgintuvėliuose.</w:t>
            </w:r>
          </w:p>
        </w:tc>
        <w:tc>
          <w:tcPr>
            <w:tcW w:w="4536" w:type="dxa"/>
          </w:tcPr>
          <w:p w14:paraId="2FE503EE" w14:textId="2E4977BF" w:rsidR="00373B7A" w:rsidRPr="00A744B0" w:rsidRDefault="00373B7A" w:rsidP="0049487A">
            <w:pPr>
              <w:rPr>
                <w:sz w:val="22"/>
                <w:szCs w:val="22"/>
              </w:rPr>
            </w:pPr>
          </w:p>
        </w:tc>
        <w:tc>
          <w:tcPr>
            <w:tcW w:w="3969" w:type="dxa"/>
          </w:tcPr>
          <w:p w14:paraId="7FD49381" w14:textId="631EC3C6" w:rsidR="00373B7A" w:rsidRPr="00A744B0" w:rsidRDefault="00373B7A" w:rsidP="0051760B">
            <w:pPr>
              <w:rPr>
                <w:sz w:val="22"/>
                <w:szCs w:val="22"/>
              </w:rPr>
            </w:pPr>
          </w:p>
        </w:tc>
      </w:tr>
      <w:tr w:rsidR="00373B7A" w:rsidRPr="00A744B0" w14:paraId="003BF389" w14:textId="77777777" w:rsidTr="00E42665">
        <w:tc>
          <w:tcPr>
            <w:tcW w:w="668" w:type="dxa"/>
          </w:tcPr>
          <w:p w14:paraId="3D4250DA" w14:textId="77777777" w:rsidR="00373B7A" w:rsidRPr="00A744B0" w:rsidRDefault="00373B7A" w:rsidP="0049487A">
            <w:pPr>
              <w:ind w:hanging="4"/>
              <w:jc w:val="center"/>
              <w:rPr>
                <w:sz w:val="22"/>
                <w:szCs w:val="22"/>
              </w:rPr>
            </w:pPr>
            <w:r w:rsidRPr="00A744B0">
              <w:rPr>
                <w:sz w:val="22"/>
                <w:szCs w:val="22"/>
              </w:rPr>
              <w:t>7.</w:t>
            </w:r>
          </w:p>
        </w:tc>
        <w:tc>
          <w:tcPr>
            <w:tcW w:w="6238" w:type="dxa"/>
          </w:tcPr>
          <w:p w14:paraId="342496C2" w14:textId="77777777" w:rsidR="00373B7A" w:rsidRPr="00A744B0" w:rsidRDefault="00373B7A" w:rsidP="0049487A">
            <w:pPr>
              <w:jc w:val="both"/>
              <w:rPr>
                <w:sz w:val="22"/>
                <w:szCs w:val="22"/>
              </w:rPr>
            </w:pPr>
            <w:r w:rsidRPr="00A744B0">
              <w:rPr>
                <w:sz w:val="22"/>
                <w:szCs w:val="22"/>
              </w:rPr>
              <w:t>Funkcionalumas:</w:t>
            </w:r>
          </w:p>
          <w:p w14:paraId="7AB868F7" w14:textId="77777777" w:rsidR="00373B7A" w:rsidRPr="00A744B0" w:rsidRDefault="00373B7A" w:rsidP="0049487A">
            <w:pPr>
              <w:jc w:val="both"/>
              <w:rPr>
                <w:sz w:val="22"/>
                <w:szCs w:val="22"/>
              </w:rPr>
            </w:pPr>
            <w:r w:rsidRPr="00A744B0">
              <w:rPr>
                <w:sz w:val="22"/>
                <w:szCs w:val="22"/>
              </w:rPr>
              <w:t>Sistema turi leisti atlikti krešėjimo sistemos tyrimus bet kokia tvarka ir laisvai pasirinkti bei keisti pacientų mėginių  atlikimo eiliškumą.</w:t>
            </w:r>
          </w:p>
        </w:tc>
        <w:tc>
          <w:tcPr>
            <w:tcW w:w="4536" w:type="dxa"/>
          </w:tcPr>
          <w:p w14:paraId="0F9FB96E" w14:textId="79EBBD2F" w:rsidR="00373B7A" w:rsidRPr="00A744B0" w:rsidRDefault="00373B7A" w:rsidP="0049487A">
            <w:pPr>
              <w:rPr>
                <w:sz w:val="22"/>
                <w:szCs w:val="22"/>
              </w:rPr>
            </w:pPr>
          </w:p>
        </w:tc>
        <w:tc>
          <w:tcPr>
            <w:tcW w:w="3969" w:type="dxa"/>
          </w:tcPr>
          <w:p w14:paraId="7D996170" w14:textId="538394AE" w:rsidR="00B47A35" w:rsidRPr="00A744B0" w:rsidRDefault="00B47A35" w:rsidP="0049487A">
            <w:pPr>
              <w:rPr>
                <w:sz w:val="22"/>
                <w:szCs w:val="22"/>
              </w:rPr>
            </w:pPr>
          </w:p>
        </w:tc>
      </w:tr>
      <w:tr w:rsidR="00373B7A" w:rsidRPr="00A744B0" w14:paraId="6FDB08B4" w14:textId="77777777" w:rsidTr="00E42665">
        <w:tc>
          <w:tcPr>
            <w:tcW w:w="668" w:type="dxa"/>
          </w:tcPr>
          <w:p w14:paraId="16FA8D56" w14:textId="77777777" w:rsidR="00373B7A" w:rsidRPr="00A744B0" w:rsidRDefault="00373B7A" w:rsidP="0049487A">
            <w:pPr>
              <w:ind w:hanging="4"/>
              <w:jc w:val="center"/>
              <w:rPr>
                <w:sz w:val="22"/>
                <w:szCs w:val="22"/>
              </w:rPr>
            </w:pPr>
            <w:r w:rsidRPr="00A744B0">
              <w:rPr>
                <w:sz w:val="22"/>
                <w:szCs w:val="22"/>
              </w:rPr>
              <w:t xml:space="preserve">8. </w:t>
            </w:r>
          </w:p>
        </w:tc>
        <w:tc>
          <w:tcPr>
            <w:tcW w:w="6238" w:type="dxa"/>
          </w:tcPr>
          <w:p w14:paraId="250CE96C" w14:textId="77777777" w:rsidR="00373B7A" w:rsidRPr="00A744B0" w:rsidRDefault="00373B7A" w:rsidP="0049487A">
            <w:pPr>
              <w:jc w:val="both"/>
              <w:rPr>
                <w:sz w:val="22"/>
                <w:szCs w:val="22"/>
              </w:rPr>
            </w:pPr>
            <w:r w:rsidRPr="00A744B0">
              <w:rPr>
                <w:sz w:val="22"/>
                <w:szCs w:val="22"/>
              </w:rPr>
              <w:t>Reikalavimai ADTL:</w:t>
            </w:r>
          </w:p>
          <w:p w14:paraId="7B639985" w14:textId="77777777" w:rsidR="00373B7A" w:rsidRPr="00A744B0" w:rsidRDefault="00373B7A" w:rsidP="0049487A">
            <w:pPr>
              <w:jc w:val="both"/>
              <w:rPr>
                <w:sz w:val="22"/>
                <w:szCs w:val="22"/>
              </w:rPr>
            </w:pPr>
            <w:r w:rsidRPr="00A744B0">
              <w:rPr>
                <w:sz w:val="22"/>
                <w:szCs w:val="22"/>
              </w:rPr>
              <w:lastRenderedPageBreak/>
              <w:t>Analizatoriuje būtų paruošta programa ADTL nustatymui, leidžianti be papildomų procedūrų išmatuoti normalias, bet kokio lygio lipemines, hemolizuotas ir ikterines plazmas.</w:t>
            </w:r>
          </w:p>
        </w:tc>
        <w:tc>
          <w:tcPr>
            <w:tcW w:w="4536" w:type="dxa"/>
          </w:tcPr>
          <w:p w14:paraId="37058C10" w14:textId="52019152" w:rsidR="00373B7A" w:rsidRPr="00A744B0" w:rsidRDefault="00373B7A" w:rsidP="0049487A">
            <w:pPr>
              <w:rPr>
                <w:sz w:val="22"/>
                <w:szCs w:val="22"/>
              </w:rPr>
            </w:pPr>
          </w:p>
        </w:tc>
        <w:tc>
          <w:tcPr>
            <w:tcW w:w="3969" w:type="dxa"/>
          </w:tcPr>
          <w:p w14:paraId="6ADB0851" w14:textId="1098D3C9" w:rsidR="00373B7A" w:rsidRPr="00A744B0" w:rsidRDefault="00373B7A" w:rsidP="0049487A">
            <w:pPr>
              <w:rPr>
                <w:sz w:val="22"/>
                <w:szCs w:val="22"/>
              </w:rPr>
            </w:pPr>
          </w:p>
        </w:tc>
      </w:tr>
      <w:tr w:rsidR="00373B7A" w:rsidRPr="00A744B0" w14:paraId="1201BB85" w14:textId="77777777" w:rsidTr="00E42665">
        <w:tc>
          <w:tcPr>
            <w:tcW w:w="668" w:type="dxa"/>
          </w:tcPr>
          <w:p w14:paraId="40E9D634" w14:textId="77777777" w:rsidR="00373B7A" w:rsidRPr="00A744B0" w:rsidRDefault="00373B7A" w:rsidP="0049487A">
            <w:pPr>
              <w:ind w:hanging="4"/>
              <w:jc w:val="center"/>
              <w:rPr>
                <w:sz w:val="22"/>
                <w:szCs w:val="22"/>
              </w:rPr>
            </w:pPr>
            <w:r w:rsidRPr="00A744B0">
              <w:rPr>
                <w:sz w:val="22"/>
                <w:szCs w:val="22"/>
              </w:rPr>
              <w:t>9.</w:t>
            </w:r>
          </w:p>
        </w:tc>
        <w:tc>
          <w:tcPr>
            <w:tcW w:w="6238" w:type="dxa"/>
          </w:tcPr>
          <w:p w14:paraId="65CB699F" w14:textId="77777777" w:rsidR="00373B7A" w:rsidRPr="00A744B0" w:rsidRDefault="00373B7A" w:rsidP="0049487A">
            <w:pPr>
              <w:jc w:val="both"/>
              <w:rPr>
                <w:sz w:val="22"/>
                <w:szCs w:val="22"/>
              </w:rPr>
            </w:pPr>
            <w:r w:rsidRPr="00A744B0">
              <w:rPr>
                <w:sz w:val="22"/>
                <w:szCs w:val="22"/>
              </w:rPr>
              <w:t>Reikalavimai PL:</w:t>
            </w:r>
          </w:p>
          <w:p w14:paraId="479FE5B5" w14:textId="77777777" w:rsidR="00373B7A" w:rsidRPr="00A744B0" w:rsidRDefault="00373B7A" w:rsidP="0049487A">
            <w:pPr>
              <w:jc w:val="both"/>
              <w:rPr>
                <w:sz w:val="22"/>
                <w:szCs w:val="22"/>
              </w:rPr>
            </w:pPr>
            <w:r w:rsidRPr="00A744B0">
              <w:rPr>
                <w:sz w:val="22"/>
                <w:szCs w:val="22"/>
              </w:rPr>
              <w:t>Analizatoriuje paruošta programa:</w:t>
            </w:r>
          </w:p>
          <w:p w14:paraId="5C3C2EA3" w14:textId="77777777" w:rsidR="00373B7A" w:rsidRPr="00A744B0" w:rsidRDefault="00373B7A" w:rsidP="0049487A">
            <w:pPr>
              <w:jc w:val="both"/>
              <w:rPr>
                <w:sz w:val="22"/>
                <w:szCs w:val="22"/>
              </w:rPr>
            </w:pPr>
            <w:r w:rsidRPr="00A744B0">
              <w:rPr>
                <w:sz w:val="22"/>
                <w:szCs w:val="22"/>
              </w:rPr>
              <w:t>Protrombino laiko (II-VII-X faktorių aktyvumo) nustatymui, leidžianti be papildomų prodedūrų išmatuoti normalias, bet kokio lygio lipemines, hemolizuotas ir ikterines plazmas.</w:t>
            </w:r>
          </w:p>
        </w:tc>
        <w:tc>
          <w:tcPr>
            <w:tcW w:w="4536" w:type="dxa"/>
          </w:tcPr>
          <w:p w14:paraId="0BD613E9" w14:textId="6BE83DD1" w:rsidR="00373B7A" w:rsidRPr="00A744B0" w:rsidRDefault="00373B7A" w:rsidP="00052204">
            <w:pPr>
              <w:rPr>
                <w:sz w:val="22"/>
                <w:szCs w:val="22"/>
              </w:rPr>
            </w:pPr>
          </w:p>
        </w:tc>
        <w:tc>
          <w:tcPr>
            <w:tcW w:w="3969" w:type="dxa"/>
          </w:tcPr>
          <w:p w14:paraId="2EC68C51" w14:textId="2130E5AF" w:rsidR="00373B7A" w:rsidRPr="00A744B0" w:rsidRDefault="00373B7A" w:rsidP="0049487A">
            <w:pPr>
              <w:rPr>
                <w:sz w:val="22"/>
                <w:szCs w:val="22"/>
              </w:rPr>
            </w:pPr>
          </w:p>
        </w:tc>
      </w:tr>
      <w:tr w:rsidR="00373B7A" w:rsidRPr="00A744B0" w14:paraId="04D6B163" w14:textId="77777777" w:rsidTr="00E42665">
        <w:tc>
          <w:tcPr>
            <w:tcW w:w="668" w:type="dxa"/>
          </w:tcPr>
          <w:p w14:paraId="6783AAB7" w14:textId="77777777" w:rsidR="00373B7A" w:rsidRPr="00A744B0" w:rsidRDefault="00373B7A" w:rsidP="0049487A">
            <w:pPr>
              <w:ind w:hanging="4"/>
              <w:jc w:val="center"/>
              <w:rPr>
                <w:sz w:val="22"/>
                <w:szCs w:val="22"/>
              </w:rPr>
            </w:pPr>
            <w:r w:rsidRPr="00A744B0">
              <w:rPr>
                <w:sz w:val="22"/>
                <w:szCs w:val="22"/>
              </w:rPr>
              <w:t>10.</w:t>
            </w:r>
          </w:p>
        </w:tc>
        <w:tc>
          <w:tcPr>
            <w:tcW w:w="6238" w:type="dxa"/>
          </w:tcPr>
          <w:p w14:paraId="413920AC" w14:textId="77777777" w:rsidR="00373B7A" w:rsidRPr="00A744B0" w:rsidRDefault="00373B7A" w:rsidP="0049487A">
            <w:pPr>
              <w:jc w:val="both"/>
              <w:rPr>
                <w:sz w:val="22"/>
                <w:szCs w:val="22"/>
              </w:rPr>
            </w:pPr>
            <w:r w:rsidRPr="00A744B0">
              <w:rPr>
                <w:sz w:val="22"/>
                <w:szCs w:val="22"/>
              </w:rPr>
              <w:t>Reikalavimai FIB koncentracijos nustatymui:</w:t>
            </w:r>
          </w:p>
          <w:p w14:paraId="75530DB8" w14:textId="5738DE82" w:rsidR="00373B7A" w:rsidRPr="00A744B0" w:rsidRDefault="00373B7A" w:rsidP="006F2052">
            <w:pPr>
              <w:jc w:val="both"/>
              <w:rPr>
                <w:sz w:val="22"/>
                <w:szCs w:val="22"/>
              </w:rPr>
            </w:pPr>
            <w:r w:rsidRPr="00A744B0">
              <w:rPr>
                <w:sz w:val="22"/>
                <w:szCs w:val="22"/>
              </w:rPr>
              <w:t>Analizatoriuje paruošta programa</w:t>
            </w:r>
            <w:r w:rsidR="006F2052">
              <w:rPr>
                <w:sz w:val="22"/>
                <w:szCs w:val="22"/>
              </w:rPr>
              <w:t xml:space="preserve"> </w:t>
            </w:r>
            <w:r w:rsidRPr="00A744B0">
              <w:rPr>
                <w:sz w:val="22"/>
                <w:szCs w:val="22"/>
              </w:rPr>
              <w:t>fibrinogeno koncentracijos nustatymui Klauso metodu ir leidžianti be papildomų procedūrų išmatuoti normalias, bet kokio lygio lipemines, hemolizuotas ir ikterines plazmas.</w:t>
            </w:r>
          </w:p>
        </w:tc>
        <w:tc>
          <w:tcPr>
            <w:tcW w:w="4536" w:type="dxa"/>
          </w:tcPr>
          <w:p w14:paraId="0E42471B" w14:textId="3E961FDF" w:rsidR="00373B7A" w:rsidRPr="00A744B0" w:rsidRDefault="00373B7A" w:rsidP="0049487A">
            <w:pPr>
              <w:rPr>
                <w:sz w:val="22"/>
                <w:szCs w:val="22"/>
              </w:rPr>
            </w:pPr>
          </w:p>
        </w:tc>
        <w:tc>
          <w:tcPr>
            <w:tcW w:w="3969" w:type="dxa"/>
          </w:tcPr>
          <w:p w14:paraId="1FAE82A5" w14:textId="4798738F" w:rsidR="00373B7A" w:rsidRPr="00A744B0" w:rsidRDefault="00373B7A" w:rsidP="0049487A">
            <w:pPr>
              <w:rPr>
                <w:sz w:val="22"/>
                <w:szCs w:val="22"/>
              </w:rPr>
            </w:pPr>
          </w:p>
        </w:tc>
      </w:tr>
      <w:tr w:rsidR="00373B7A" w:rsidRPr="00A744B0" w14:paraId="0DE249A0" w14:textId="77777777" w:rsidTr="00E42665">
        <w:tc>
          <w:tcPr>
            <w:tcW w:w="668" w:type="dxa"/>
          </w:tcPr>
          <w:p w14:paraId="3B5FD458" w14:textId="77777777" w:rsidR="00373B7A" w:rsidRPr="00A744B0" w:rsidRDefault="00373B7A" w:rsidP="0049487A">
            <w:pPr>
              <w:ind w:hanging="4"/>
              <w:jc w:val="center"/>
              <w:rPr>
                <w:sz w:val="22"/>
                <w:szCs w:val="22"/>
              </w:rPr>
            </w:pPr>
            <w:r w:rsidRPr="00A744B0">
              <w:rPr>
                <w:sz w:val="22"/>
                <w:szCs w:val="22"/>
              </w:rPr>
              <w:t>11.</w:t>
            </w:r>
          </w:p>
        </w:tc>
        <w:tc>
          <w:tcPr>
            <w:tcW w:w="6238" w:type="dxa"/>
          </w:tcPr>
          <w:p w14:paraId="66620257" w14:textId="77777777" w:rsidR="00373B7A" w:rsidRPr="00A744B0" w:rsidRDefault="00373B7A" w:rsidP="0049487A">
            <w:pPr>
              <w:jc w:val="both"/>
              <w:rPr>
                <w:sz w:val="22"/>
                <w:szCs w:val="22"/>
              </w:rPr>
            </w:pPr>
            <w:r w:rsidRPr="00A744B0">
              <w:rPr>
                <w:sz w:val="22"/>
                <w:szCs w:val="22"/>
              </w:rPr>
              <w:t>Tiriami mėginiai – citruota plazma (normali, bet kokio lygio hemolizuota, ikterinė, lipeminė) turi būti ištiriama be papildomų procedūrų rutinos tyrimams.</w:t>
            </w:r>
          </w:p>
        </w:tc>
        <w:tc>
          <w:tcPr>
            <w:tcW w:w="4536" w:type="dxa"/>
          </w:tcPr>
          <w:p w14:paraId="5900C3A8" w14:textId="73FD9A8B" w:rsidR="00373B7A" w:rsidRPr="00A744B0" w:rsidRDefault="00373B7A" w:rsidP="0049487A">
            <w:pPr>
              <w:rPr>
                <w:sz w:val="22"/>
                <w:szCs w:val="22"/>
              </w:rPr>
            </w:pPr>
          </w:p>
        </w:tc>
        <w:tc>
          <w:tcPr>
            <w:tcW w:w="3969" w:type="dxa"/>
          </w:tcPr>
          <w:p w14:paraId="0D5EEE22" w14:textId="20518F92" w:rsidR="00373B7A" w:rsidRPr="00A744B0" w:rsidRDefault="00373B7A" w:rsidP="0049487A">
            <w:pPr>
              <w:rPr>
                <w:sz w:val="22"/>
                <w:szCs w:val="22"/>
              </w:rPr>
            </w:pPr>
          </w:p>
        </w:tc>
      </w:tr>
      <w:tr w:rsidR="00A744B0" w:rsidRPr="00A744B0" w14:paraId="5BCDC48A" w14:textId="77777777" w:rsidTr="00E42665">
        <w:tc>
          <w:tcPr>
            <w:tcW w:w="668" w:type="dxa"/>
          </w:tcPr>
          <w:p w14:paraId="3D2F263D" w14:textId="77777777" w:rsidR="00A744B0" w:rsidRPr="00A744B0" w:rsidRDefault="00A744B0" w:rsidP="00A744B0">
            <w:pPr>
              <w:ind w:hanging="4"/>
              <w:jc w:val="center"/>
              <w:rPr>
                <w:sz w:val="22"/>
                <w:szCs w:val="22"/>
              </w:rPr>
            </w:pPr>
            <w:r w:rsidRPr="00A744B0">
              <w:rPr>
                <w:sz w:val="22"/>
                <w:szCs w:val="22"/>
              </w:rPr>
              <w:t>12.</w:t>
            </w:r>
          </w:p>
        </w:tc>
        <w:tc>
          <w:tcPr>
            <w:tcW w:w="6238" w:type="dxa"/>
          </w:tcPr>
          <w:p w14:paraId="54DAC4F4" w14:textId="65D9B098" w:rsidR="00A744B0" w:rsidRPr="00A744B0" w:rsidRDefault="00A744B0" w:rsidP="00A744B0">
            <w:pPr>
              <w:jc w:val="both"/>
              <w:rPr>
                <w:sz w:val="22"/>
                <w:szCs w:val="22"/>
              </w:rPr>
            </w:pPr>
            <w:r w:rsidRPr="00A744B0">
              <w:rPr>
                <w:sz w:val="22"/>
                <w:szCs w:val="22"/>
              </w:rPr>
              <w:t xml:space="preserve">Analizatorius privalo turėti dvikryptę komunikaciją standartiniu protokolu (ASTM arba HL7) su laboratorijoje įdiegta informacine sistema </w:t>
            </w:r>
            <w:r w:rsidRPr="00A744B0">
              <w:rPr>
                <w:rFonts w:eastAsia="Calibri"/>
                <w:sz w:val="22"/>
                <w:szCs w:val="22"/>
              </w:rPr>
              <w:t>OpenLims, Stapro s. r. o., Čekija.</w:t>
            </w:r>
          </w:p>
        </w:tc>
        <w:tc>
          <w:tcPr>
            <w:tcW w:w="4536" w:type="dxa"/>
          </w:tcPr>
          <w:p w14:paraId="67C2B9D4" w14:textId="33DB2B5F" w:rsidR="00A744B0" w:rsidRPr="00A744B0" w:rsidRDefault="00A744B0" w:rsidP="00A744B0">
            <w:pPr>
              <w:rPr>
                <w:sz w:val="22"/>
                <w:szCs w:val="22"/>
              </w:rPr>
            </w:pPr>
          </w:p>
        </w:tc>
        <w:tc>
          <w:tcPr>
            <w:tcW w:w="3969" w:type="dxa"/>
          </w:tcPr>
          <w:p w14:paraId="345FD727" w14:textId="63C5BC71" w:rsidR="00A744B0" w:rsidRPr="00A744B0" w:rsidRDefault="00A744B0" w:rsidP="00A744B0">
            <w:pPr>
              <w:rPr>
                <w:sz w:val="22"/>
                <w:szCs w:val="22"/>
              </w:rPr>
            </w:pPr>
          </w:p>
        </w:tc>
      </w:tr>
      <w:tr w:rsidR="00A744B0" w:rsidRPr="00A744B0" w14:paraId="61A8AF6D" w14:textId="77777777" w:rsidTr="00E42665">
        <w:tc>
          <w:tcPr>
            <w:tcW w:w="668" w:type="dxa"/>
          </w:tcPr>
          <w:p w14:paraId="7FF9C602" w14:textId="77777777" w:rsidR="00A744B0" w:rsidRPr="00A744B0" w:rsidRDefault="00A744B0" w:rsidP="00A744B0">
            <w:pPr>
              <w:ind w:hanging="4"/>
              <w:jc w:val="center"/>
              <w:rPr>
                <w:sz w:val="22"/>
                <w:szCs w:val="22"/>
              </w:rPr>
            </w:pPr>
            <w:r w:rsidRPr="00A744B0">
              <w:rPr>
                <w:sz w:val="22"/>
                <w:szCs w:val="22"/>
              </w:rPr>
              <w:t>13.</w:t>
            </w:r>
          </w:p>
        </w:tc>
        <w:tc>
          <w:tcPr>
            <w:tcW w:w="6238" w:type="dxa"/>
          </w:tcPr>
          <w:p w14:paraId="2C2E3FCD" w14:textId="0FE0E784" w:rsidR="00A744B0" w:rsidRPr="00B67543" w:rsidRDefault="00A744B0" w:rsidP="00A744B0">
            <w:pPr>
              <w:jc w:val="both"/>
              <w:rPr>
                <w:rFonts w:eastAsia="Calibri"/>
                <w:sz w:val="22"/>
                <w:szCs w:val="22"/>
              </w:rPr>
            </w:pPr>
            <w:r w:rsidRPr="00B67543">
              <w:rPr>
                <w:rFonts w:eastAsia="Calibri"/>
                <w:sz w:val="22"/>
                <w:szCs w:val="22"/>
              </w:rPr>
              <w:t>Analizatorius turi būti pagamintas ne anksčiau kaip 2021 metais (tinkamais įrodymais bus laikoma gamintojo informacija apie analizatoriaus pagaminimo datą, serijos numerį ir kt.)</w:t>
            </w:r>
          </w:p>
        </w:tc>
        <w:tc>
          <w:tcPr>
            <w:tcW w:w="4536" w:type="dxa"/>
          </w:tcPr>
          <w:p w14:paraId="055265BB" w14:textId="0FE45F17" w:rsidR="00A744B0" w:rsidRPr="00A744B0" w:rsidRDefault="00A744B0" w:rsidP="00A744B0">
            <w:pPr>
              <w:rPr>
                <w:sz w:val="22"/>
                <w:szCs w:val="22"/>
              </w:rPr>
            </w:pPr>
          </w:p>
        </w:tc>
        <w:tc>
          <w:tcPr>
            <w:tcW w:w="3969" w:type="dxa"/>
          </w:tcPr>
          <w:p w14:paraId="45156AA2" w14:textId="7A1B99B3" w:rsidR="00A744B0" w:rsidRPr="00A744B0" w:rsidRDefault="00A744B0" w:rsidP="00A744B0">
            <w:pPr>
              <w:rPr>
                <w:sz w:val="22"/>
                <w:szCs w:val="22"/>
              </w:rPr>
            </w:pPr>
          </w:p>
        </w:tc>
      </w:tr>
      <w:tr w:rsidR="00A744B0" w:rsidRPr="00A744B0" w14:paraId="372AFCF7" w14:textId="77777777" w:rsidTr="00E42665">
        <w:tc>
          <w:tcPr>
            <w:tcW w:w="668" w:type="dxa"/>
          </w:tcPr>
          <w:p w14:paraId="1F5EDBFD" w14:textId="77777777" w:rsidR="00A744B0" w:rsidRPr="00A744B0" w:rsidRDefault="00A744B0" w:rsidP="00A744B0">
            <w:pPr>
              <w:ind w:hanging="4"/>
              <w:jc w:val="center"/>
              <w:rPr>
                <w:sz w:val="22"/>
                <w:szCs w:val="22"/>
              </w:rPr>
            </w:pPr>
            <w:r w:rsidRPr="00A744B0">
              <w:rPr>
                <w:sz w:val="22"/>
                <w:szCs w:val="22"/>
              </w:rPr>
              <w:t>14.</w:t>
            </w:r>
          </w:p>
        </w:tc>
        <w:tc>
          <w:tcPr>
            <w:tcW w:w="6238" w:type="dxa"/>
          </w:tcPr>
          <w:p w14:paraId="152A4843" w14:textId="77777777" w:rsidR="00A744B0" w:rsidRPr="00A744B0" w:rsidRDefault="00A744B0" w:rsidP="00BE0EF2">
            <w:pPr>
              <w:jc w:val="both"/>
              <w:rPr>
                <w:sz w:val="22"/>
                <w:szCs w:val="22"/>
              </w:rPr>
            </w:pPr>
            <w:r w:rsidRPr="00A744B0">
              <w:rPr>
                <w:rFonts w:eastAsia="Calibri"/>
                <w:sz w:val="22"/>
                <w:szCs w:val="22"/>
              </w:rPr>
              <w:t>Analizatorius turi būti paženklintas CE arba lygiaverčiu ženklu. Pateikti galiojančius sertifikatus originalo ir lietuvių kalba.</w:t>
            </w:r>
          </w:p>
        </w:tc>
        <w:tc>
          <w:tcPr>
            <w:tcW w:w="4536" w:type="dxa"/>
          </w:tcPr>
          <w:p w14:paraId="1222F388" w14:textId="4E975B68" w:rsidR="00A744B0" w:rsidRPr="00A744B0" w:rsidRDefault="00A744B0" w:rsidP="00A744B0">
            <w:pPr>
              <w:rPr>
                <w:sz w:val="22"/>
                <w:szCs w:val="22"/>
              </w:rPr>
            </w:pPr>
          </w:p>
        </w:tc>
        <w:tc>
          <w:tcPr>
            <w:tcW w:w="3969" w:type="dxa"/>
          </w:tcPr>
          <w:p w14:paraId="61E55CEE" w14:textId="4720C0F5" w:rsidR="00A744B0" w:rsidRPr="00A744B0" w:rsidRDefault="00A744B0" w:rsidP="00A744B0">
            <w:pPr>
              <w:rPr>
                <w:sz w:val="22"/>
                <w:szCs w:val="22"/>
              </w:rPr>
            </w:pPr>
          </w:p>
        </w:tc>
      </w:tr>
      <w:tr w:rsidR="002D6652" w:rsidRPr="00A744B0" w14:paraId="5D4842A9" w14:textId="77777777" w:rsidTr="00E42665">
        <w:tc>
          <w:tcPr>
            <w:tcW w:w="668" w:type="dxa"/>
          </w:tcPr>
          <w:p w14:paraId="19932CCA" w14:textId="214ECD49" w:rsidR="002D6652" w:rsidRPr="007D4B68" w:rsidRDefault="002D6652" w:rsidP="007D4B68">
            <w:pPr>
              <w:jc w:val="center"/>
              <w:rPr>
                <w:sz w:val="22"/>
                <w:szCs w:val="22"/>
              </w:rPr>
            </w:pPr>
            <w:r w:rsidRPr="007D4B68">
              <w:rPr>
                <w:sz w:val="22"/>
                <w:szCs w:val="22"/>
              </w:rPr>
              <w:t>15.</w:t>
            </w:r>
          </w:p>
        </w:tc>
        <w:tc>
          <w:tcPr>
            <w:tcW w:w="6238" w:type="dxa"/>
          </w:tcPr>
          <w:p w14:paraId="1C542A87" w14:textId="4A686F33" w:rsidR="00330510" w:rsidRPr="00B67543" w:rsidRDefault="00B018C1" w:rsidP="00BE0EF2">
            <w:pPr>
              <w:jc w:val="both"/>
              <w:rPr>
                <w:rFonts w:eastAsia="Calibri"/>
                <w:sz w:val="22"/>
                <w:szCs w:val="22"/>
              </w:rPr>
            </w:pPr>
            <w:r w:rsidRPr="00B67543">
              <w:rPr>
                <w:rFonts w:eastAsia="Calibri"/>
                <w:sz w:val="22"/>
                <w:szCs w:val="22"/>
              </w:rPr>
              <w:t>Programinės įrangos funkcionalum</w:t>
            </w:r>
            <w:r w:rsidR="00BE0EF2" w:rsidRPr="00B67543">
              <w:rPr>
                <w:rFonts w:eastAsia="Calibri"/>
                <w:sz w:val="22"/>
                <w:szCs w:val="22"/>
              </w:rPr>
              <w:t>ai:</w:t>
            </w:r>
          </w:p>
          <w:p w14:paraId="500185D3" w14:textId="67B03464" w:rsidR="004A547F" w:rsidRPr="00B67543" w:rsidRDefault="00BE0EF2" w:rsidP="00BE0EF2">
            <w:pPr>
              <w:jc w:val="both"/>
              <w:rPr>
                <w:rFonts w:eastAsia="Calibri"/>
                <w:sz w:val="22"/>
                <w:szCs w:val="22"/>
                <w:lang w:val="pt-BR"/>
              </w:rPr>
            </w:pPr>
            <w:r w:rsidRPr="00B67543">
              <w:rPr>
                <w:sz w:val="22"/>
                <w:szCs w:val="22"/>
              </w:rPr>
              <w:t xml:space="preserve">a) </w:t>
            </w:r>
            <w:r w:rsidRPr="00B67543">
              <w:rPr>
                <w:rFonts w:eastAsia="Calibri"/>
                <w:sz w:val="22"/>
                <w:szCs w:val="22"/>
                <w:lang w:val="pt-BR"/>
              </w:rPr>
              <w:t>programinė įranga turi turėti automatinę tyrimo atlikimo laiko skaičiavimo funkcij</w:t>
            </w:r>
            <w:r w:rsidR="006B7679" w:rsidRPr="00B67543">
              <w:rPr>
                <w:rFonts w:eastAsia="Calibri"/>
                <w:sz w:val="22"/>
                <w:szCs w:val="22"/>
                <w:lang w:val="pt-BR"/>
              </w:rPr>
              <w:t>ą</w:t>
            </w:r>
            <w:r w:rsidRPr="00B67543">
              <w:rPr>
                <w:rFonts w:eastAsia="Calibri"/>
                <w:sz w:val="22"/>
                <w:szCs w:val="22"/>
                <w:lang w:val="pt-BR"/>
              </w:rPr>
              <w:t xml:space="preserve"> (angl. TAT)</w:t>
            </w:r>
            <w:r w:rsidR="006B7679" w:rsidRPr="00B67543">
              <w:rPr>
                <w:rFonts w:eastAsia="Calibri"/>
                <w:sz w:val="22"/>
                <w:szCs w:val="22"/>
                <w:lang w:val="pt-BR"/>
              </w:rPr>
              <w:t>,</w:t>
            </w:r>
            <w:r w:rsidRPr="00B67543">
              <w:rPr>
                <w:rFonts w:eastAsia="Calibri"/>
                <w:sz w:val="22"/>
                <w:szCs w:val="22"/>
                <w:lang w:val="pt-BR"/>
              </w:rPr>
              <w:t xml:space="preserve"> teikti įspėjimus, kai tyrimo laikas viršija nustatytą maksimalų laiką.</w:t>
            </w:r>
          </w:p>
          <w:p w14:paraId="3E29EE7D" w14:textId="68989FDE" w:rsidR="002D6652" w:rsidRPr="00B67543" w:rsidRDefault="00BE0EF2" w:rsidP="00BE0EF2">
            <w:pPr>
              <w:jc w:val="both"/>
              <w:rPr>
                <w:rFonts w:eastAsia="Calibri"/>
                <w:highlight w:val="yellow"/>
                <w:lang w:val="pt-BR"/>
              </w:rPr>
            </w:pPr>
            <w:r w:rsidRPr="00B67543">
              <w:rPr>
                <w:sz w:val="22"/>
                <w:szCs w:val="22"/>
              </w:rPr>
              <w:t xml:space="preserve">b)  </w:t>
            </w:r>
            <w:r w:rsidRPr="00B67543">
              <w:rPr>
                <w:rFonts w:eastAsia="Calibri"/>
                <w:sz w:val="22"/>
                <w:szCs w:val="22"/>
                <w:lang w:val="pt-BR"/>
              </w:rPr>
              <w:t xml:space="preserve">programinė įranga turi turėti </w:t>
            </w:r>
            <w:r w:rsidRPr="00B67543">
              <w:rPr>
                <w:rFonts w:eastAsia="Calibri"/>
                <w:sz w:val="22"/>
                <w:szCs w:val="22"/>
              </w:rPr>
              <w:t>v</w:t>
            </w:r>
            <w:r w:rsidR="00845DBC" w:rsidRPr="00B67543">
              <w:rPr>
                <w:rFonts w:eastAsia="Calibri"/>
                <w:sz w:val="22"/>
                <w:szCs w:val="22"/>
              </w:rPr>
              <w:t>idinės kokybės kontrolės rezultatų palyginim</w:t>
            </w:r>
            <w:r w:rsidRPr="00B67543">
              <w:rPr>
                <w:rFonts w:eastAsia="Calibri"/>
                <w:sz w:val="22"/>
                <w:szCs w:val="22"/>
              </w:rPr>
              <w:t>ą</w:t>
            </w:r>
            <w:r w:rsidR="00845DBC" w:rsidRPr="00B67543">
              <w:rPr>
                <w:rFonts w:eastAsia="Calibri"/>
                <w:sz w:val="22"/>
                <w:szCs w:val="22"/>
              </w:rPr>
              <w:t xml:space="preserve"> su kitų laboratorijų kokybės kontrolės rezultatais</w:t>
            </w:r>
            <w:r w:rsidR="004A547F" w:rsidRPr="00B67543">
              <w:rPr>
                <w:rFonts w:eastAsia="Calibri"/>
                <w:sz w:val="22"/>
                <w:szCs w:val="22"/>
              </w:rPr>
              <w:t xml:space="preserve"> realiu laiku</w:t>
            </w:r>
            <w:r w:rsidRPr="00B67543">
              <w:rPr>
                <w:rFonts w:eastAsia="Calibri"/>
                <w:sz w:val="22"/>
                <w:szCs w:val="22"/>
              </w:rPr>
              <w:t>.</w:t>
            </w:r>
          </w:p>
        </w:tc>
        <w:tc>
          <w:tcPr>
            <w:tcW w:w="4536" w:type="dxa"/>
          </w:tcPr>
          <w:p w14:paraId="69AF1896" w14:textId="77777777" w:rsidR="002D6652" w:rsidRPr="00A744B0" w:rsidRDefault="002D6652" w:rsidP="00A744B0">
            <w:pPr>
              <w:rPr>
                <w:sz w:val="22"/>
                <w:szCs w:val="22"/>
              </w:rPr>
            </w:pPr>
          </w:p>
        </w:tc>
        <w:tc>
          <w:tcPr>
            <w:tcW w:w="3969" w:type="dxa"/>
          </w:tcPr>
          <w:p w14:paraId="7D4F10E6" w14:textId="77777777" w:rsidR="002D6652" w:rsidRPr="00A744B0" w:rsidRDefault="002D6652" w:rsidP="00A744B0">
            <w:pPr>
              <w:rPr>
                <w:sz w:val="22"/>
                <w:szCs w:val="22"/>
              </w:rPr>
            </w:pPr>
          </w:p>
        </w:tc>
      </w:tr>
    </w:tbl>
    <w:p w14:paraId="073755CB" w14:textId="77777777" w:rsidR="00373B7A" w:rsidRDefault="00373B7A" w:rsidP="00373B7A">
      <w:pPr>
        <w:tabs>
          <w:tab w:val="left" w:pos="1350"/>
          <w:tab w:val="left" w:pos="1440"/>
        </w:tabs>
        <w:suppressAutoHyphens/>
        <w:ind w:left="450" w:hanging="90"/>
        <w:jc w:val="right"/>
        <w:rPr>
          <w:b/>
          <w:bCs/>
          <w:sz w:val="22"/>
          <w:szCs w:val="22"/>
          <w:lang w:eastAsia="ar-SA"/>
        </w:rPr>
      </w:pPr>
    </w:p>
    <w:p w14:paraId="0742D10E" w14:textId="77777777" w:rsidR="00EA7343" w:rsidRDefault="00EA7343" w:rsidP="00373B7A">
      <w:pPr>
        <w:tabs>
          <w:tab w:val="left" w:pos="1350"/>
          <w:tab w:val="left" w:pos="1440"/>
        </w:tabs>
        <w:suppressAutoHyphens/>
        <w:ind w:left="450" w:hanging="90"/>
        <w:jc w:val="right"/>
        <w:rPr>
          <w:b/>
          <w:bCs/>
          <w:sz w:val="22"/>
          <w:szCs w:val="22"/>
          <w:lang w:eastAsia="ar-SA"/>
        </w:rPr>
      </w:pPr>
    </w:p>
    <w:p w14:paraId="18FAD613" w14:textId="77777777" w:rsidR="00EA7343" w:rsidRPr="00A744B0" w:rsidRDefault="00EA7343" w:rsidP="00373B7A">
      <w:pPr>
        <w:tabs>
          <w:tab w:val="left" w:pos="1350"/>
          <w:tab w:val="left" w:pos="1440"/>
        </w:tabs>
        <w:suppressAutoHyphens/>
        <w:ind w:left="450" w:hanging="90"/>
        <w:jc w:val="right"/>
        <w:rPr>
          <w:b/>
          <w:bCs/>
          <w:sz w:val="22"/>
          <w:szCs w:val="22"/>
          <w:lang w:eastAsia="ar-SA"/>
        </w:rPr>
      </w:pPr>
    </w:p>
    <w:p w14:paraId="0E7B1A4D" w14:textId="77777777" w:rsidR="00281355" w:rsidRPr="00A744B0" w:rsidRDefault="00281355" w:rsidP="00281355">
      <w:pPr>
        <w:ind w:left="-851"/>
        <w:jc w:val="both"/>
        <w:rPr>
          <w:b/>
          <w:sz w:val="22"/>
          <w:szCs w:val="22"/>
        </w:rPr>
      </w:pPr>
      <w:r w:rsidRPr="00A744B0">
        <w:rPr>
          <w:b/>
          <w:sz w:val="22"/>
          <w:szCs w:val="22"/>
        </w:rPr>
        <w:t>Bendrieji reikalavimai:</w:t>
      </w:r>
    </w:p>
    <w:p w14:paraId="23ACB093" w14:textId="77777777" w:rsidR="00281355" w:rsidRPr="00A744B0" w:rsidRDefault="00281355" w:rsidP="00281355">
      <w:pPr>
        <w:tabs>
          <w:tab w:val="left" w:pos="284"/>
          <w:tab w:val="left" w:pos="993"/>
        </w:tabs>
        <w:ind w:left="-851"/>
        <w:jc w:val="both"/>
        <w:rPr>
          <w:color w:val="000000"/>
          <w:sz w:val="22"/>
          <w:szCs w:val="22"/>
        </w:rPr>
      </w:pPr>
      <w:r w:rsidRPr="00A744B0">
        <w:rPr>
          <w:color w:val="000000"/>
          <w:sz w:val="22"/>
          <w:szCs w:val="22"/>
        </w:rPr>
        <w:t xml:space="preserve">1. Automatinis kraujo krešėjimo tyrimams atlikti analizatorius (toliau – prietaisas ir/ar </w:t>
      </w:r>
      <w:r w:rsidRPr="00F93FC6">
        <w:rPr>
          <w:color w:val="000000"/>
          <w:sz w:val="22"/>
          <w:szCs w:val="22"/>
        </w:rPr>
        <w:t>analizatorius) turi būti pažymėtas CE ženklu ir turėti galiojantį CE sertifikatą.</w:t>
      </w:r>
      <w:r w:rsidRPr="00A744B0">
        <w:rPr>
          <w:color w:val="000000"/>
          <w:sz w:val="22"/>
          <w:szCs w:val="22"/>
        </w:rPr>
        <w:t xml:space="preserve"> </w:t>
      </w:r>
    </w:p>
    <w:p w14:paraId="32FEBE83" w14:textId="77777777" w:rsidR="00281355" w:rsidRPr="00A744B0" w:rsidRDefault="00281355" w:rsidP="00281355">
      <w:pPr>
        <w:tabs>
          <w:tab w:val="left" w:pos="993"/>
        </w:tabs>
        <w:ind w:left="-851"/>
        <w:jc w:val="both"/>
        <w:rPr>
          <w:color w:val="000000"/>
          <w:sz w:val="22"/>
          <w:szCs w:val="22"/>
        </w:rPr>
      </w:pPr>
      <w:r w:rsidRPr="00A744B0">
        <w:rPr>
          <w:color w:val="000000"/>
          <w:sz w:val="22"/>
          <w:szCs w:val="22"/>
        </w:rPr>
        <w:lastRenderedPageBreak/>
        <w:t>2. Tiekėjas privalo pagal panaudą – neatlygintinai suteikti perkančiajai organizacijai naudotis prietaisu, atitinkančiu šioje specifikacijoje nustatytais reikalavimais tol, kol pagal pirkimo sutartį bus perkami iš tiekėjo reagentai, medžiagos</w:t>
      </w:r>
      <w:r w:rsidRPr="00A744B0">
        <w:rPr>
          <w:sz w:val="22"/>
          <w:szCs w:val="22"/>
        </w:rPr>
        <w:t xml:space="preserve">, papildomos priemonės, </w:t>
      </w:r>
      <w:r w:rsidRPr="00A744B0">
        <w:rPr>
          <w:color w:val="000000"/>
          <w:sz w:val="22"/>
          <w:szCs w:val="22"/>
        </w:rPr>
        <w:t>kontrolinės medžiagos (toliau – prekės) reikalingos nurodytam konkurso sąlygų 2 priede maksimaliam tyrimų skaičiui atlikti.</w:t>
      </w:r>
    </w:p>
    <w:p w14:paraId="71DF6986" w14:textId="77777777" w:rsidR="00281355" w:rsidRPr="00A744B0" w:rsidRDefault="00281355" w:rsidP="00281355">
      <w:pPr>
        <w:tabs>
          <w:tab w:val="left" w:pos="284"/>
          <w:tab w:val="left" w:pos="993"/>
        </w:tabs>
        <w:ind w:left="-851"/>
        <w:jc w:val="both"/>
        <w:rPr>
          <w:sz w:val="22"/>
          <w:szCs w:val="22"/>
        </w:rPr>
      </w:pPr>
      <w:r w:rsidRPr="00A744B0">
        <w:rPr>
          <w:color w:val="000000"/>
          <w:sz w:val="22"/>
          <w:szCs w:val="22"/>
        </w:rPr>
        <w:t xml:space="preserve">3. Tiekėjas privalo supažindinti perkančiąją organizaciją su perduodamo prietaiso naudojimo ypatumais, pateikti vartotojo instrukciją (lietuvių kalba), pateikti pilnai užpildytus prietaiso techninius pasus. Apmokyti perkančiosios organizacijos personalą naudotis perduodamu analizatoriumi (išduoti apmokymo pažymėjimus), </w:t>
      </w:r>
      <w:r w:rsidRPr="00A744B0">
        <w:rPr>
          <w:sz w:val="22"/>
          <w:szCs w:val="22"/>
        </w:rPr>
        <w:t>valdyti analizatorių, tame tarpe ir vykdyti duomenų mainus su laboratorijos informacine sistema ne vėliau kaip per 3 (tris) darbo dienas po analizatoriaus pristatymo dienos.</w:t>
      </w:r>
    </w:p>
    <w:p w14:paraId="22E033E4" w14:textId="77777777" w:rsidR="00281355" w:rsidRPr="00F93FC6" w:rsidRDefault="00281355" w:rsidP="00281355">
      <w:pPr>
        <w:tabs>
          <w:tab w:val="left" w:pos="284"/>
          <w:tab w:val="left" w:pos="993"/>
        </w:tabs>
        <w:ind w:left="-851"/>
        <w:jc w:val="both"/>
        <w:rPr>
          <w:sz w:val="22"/>
          <w:szCs w:val="22"/>
          <w:u w:val="single"/>
        </w:rPr>
      </w:pPr>
      <w:r w:rsidRPr="00A744B0">
        <w:rPr>
          <w:color w:val="000000"/>
          <w:sz w:val="22"/>
          <w:szCs w:val="22"/>
        </w:rPr>
        <w:t xml:space="preserve">4. </w:t>
      </w:r>
      <w:r w:rsidRPr="00F93FC6">
        <w:rPr>
          <w:color w:val="000000"/>
          <w:sz w:val="22"/>
          <w:szCs w:val="22"/>
          <w:u w:val="single"/>
        </w:rPr>
        <w:t>Kartu su pasiūlymu turi būti pateikti dokumentai, įrodantys analizatoriaus atitikimą šioje specifikacijoje nurodytiems parametrams,</w:t>
      </w:r>
      <w:r w:rsidRPr="00F93FC6">
        <w:rPr>
          <w:sz w:val="22"/>
          <w:szCs w:val="22"/>
          <w:u w:val="single"/>
        </w:rPr>
        <w:t xml:space="preserve"> kuriuose tiekėjas privalo tiksliai pažymėti atitikimo vietą (-as) gamintojo dokumentacijoje (nepateikus šios informacijos arba pateikus klaidinančią informaciją, pasiūlymas gali būti atmestas)</w:t>
      </w:r>
      <w:r w:rsidRPr="00F93FC6">
        <w:rPr>
          <w:color w:val="000000"/>
          <w:sz w:val="22"/>
          <w:szCs w:val="22"/>
          <w:u w:val="single"/>
        </w:rPr>
        <w:t>:</w:t>
      </w:r>
    </w:p>
    <w:p w14:paraId="0E336F33" w14:textId="77777777" w:rsidR="00281355" w:rsidRPr="00F93FC6" w:rsidRDefault="00281355" w:rsidP="00281355">
      <w:pPr>
        <w:tabs>
          <w:tab w:val="left" w:pos="284"/>
          <w:tab w:val="left" w:pos="993"/>
        </w:tabs>
        <w:ind w:left="-851"/>
        <w:jc w:val="both"/>
        <w:rPr>
          <w:sz w:val="22"/>
          <w:szCs w:val="22"/>
          <w:u w:val="single"/>
        </w:rPr>
      </w:pPr>
      <w:r w:rsidRPr="00F93FC6">
        <w:rPr>
          <w:color w:val="000000"/>
          <w:sz w:val="22"/>
          <w:szCs w:val="22"/>
        </w:rPr>
        <w:t>4.1. gamintojo katalogus, bukletus, techninius aprašus ar kitus dokumentus, juose pažymint siūlomą parametrą ir nurodant jo eilės Nr., esantį šioje specifikacijoje;</w:t>
      </w:r>
    </w:p>
    <w:p w14:paraId="663DA1EF" w14:textId="77777777" w:rsidR="00281355" w:rsidRPr="00F93FC6" w:rsidRDefault="00281355" w:rsidP="00281355">
      <w:pPr>
        <w:tabs>
          <w:tab w:val="left" w:pos="284"/>
          <w:tab w:val="left" w:pos="993"/>
        </w:tabs>
        <w:ind w:left="-851"/>
        <w:jc w:val="both"/>
        <w:rPr>
          <w:sz w:val="22"/>
          <w:szCs w:val="22"/>
          <w:u w:val="single"/>
        </w:rPr>
      </w:pPr>
      <w:r w:rsidRPr="00F93FC6">
        <w:rPr>
          <w:color w:val="000000"/>
          <w:sz w:val="22"/>
          <w:szCs w:val="22"/>
        </w:rPr>
        <w:t>4.2. siūlomo prietaiso vartotojo instrukcija.</w:t>
      </w:r>
    </w:p>
    <w:p w14:paraId="657A46AE" w14:textId="77777777" w:rsidR="00281355" w:rsidRPr="00F93FC6" w:rsidRDefault="00281355" w:rsidP="00281355">
      <w:pPr>
        <w:tabs>
          <w:tab w:val="left" w:pos="284"/>
          <w:tab w:val="left" w:pos="993"/>
        </w:tabs>
        <w:ind w:left="-851"/>
        <w:jc w:val="both"/>
        <w:rPr>
          <w:color w:val="000000"/>
          <w:sz w:val="22"/>
          <w:szCs w:val="22"/>
        </w:rPr>
      </w:pPr>
      <w:r w:rsidRPr="00F93FC6">
        <w:rPr>
          <w:color w:val="000000"/>
          <w:sz w:val="22"/>
          <w:szCs w:val="22"/>
        </w:rPr>
        <w:t>Jeigu gamintojo katalogai, bukletai, techniniai aprašai, vartotojo instrukcija ar kiti dokumentai, įrodantys prietaiso atitikimą pateikiami anglų kalba, turi būti pateikiama dokumentuose konkrečių vietų, kurios pagrindžia analizatoriaus atitikimą specifikacijos reikalavimus, vertimas į lietuvių kalbą.</w:t>
      </w:r>
    </w:p>
    <w:p w14:paraId="1EF680E4" w14:textId="77777777" w:rsidR="00281355" w:rsidRPr="00A744B0" w:rsidRDefault="00281355" w:rsidP="00281355">
      <w:pPr>
        <w:tabs>
          <w:tab w:val="left" w:pos="284"/>
          <w:tab w:val="left" w:pos="993"/>
        </w:tabs>
        <w:ind w:left="-851"/>
        <w:jc w:val="both"/>
        <w:rPr>
          <w:sz w:val="22"/>
          <w:szCs w:val="22"/>
        </w:rPr>
      </w:pPr>
      <w:r w:rsidRPr="00F93FC6">
        <w:rPr>
          <w:b/>
          <w:bCs/>
          <w:i/>
          <w:iCs/>
          <w:color w:val="000000"/>
          <w:sz w:val="22"/>
          <w:szCs w:val="22"/>
        </w:rPr>
        <w:t>Būtina 4 skiltyje pateikti nuorodą į konkretų psl., pažymėti siūlomą parametrą ir nurodyti jo eil. Nr., esantį techninėje specifikacijoje (t. y. spalvotai pažymėti ir/ar nurodyti rodyklėmis ir/ar pabraukti konkrečias teikiamų dokumentų vietas, kur nurodoma atitiktis reikalaujamiems kokybiniams ir techniniams</w:t>
      </w:r>
      <w:r w:rsidRPr="00A744B0">
        <w:rPr>
          <w:b/>
          <w:bCs/>
          <w:i/>
          <w:iCs/>
          <w:color w:val="000000"/>
          <w:sz w:val="22"/>
          <w:szCs w:val="22"/>
        </w:rPr>
        <w:t xml:space="preserve"> reikalavimams)</w:t>
      </w:r>
    </w:p>
    <w:p w14:paraId="71BB7215" w14:textId="77777777" w:rsidR="00281355" w:rsidRPr="00A744B0" w:rsidRDefault="00281355" w:rsidP="00281355">
      <w:pPr>
        <w:tabs>
          <w:tab w:val="left" w:pos="284"/>
          <w:tab w:val="left" w:pos="993"/>
        </w:tabs>
        <w:ind w:left="-851"/>
        <w:jc w:val="both"/>
        <w:rPr>
          <w:sz w:val="22"/>
          <w:szCs w:val="22"/>
          <w:u w:val="single"/>
        </w:rPr>
      </w:pPr>
      <w:r w:rsidRPr="00A744B0">
        <w:rPr>
          <w:color w:val="000000"/>
          <w:sz w:val="22"/>
          <w:szCs w:val="22"/>
        </w:rPr>
        <w:t xml:space="preserve">5. Tiekėjas privalo savo sąskaita užtikrinti, kad analizatorius bus pristatytas, surinktas, sumontuotas, paruoštas darbui ir suderintas/išbandytas perkančiosios organizacijos adresu Šeškinės g. 24, 07156 Vilnius, ne vėliau kaip per 30 (trisdešimt) kalendorinių dienų nuo panaudos sutarties įsigaliojimo dienos. </w:t>
      </w:r>
    </w:p>
    <w:p w14:paraId="3F1485DE" w14:textId="77777777" w:rsidR="00281355" w:rsidRPr="00BE0EF2" w:rsidRDefault="00281355" w:rsidP="00281355">
      <w:pPr>
        <w:tabs>
          <w:tab w:val="left" w:pos="993"/>
        </w:tabs>
        <w:ind w:left="-851"/>
        <w:jc w:val="both"/>
        <w:rPr>
          <w:color w:val="000000"/>
          <w:sz w:val="22"/>
          <w:szCs w:val="22"/>
        </w:rPr>
      </w:pPr>
      <w:r w:rsidRPr="00A744B0">
        <w:rPr>
          <w:color w:val="000000"/>
          <w:sz w:val="22"/>
          <w:szCs w:val="22"/>
        </w:rPr>
        <w:t xml:space="preserve">6. Visą sutarties </w:t>
      </w:r>
      <w:r w:rsidRPr="00BE0EF2">
        <w:rPr>
          <w:color w:val="000000"/>
          <w:sz w:val="22"/>
          <w:szCs w:val="22"/>
        </w:rPr>
        <w:t>galiojimo laikotarpį Tiekėjas įsipareigoja teikti nemokamą kvalifikuotų specialistų konsultaciją ir pagalbą visais klausimais susijusiais su teikiamų prekių ir analizatoriaus kokybišku darbu.</w:t>
      </w:r>
    </w:p>
    <w:p w14:paraId="11606167" w14:textId="77777777" w:rsidR="00281355" w:rsidRPr="00BE0EF2" w:rsidRDefault="00281355" w:rsidP="00281355">
      <w:pPr>
        <w:ind w:left="-851"/>
        <w:jc w:val="both"/>
        <w:rPr>
          <w:color w:val="000000"/>
          <w:sz w:val="22"/>
          <w:szCs w:val="22"/>
        </w:rPr>
      </w:pPr>
      <w:r w:rsidRPr="00BE0EF2">
        <w:rPr>
          <w:color w:val="000000"/>
          <w:sz w:val="22"/>
          <w:szCs w:val="22"/>
        </w:rPr>
        <w:t>7. Tiekėjas privalo savo sąskaita užtikrinti perduotų analizatorių techninę priežiūrą, galimų defektų ir/ar gedimų šalinimą/remontą visą panaudos sutarties galiojimo terminą.</w:t>
      </w:r>
    </w:p>
    <w:p w14:paraId="39857865" w14:textId="77777777" w:rsidR="00281355" w:rsidRPr="00BE0EF2" w:rsidRDefault="00281355" w:rsidP="00281355">
      <w:pPr>
        <w:ind w:left="-851"/>
        <w:jc w:val="both"/>
        <w:rPr>
          <w:color w:val="000000"/>
          <w:sz w:val="22"/>
          <w:szCs w:val="22"/>
        </w:rPr>
      </w:pPr>
      <w:r w:rsidRPr="00BE0EF2">
        <w:rPr>
          <w:color w:val="000000"/>
          <w:sz w:val="22"/>
          <w:szCs w:val="22"/>
        </w:rPr>
        <w:t>8. Tiekėjas privalo savo sąskaita užtikrinti, kad analizatorių techninė priežiūra, techninė būklės tikrinimas ir galimų defektų ir/ar gedimų šalinimas/remontas bus vykdomi pagal analizatorių gamintojo (-jų) parengtas technines instrukcijas/rekomendacijas adresu Šeškinės g. 24, Vilnius</w:t>
      </w:r>
    </w:p>
    <w:p w14:paraId="50689B93" w14:textId="77777777" w:rsidR="00281355" w:rsidRPr="00A744B0" w:rsidRDefault="00281355" w:rsidP="00281355">
      <w:pPr>
        <w:ind w:left="-851"/>
        <w:jc w:val="both"/>
        <w:rPr>
          <w:rFonts w:eastAsia="Calibri"/>
          <w:b/>
          <w:sz w:val="22"/>
          <w:szCs w:val="22"/>
          <w:lang w:eastAsia="lt-LT"/>
        </w:rPr>
      </w:pPr>
      <w:r w:rsidRPr="00BE0EF2">
        <w:rPr>
          <w:color w:val="000000"/>
          <w:sz w:val="22"/>
          <w:szCs w:val="22"/>
        </w:rPr>
        <w:t xml:space="preserve">9. Tiekėjas galimų defektų ir/ar gedimų atveju savo sąskaita šalinti/remontuoti visus defektus ir/ar gedimus arba sugedusio analizatoriaus detalę (komponentą (-us)) pakeisti ekvivalentiška (-ais) perkančiosios organizacijos patalpose (Šeškinės g. 24, 07156 Vilnius) </w:t>
      </w:r>
      <w:r w:rsidRPr="00BE0EF2">
        <w:rPr>
          <w:b/>
          <w:bCs/>
          <w:color w:val="000000"/>
          <w:sz w:val="22"/>
          <w:szCs w:val="22"/>
        </w:rPr>
        <w:t>ne vėliau kaip per 24 (dvidešimt keturias) valandas</w:t>
      </w:r>
      <w:r w:rsidRPr="00BE0EF2">
        <w:rPr>
          <w:color w:val="000000"/>
          <w:sz w:val="22"/>
          <w:szCs w:val="22"/>
        </w:rPr>
        <w:t xml:space="preserve"> nuo pranešimo apie defektą ir /ar gedimą gavimo momento. Jei defekto ir/ar gedimo neįmanoma pašalinti/suremontuoti perkančiosios organizacijos patalpose, Tiekėjas privalo analizatorių savo sąskaita išvežti defektui ir/ar gedimui šalinti/remontuoti Tiekėjo transportu. Sutaisytas ir veikiantis analizatorius pristatomas perkančiajai organizacijai Tiekėjo sąskaita ir Tiekėjo transportu. Jei defekto ir/ar gedimo šalinimo/remonto atlikti perkančiosios organizacijos patalpose (vietoje) ne vėliau kaip per 1 (vieną) darbo dieną negalima, Tiekėjas defekto ir/ar gedimo šalinimo/remonto laikotarpiui privalo pristatyti perkančiajai organizacijai ir perduoti naudoti ekvivalentišką veikiantį analizatorių</w:t>
      </w:r>
      <w:r w:rsidRPr="00A744B0">
        <w:rPr>
          <w:color w:val="000000"/>
          <w:sz w:val="22"/>
          <w:szCs w:val="22"/>
        </w:rPr>
        <w:t xml:space="preserve"> arba sudaryti galimybę tyrimus, nurodytus </w:t>
      </w:r>
      <w:r w:rsidRPr="00A744B0">
        <w:rPr>
          <w:bCs/>
          <w:sz w:val="22"/>
          <w:szCs w:val="22"/>
        </w:rPr>
        <w:t>prekių viešojo pirkimo – pardavimo sutartyje,</w:t>
      </w:r>
      <w:r w:rsidRPr="00A744B0">
        <w:rPr>
          <w:color w:val="000000"/>
          <w:sz w:val="22"/>
          <w:szCs w:val="22"/>
        </w:rPr>
        <w:t xml:space="preserve"> atlikti tyrimų laboratorijoje,</w:t>
      </w:r>
      <w:r w:rsidRPr="00A744B0">
        <w:rPr>
          <w:sz w:val="22"/>
          <w:szCs w:val="22"/>
        </w:rPr>
        <w:t xml:space="preserv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w:t>
      </w:r>
      <w:r w:rsidRPr="00A744B0">
        <w:rPr>
          <w:color w:val="000000"/>
          <w:sz w:val="22"/>
          <w:szCs w:val="22"/>
        </w:rPr>
        <w:t xml:space="preserve"> (PTL), išlaidas tokiu atveju apmoka Tiekėjas.</w:t>
      </w:r>
    </w:p>
    <w:p w14:paraId="444E64BA" w14:textId="77777777" w:rsidR="00281355" w:rsidRDefault="00281355" w:rsidP="00373B7A">
      <w:pPr>
        <w:jc w:val="both"/>
        <w:rPr>
          <w:position w:val="6"/>
          <w:sz w:val="20"/>
        </w:rPr>
      </w:pPr>
    </w:p>
    <w:p w14:paraId="24EC7561" w14:textId="77777777" w:rsidR="00281355" w:rsidRDefault="00281355" w:rsidP="00373B7A">
      <w:pPr>
        <w:jc w:val="both"/>
        <w:rPr>
          <w:position w:val="6"/>
          <w:sz w:val="20"/>
        </w:rPr>
      </w:pPr>
    </w:p>
    <w:p w14:paraId="3AFE980C" w14:textId="77777777" w:rsidR="00281355" w:rsidRDefault="00281355" w:rsidP="00373B7A">
      <w:pPr>
        <w:jc w:val="both"/>
        <w:rPr>
          <w:position w:val="6"/>
          <w:sz w:val="20"/>
        </w:rPr>
      </w:pPr>
    </w:p>
    <w:p w14:paraId="5D875E6A" w14:textId="77777777" w:rsidR="00281355" w:rsidRDefault="00281355" w:rsidP="00373B7A">
      <w:pPr>
        <w:jc w:val="both"/>
        <w:rPr>
          <w:position w:val="6"/>
          <w:sz w:val="20"/>
        </w:rPr>
      </w:pPr>
    </w:p>
    <w:p w14:paraId="2F626D2E" w14:textId="542C5890" w:rsidR="00373B7A" w:rsidRPr="00A744B0" w:rsidRDefault="00373B7A" w:rsidP="00373B7A">
      <w:pPr>
        <w:jc w:val="both"/>
        <w:rPr>
          <w:position w:val="6"/>
          <w:sz w:val="20"/>
        </w:rPr>
      </w:pPr>
      <w:r w:rsidRPr="00A744B0">
        <w:rPr>
          <w:position w:val="6"/>
          <w:sz w:val="20"/>
        </w:rPr>
        <w:t>(Tiekėjo arba jo įgalioto asmens pareigų pavadinimas)</w:t>
      </w:r>
      <w:r w:rsidRPr="00A744B0">
        <w:rPr>
          <w:position w:val="6"/>
          <w:sz w:val="20"/>
        </w:rPr>
        <w:tab/>
      </w:r>
      <w:r w:rsidR="008660D4" w:rsidRPr="00A744B0">
        <w:rPr>
          <w:position w:val="6"/>
          <w:sz w:val="20"/>
        </w:rPr>
        <w:t xml:space="preserve">             </w:t>
      </w:r>
      <w:r w:rsidRPr="00A744B0">
        <w:rPr>
          <w:position w:val="6"/>
          <w:sz w:val="20"/>
        </w:rPr>
        <w:t>(Parašas)</w:t>
      </w:r>
      <w:r w:rsidRPr="00A744B0">
        <w:rPr>
          <w:position w:val="6"/>
          <w:sz w:val="20"/>
        </w:rPr>
        <w:tab/>
      </w:r>
      <w:r w:rsidRPr="00A744B0">
        <w:rPr>
          <w:position w:val="6"/>
          <w:sz w:val="20"/>
        </w:rPr>
        <w:tab/>
        <w:t>(Vardas ir pavardė)</w:t>
      </w:r>
    </w:p>
    <w:p w14:paraId="569AA8D7" w14:textId="77777777" w:rsidR="00C23C14" w:rsidRPr="00A744B0" w:rsidRDefault="00C23C14">
      <w:pPr>
        <w:rPr>
          <w:sz w:val="20"/>
        </w:rPr>
      </w:pPr>
    </w:p>
    <w:sectPr w:rsidR="00C23C14" w:rsidRPr="00A744B0" w:rsidSect="00C33F9A">
      <w:pgSz w:w="16838" w:h="11906" w:orient="landscape"/>
      <w:pgMar w:top="145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B2346"/>
    <w:multiLevelType w:val="hybridMultilevel"/>
    <w:tmpl w:val="C83AF0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155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9F"/>
    <w:rsid w:val="00022F7B"/>
    <w:rsid w:val="00052204"/>
    <w:rsid w:val="000D6358"/>
    <w:rsid w:val="00200EF6"/>
    <w:rsid w:val="00245BC0"/>
    <w:rsid w:val="002806D5"/>
    <w:rsid w:val="00281355"/>
    <w:rsid w:val="002B7B4C"/>
    <w:rsid w:val="002D6652"/>
    <w:rsid w:val="0031168C"/>
    <w:rsid w:val="00330510"/>
    <w:rsid w:val="00373B7A"/>
    <w:rsid w:val="00422BF0"/>
    <w:rsid w:val="00440D03"/>
    <w:rsid w:val="004A547F"/>
    <w:rsid w:val="004C309F"/>
    <w:rsid w:val="0051760B"/>
    <w:rsid w:val="005224C0"/>
    <w:rsid w:val="005269E8"/>
    <w:rsid w:val="00563B36"/>
    <w:rsid w:val="0057170B"/>
    <w:rsid w:val="0069227F"/>
    <w:rsid w:val="006B7679"/>
    <w:rsid w:val="006F2052"/>
    <w:rsid w:val="007231AE"/>
    <w:rsid w:val="007834B9"/>
    <w:rsid w:val="00793099"/>
    <w:rsid w:val="007C7079"/>
    <w:rsid w:val="007D4B68"/>
    <w:rsid w:val="00845DBC"/>
    <w:rsid w:val="008660D4"/>
    <w:rsid w:val="008A2475"/>
    <w:rsid w:val="008B3BCA"/>
    <w:rsid w:val="009D0D3E"/>
    <w:rsid w:val="009E296B"/>
    <w:rsid w:val="009E43C4"/>
    <w:rsid w:val="00A07FBD"/>
    <w:rsid w:val="00A41F49"/>
    <w:rsid w:val="00A744B0"/>
    <w:rsid w:val="00AC03FC"/>
    <w:rsid w:val="00B018C1"/>
    <w:rsid w:val="00B47A35"/>
    <w:rsid w:val="00B5075D"/>
    <w:rsid w:val="00B67543"/>
    <w:rsid w:val="00BE0EF2"/>
    <w:rsid w:val="00BF7465"/>
    <w:rsid w:val="00C23C14"/>
    <w:rsid w:val="00C33F9A"/>
    <w:rsid w:val="00CB34E1"/>
    <w:rsid w:val="00CB6518"/>
    <w:rsid w:val="00D0160C"/>
    <w:rsid w:val="00D17A6C"/>
    <w:rsid w:val="00D338AF"/>
    <w:rsid w:val="00DF6094"/>
    <w:rsid w:val="00E42665"/>
    <w:rsid w:val="00EA7343"/>
    <w:rsid w:val="00F93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C984"/>
  <w15:chartTrackingRefBased/>
  <w15:docId w15:val="{0F90F4B2-07EA-4525-A3B6-F5401E1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C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C30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30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30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30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30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30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30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30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30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09F"/>
    <w:rPr>
      <w:rFonts w:eastAsiaTheme="majorEastAsia" w:cstheme="majorBidi"/>
      <w:color w:val="272727" w:themeColor="text1" w:themeTint="D8"/>
    </w:rPr>
  </w:style>
  <w:style w:type="paragraph" w:styleId="Title">
    <w:name w:val="Title"/>
    <w:basedOn w:val="Normal"/>
    <w:next w:val="Normal"/>
    <w:link w:val="TitleChar"/>
    <w:uiPriority w:val="10"/>
    <w:qFormat/>
    <w:rsid w:val="004C30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0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0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309F"/>
    <w:rPr>
      <w:i/>
      <w:iCs/>
      <w:color w:val="404040" w:themeColor="text1" w:themeTint="BF"/>
    </w:rPr>
  </w:style>
  <w:style w:type="paragraph" w:styleId="ListParagraph">
    <w:name w:val="List Paragraph"/>
    <w:basedOn w:val="Normal"/>
    <w:uiPriority w:val="34"/>
    <w:qFormat/>
    <w:rsid w:val="004C30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C309F"/>
    <w:rPr>
      <w:i/>
      <w:iCs/>
      <w:color w:val="0F4761" w:themeColor="accent1" w:themeShade="BF"/>
    </w:rPr>
  </w:style>
  <w:style w:type="paragraph" w:styleId="IntenseQuote">
    <w:name w:val="Intense Quote"/>
    <w:basedOn w:val="Normal"/>
    <w:next w:val="Normal"/>
    <w:link w:val="IntenseQuoteChar"/>
    <w:uiPriority w:val="30"/>
    <w:qFormat/>
    <w:rsid w:val="004C30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309F"/>
    <w:rPr>
      <w:i/>
      <w:iCs/>
      <w:color w:val="0F4761" w:themeColor="accent1" w:themeShade="BF"/>
    </w:rPr>
  </w:style>
  <w:style w:type="character" w:styleId="IntenseReference">
    <w:name w:val="Intense Reference"/>
    <w:basedOn w:val="DefaultParagraphFont"/>
    <w:uiPriority w:val="32"/>
    <w:qFormat/>
    <w:rsid w:val="004C309F"/>
    <w:rPr>
      <w:b/>
      <w:bCs/>
      <w:smallCaps/>
      <w:color w:val="0F4761" w:themeColor="accent1" w:themeShade="BF"/>
      <w:spacing w:val="5"/>
    </w:rPr>
  </w:style>
  <w:style w:type="paragraph" w:customStyle="1" w:styleId="Body">
    <w:name w:val="Body"/>
    <w:qFormat/>
    <w:rsid w:val="00373B7A"/>
    <w:pPr>
      <w:spacing w:after="0" w:line="240" w:lineRule="auto"/>
    </w:pPr>
    <w:rPr>
      <w:rFonts w:ascii="Helvetica" w:eastAsia="ヒラギノ角ゴ Pro W3" w:hAnsi="Helvetica" w:cs="Times New Roman"/>
      <w:color w:val="000000"/>
      <w:kern w:val="0"/>
      <w:sz w:val="24"/>
      <w:szCs w:val="20"/>
      <w14:ligatures w14:val="none"/>
    </w:rPr>
  </w:style>
  <w:style w:type="table" w:styleId="TableGrid">
    <w:name w:val="Table Grid"/>
    <w:basedOn w:val="TableNormal"/>
    <w:uiPriority w:val="39"/>
    <w:rsid w:val="00373B7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226976">
      <w:bodyDiv w:val="1"/>
      <w:marLeft w:val="0"/>
      <w:marRight w:val="0"/>
      <w:marTop w:val="0"/>
      <w:marBottom w:val="0"/>
      <w:divBdr>
        <w:top w:val="none" w:sz="0" w:space="0" w:color="auto"/>
        <w:left w:val="none" w:sz="0" w:space="0" w:color="auto"/>
        <w:bottom w:val="none" w:sz="0" w:space="0" w:color="auto"/>
        <w:right w:val="none" w:sz="0" w:space="0" w:color="auto"/>
      </w:divBdr>
    </w:div>
    <w:div w:id="13681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5129</Words>
  <Characters>2924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Dalia Kuosienė</cp:lastModifiedBy>
  <cp:revision>21</cp:revision>
  <cp:lastPrinted>2025-02-28T14:06:00Z</cp:lastPrinted>
  <dcterms:created xsi:type="dcterms:W3CDTF">2025-02-26T14:11:00Z</dcterms:created>
  <dcterms:modified xsi:type="dcterms:W3CDTF">2025-02-28T14:06:00Z</dcterms:modified>
</cp:coreProperties>
</file>